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20992" w:rsidRDefault="00520992">
      <w:pPr>
        <w:rPr>
          <w:b/>
        </w:rPr>
      </w:pPr>
      <w:bookmarkStart w:id="0" w:name="_heading=h.gjdgxs" w:colFirst="0" w:colLast="0"/>
      <w:bookmarkEnd w:id="0"/>
    </w:p>
    <w:p w14:paraId="00000002" w14:textId="77777777" w:rsidR="00520992" w:rsidRDefault="00520992">
      <w:pPr>
        <w:rPr>
          <w:b/>
        </w:rPr>
      </w:pPr>
    </w:p>
    <w:p w14:paraId="00000003" w14:textId="77777777" w:rsidR="00520992" w:rsidRDefault="00520992">
      <w:pPr>
        <w:rPr>
          <w:b/>
        </w:rPr>
      </w:pPr>
    </w:p>
    <w:p w14:paraId="00000004" w14:textId="77777777" w:rsidR="00520992" w:rsidRDefault="00520992">
      <w:pPr>
        <w:rPr>
          <w:b/>
        </w:rPr>
      </w:pPr>
    </w:p>
    <w:p w14:paraId="00000005" w14:textId="77777777" w:rsidR="00520992" w:rsidRDefault="00520992">
      <w:pPr>
        <w:rPr>
          <w:b/>
        </w:rPr>
      </w:pPr>
    </w:p>
    <w:p w14:paraId="00000006" w14:textId="77777777" w:rsidR="00520992" w:rsidRDefault="00520992">
      <w:pPr>
        <w:rPr>
          <w:b/>
        </w:rPr>
      </w:pPr>
    </w:p>
    <w:p w14:paraId="00000007" w14:textId="77777777" w:rsidR="00520992" w:rsidRDefault="00520992">
      <w:pPr>
        <w:rPr>
          <w:b/>
        </w:rPr>
      </w:pPr>
    </w:p>
    <w:p w14:paraId="00000008" w14:textId="77777777" w:rsidR="00520992" w:rsidRDefault="00520992">
      <w:pPr>
        <w:rPr>
          <w:b/>
        </w:rPr>
      </w:pPr>
    </w:p>
    <w:p w14:paraId="00000009" w14:textId="77777777" w:rsidR="00520992" w:rsidRDefault="00520992">
      <w:pPr>
        <w:rPr>
          <w:b/>
        </w:rPr>
      </w:pPr>
    </w:p>
    <w:p w14:paraId="0000000A" w14:textId="77777777" w:rsidR="00520992" w:rsidRDefault="00520992">
      <w:pPr>
        <w:rPr>
          <w:b/>
        </w:rPr>
      </w:pPr>
    </w:p>
    <w:p w14:paraId="0000000B" w14:textId="77777777" w:rsidR="00520992" w:rsidRDefault="00520992">
      <w:pPr>
        <w:rPr>
          <w:b/>
        </w:rPr>
      </w:pPr>
    </w:p>
    <w:p w14:paraId="0000000C" w14:textId="77777777" w:rsidR="00520992" w:rsidRDefault="00520992">
      <w:pPr>
        <w:rPr>
          <w:b/>
        </w:rPr>
      </w:pPr>
    </w:p>
    <w:p w14:paraId="0000000D" w14:textId="77777777" w:rsidR="00520992" w:rsidRDefault="00520992">
      <w:pPr>
        <w:rPr>
          <w:b/>
        </w:rPr>
      </w:pPr>
    </w:p>
    <w:p w14:paraId="39055636" w14:textId="0B8DA418" w:rsidR="00B5581F" w:rsidRDefault="007F7010">
      <w:pPr>
        <w:jc w:val="center"/>
      </w:pPr>
      <w:r w:rsidRPr="007F7010">
        <w:t>Research Design and Methodology II</w:t>
      </w:r>
      <w:r w:rsidR="00E27C49">
        <w:t>I</w:t>
      </w:r>
      <w:r w:rsidRPr="007F7010">
        <w:cr/>
      </w:r>
    </w:p>
    <w:p w14:paraId="00000010" w14:textId="713A6460" w:rsidR="00520992" w:rsidRDefault="008377D1">
      <w:pPr>
        <w:jc w:val="center"/>
      </w:pPr>
      <w:r>
        <w:t>Derrick Snow</w:t>
      </w:r>
    </w:p>
    <w:p w14:paraId="00000011" w14:textId="77777777" w:rsidR="00520992" w:rsidRDefault="00520992">
      <w:pPr>
        <w:jc w:val="center"/>
      </w:pPr>
    </w:p>
    <w:p w14:paraId="00000012" w14:textId="77777777" w:rsidR="00520992" w:rsidRDefault="00000000">
      <w:pPr>
        <w:jc w:val="center"/>
      </w:pPr>
      <w:r>
        <w:t>Omega Graduate School</w:t>
      </w:r>
    </w:p>
    <w:p w14:paraId="00000013" w14:textId="77777777" w:rsidR="00520992" w:rsidRDefault="00520992">
      <w:pPr>
        <w:jc w:val="center"/>
      </w:pPr>
    </w:p>
    <w:p w14:paraId="00000014" w14:textId="209450C3" w:rsidR="00520992" w:rsidRDefault="00E27C49">
      <w:pPr>
        <w:jc w:val="center"/>
      </w:pPr>
      <w:r>
        <w:t>February</w:t>
      </w:r>
      <w:r w:rsidR="008377D1">
        <w:t xml:space="preserve"> </w:t>
      </w:r>
      <w:r>
        <w:t>1</w:t>
      </w:r>
      <w:r w:rsidR="00831AB3">
        <w:t>7</w:t>
      </w:r>
      <w:r w:rsidR="008377D1">
        <w:t>, 202</w:t>
      </w:r>
      <w:r>
        <w:t>5</w:t>
      </w:r>
    </w:p>
    <w:p w14:paraId="00000015" w14:textId="77777777" w:rsidR="00520992" w:rsidRDefault="00520992">
      <w:pPr>
        <w:jc w:val="center"/>
      </w:pPr>
    </w:p>
    <w:p w14:paraId="00000016" w14:textId="77777777" w:rsidR="00520992" w:rsidRDefault="00520992">
      <w:pPr>
        <w:jc w:val="center"/>
      </w:pPr>
    </w:p>
    <w:p w14:paraId="00000017" w14:textId="77777777" w:rsidR="00520992" w:rsidRDefault="00520992">
      <w:pPr>
        <w:jc w:val="center"/>
      </w:pPr>
    </w:p>
    <w:p w14:paraId="00000018" w14:textId="77777777" w:rsidR="00520992" w:rsidRDefault="00520992">
      <w:pPr>
        <w:jc w:val="center"/>
      </w:pPr>
    </w:p>
    <w:p w14:paraId="00000019" w14:textId="77777777" w:rsidR="00520992" w:rsidRDefault="00520992">
      <w:pPr>
        <w:jc w:val="center"/>
      </w:pPr>
    </w:p>
    <w:p w14:paraId="0000001A" w14:textId="77777777" w:rsidR="00520992" w:rsidRDefault="00000000">
      <w:pPr>
        <w:jc w:val="center"/>
      </w:pPr>
      <w:r>
        <w:t>Professor</w:t>
      </w:r>
    </w:p>
    <w:p w14:paraId="0000001B" w14:textId="77777777" w:rsidR="00520992" w:rsidRDefault="00520992">
      <w:pPr>
        <w:jc w:val="center"/>
      </w:pPr>
    </w:p>
    <w:p w14:paraId="0000001C" w14:textId="77777777" w:rsidR="00520992" w:rsidRDefault="00520992">
      <w:pPr>
        <w:jc w:val="center"/>
      </w:pPr>
    </w:p>
    <w:p w14:paraId="0000001D" w14:textId="441DCBE1" w:rsidR="00520992" w:rsidRDefault="00000000">
      <w:pPr>
        <w:jc w:val="center"/>
      </w:pPr>
      <w:r>
        <w:t xml:space="preserve">Dr. </w:t>
      </w:r>
      <w:r w:rsidR="007F7010">
        <w:t>Taladay</w:t>
      </w:r>
    </w:p>
    <w:p w14:paraId="0000001E" w14:textId="77777777" w:rsidR="00520992" w:rsidRDefault="00000000">
      <w:pPr>
        <w:jc w:val="center"/>
        <w:rPr>
          <w:b/>
        </w:rPr>
      </w:pPr>
      <w:r>
        <w:br w:type="page"/>
      </w:r>
    </w:p>
    <w:p w14:paraId="00000023" w14:textId="3E4313E8" w:rsidR="00520992" w:rsidRPr="00DC431C" w:rsidRDefault="00000000" w:rsidP="00DC431C">
      <w:pPr>
        <w:pStyle w:val="Title"/>
        <w:keepLines w:val="0"/>
        <w:tabs>
          <w:tab w:val="right" w:pos="8640"/>
        </w:tabs>
        <w:spacing w:before="0" w:after="0" w:line="480" w:lineRule="auto"/>
        <w:jc w:val="center"/>
        <w:rPr>
          <w:b w:val="0"/>
          <w:sz w:val="24"/>
          <w:szCs w:val="24"/>
        </w:rPr>
      </w:pPr>
      <w:r>
        <w:rPr>
          <w:sz w:val="24"/>
          <w:szCs w:val="24"/>
        </w:rPr>
        <w:lastRenderedPageBreak/>
        <w:t>Assignment</w:t>
      </w:r>
      <w:bookmarkStart w:id="1" w:name="_heading=h.stpkn61f1hhe" w:colFirst="0" w:colLast="0"/>
      <w:bookmarkEnd w:id="1"/>
    </w:p>
    <w:p w14:paraId="3D472037" w14:textId="77777777" w:rsidR="00124DD0" w:rsidRPr="00124DD0" w:rsidRDefault="00124DD0" w:rsidP="00124DD0">
      <w:pPr>
        <w:spacing w:line="480" w:lineRule="auto"/>
        <w:ind w:left="720" w:hanging="720"/>
        <w:jc w:val="both"/>
        <w:rPr>
          <w:b/>
        </w:rPr>
      </w:pPr>
      <w:r w:rsidRPr="00124DD0">
        <w:rPr>
          <w:b/>
        </w:rPr>
        <w:t>Assignment #2 – Developmental Readings</w:t>
      </w:r>
    </w:p>
    <w:p w14:paraId="0D912DDF" w14:textId="15997791" w:rsidR="00124DD0" w:rsidRPr="00124DD0" w:rsidRDefault="00124DD0" w:rsidP="00124DD0">
      <w:pPr>
        <w:pStyle w:val="ListParagraph"/>
        <w:numPr>
          <w:ilvl w:val="0"/>
          <w:numId w:val="2"/>
        </w:numPr>
        <w:jc w:val="both"/>
        <w:rPr>
          <w:bCs/>
        </w:rPr>
      </w:pPr>
      <w:r w:rsidRPr="00124DD0">
        <w:rPr>
          <w:bCs/>
        </w:rPr>
        <w:t>Create Developmental Readings from seminal sources and scholarly peer-reviewed</w:t>
      </w:r>
    </w:p>
    <w:p w14:paraId="1410B572" w14:textId="105AFC63" w:rsidR="00124DD0" w:rsidRPr="00124DD0" w:rsidRDefault="00124DD0" w:rsidP="00124DD0">
      <w:pPr>
        <w:pStyle w:val="ListParagraph"/>
        <w:jc w:val="both"/>
        <w:rPr>
          <w:bCs/>
        </w:rPr>
      </w:pPr>
      <w:r w:rsidRPr="00124DD0">
        <w:rPr>
          <w:bCs/>
        </w:rPr>
        <w:t>journal articles. Review instructions for Assignment #3, the course essential elements, and course readings to identify selections of books and journals to create entries.</w:t>
      </w:r>
    </w:p>
    <w:p w14:paraId="00000024" w14:textId="25A00012" w:rsidR="00520992" w:rsidRDefault="00124DD0" w:rsidP="00124DD0">
      <w:pPr>
        <w:pStyle w:val="ListParagraph"/>
        <w:numPr>
          <w:ilvl w:val="0"/>
          <w:numId w:val="3"/>
        </w:numPr>
        <w:jc w:val="both"/>
        <w:rPr>
          <w:bCs/>
        </w:rPr>
      </w:pPr>
      <w:r w:rsidRPr="00124DD0">
        <w:rPr>
          <w:bCs/>
        </w:rPr>
        <w:t>Refer to the "Student Guide to Developmental Readings" in the General Helps folder for updated information on sample comments, the grading rubric, and key definitions related to developmental readings.</w:t>
      </w:r>
    </w:p>
    <w:p w14:paraId="29DF9F2C" w14:textId="77777777" w:rsidR="00DC431C" w:rsidRDefault="00DC431C" w:rsidP="00DC431C">
      <w:pPr>
        <w:jc w:val="both"/>
        <w:rPr>
          <w:bCs/>
        </w:rPr>
      </w:pPr>
    </w:p>
    <w:p w14:paraId="21AFFF4D" w14:textId="77777777" w:rsidR="00DC431C" w:rsidRDefault="00DC431C" w:rsidP="00DC431C">
      <w:pPr>
        <w:jc w:val="both"/>
        <w:rPr>
          <w:bCs/>
        </w:rPr>
      </w:pPr>
    </w:p>
    <w:p w14:paraId="34D30F3F" w14:textId="77777777" w:rsidR="00DC431C" w:rsidRDefault="00DC431C" w:rsidP="00DC431C">
      <w:pPr>
        <w:jc w:val="both"/>
        <w:rPr>
          <w:bCs/>
        </w:rPr>
      </w:pPr>
    </w:p>
    <w:p w14:paraId="3A1F0740" w14:textId="462349D6" w:rsidR="00DC431C" w:rsidRPr="00DC431C" w:rsidRDefault="00DC431C" w:rsidP="00DC431C">
      <w:pPr>
        <w:jc w:val="both"/>
        <w:rPr>
          <w:bCs/>
        </w:rPr>
      </w:pPr>
    </w:p>
    <w:p w14:paraId="63B4556D" w14:textId="2008A546" w:rsidR="00124DD0" w:rsidRDefault="00D941BB" w:rsidP="004000D3">
      <w:pPr>
        <w:jc w:val="both"/>
      </w:pPr>
      <w:r>
        <w:br w:type="page"/>
      </w:r>
    </w:p>
    <w:p w14:paraId="1BB75317" w14:textId="77777777" w:rsidR="004000D3" w:rsidRPr="00124DD0" w:rsidRDefault="004000D3" w:rsidP="00D941BB">
      <w:pPr>
        <w:jc w:val="both"/>
      </w:pPr>
    </w:p>
    <w:p w14:paraId="6F64832E" w14:textId="1AB9D1B5" w:rsidR="00D74D85" w:rsidRPr="00D74D85" w:rsidRDefault="00000000" w:rsidP="00001DC9">
      <w:pPr>
        <w:spacing w:line="480" w:lineRule="auto"/>
        <w:ind w:hanging="480"/>
      </w:pPr>
      <w:r>
        <w:rPr>
          <w:b/>
        </w:rPr>
        <w:t xml:space="preserve">Source One: </w:t>
      </w:r>
      <w:r w:rsidR="00484925" w:rsidRPr="00484925">
        <w:t xml:space="preserve">Embury, J., Tsou, M.-H., Nara, A., &amp; Oren, E. (2022). A </w:t>
      </w:r>
      <w:proofErr w:type="spellStart"/>
      <w:r w:rsidR="00484925" w:rsidRPr="00484925">
        <w:t>Spatio</w:t>
      </w:r>
      <w:proofErr w:type="spellEnd"/>
      <w:r w:rsidR="00484925" w:rsidRPr="00484925">
        <w:t xml:space="preserve">-Demographic Perspective on the Role of Social Determinants of Health and Chronic Disease in Determining a Population’s Vulnerability to COVID-19. </w:t>
      </w:r>
      <w:r w:rsidR="00484925" w:rsidRPr="00484925">
        <w:rPr>
          <w:i/>
          <w:iCs/>
        </w:rPr>
        <w:t>Preventing Chronic Disease</w:t>
      </w:r>
      <w:r w:rsidR="00484925" w:rsidRPr="00484925">
        <w:t xml:space="preserve">, </w:t>
      </w:r>
      <w:r w:rsidR="00484925" w:rsidRPr="00484925">
        <w:rPr>
          <w:i/>
          <w:iCs/>
        </w:rPr>
        <w:t>19</w:t>
      </w:r>
      <w:r w:rsidR="00484925" w:rsidRPr="00484925">
        <w:t xml:space="preserve">, 210414. </w:t>
      </w:r>
      <w:hyperlink r:id="rId9" w:history="1">
        <w:r w:rsidR="00484925" w:rsidRPr="00484925">
          <w:rPr>
            <w:color w:val="0000FF"/>
            <w:u w:val="single"/>
          </w:rPr>
          <w:t>https://doi.org/10.5888/pcd19.210414</w:t>
        </w:r>
      </w:hyperlink>
    </w:p>
    <w:p w14:paraId="00000026" w14:textId="37BEB730" w:rsidR="00520992" w:rsidRPr="006D2A8B" w:rsidRDefault="00520992" w:rsidP="009F45A7">
      <w:pPr>
        <w:spacing w:line="480" w:lineRule="auto"/>
      </w:pPr>
    </w:p>
    <w:p w14:paraId="00000027" w14:textId="77777777" w:rsidR="00520992" w:rsidRDefault="00000000">
      <w:pPr>
        <w:spacing w:line="480" w:lineRule="auto"/>
        <w:ind w:left="720"/>
        <w:rPr>
          <w:i/>
        </w:rPr>
      </w:pPr>
      <w:r>
        <w:rPr>
          <w:b/>
        </w:rPr>
        <w:t xml:space="preserve">Comment 1:  </w:t>
      </w:r>
    </w:p>
    <w:p w14:paraId="00000028" w14:textId="031C3922" w:rsidR="00520992" w:rsidRDefault="00000000" w:rsidP="00102DB0">
      <w:pPr>
        <w:spacing w:line="480" w:lineRule="auto"/>
        <w:ind w:left="1440"/>
        <w:rPr>
          <w:bCs/>
        </w:rPr>
      </w:pPr>
      <w:r>
        <w:rPr>
          <w:b/>
        </w:rPr>
        <w:t xml:space="preserve">Quote/Paraphrase: </w:t>
      </w:r>
      <w:r w:rsidR="00DC431C" w:rsidRPr="00DC431C">
        <w:rPr>
          <w:bCs/>
        </w:rPr>
        <w:t>“</w:t>
      </w:r>
      <w:bookmarkStart w:id="2" w:name="_Hlk171699174"/>
      <w:r w:rsidR="00CD4AC3" w:rsidRPr="00CD4AC3">
        <w:rPr>
          <w:bCs/>
        </w:rPr>
        <w:t>We obtained data sets from the San Diego County Open Data Portal (11), aggregated to SRAs, containing 2017 rates for hospitalization, emergency department discharge, and death per 100,000 residents for coronary heart disease (CHD), diabetes, hypertensive diseases (hypertension, hypertensive heart disease, hypertensive chronic kidney disease, and hypertensive encephalopathy), mental illness, and pulmonary disease.</w:t>
      </w:r>
      <w:r w:rsidR="00001DC9">
        <w:rPr>
          <w:bCs/>
        </w:rPr>
        <w:t xml:space="preserve">” </w:t>
      </w:r>
      <w:r w:rsidR="0032433D">
        <w:rPr>
          <w:bCs/>
        </w:rPr>
        <w:fldChar w:fldCharType="begin"/>
      </w:r>
      <w:r w:rsidR="00E8396E">
        <w:rPr>
          <w:bCs/>
        </w:rPr>
        <w:instrText xml:space="preserve"> ADDIN ZOTERO_ITEM CSL_CITATION {"citationID":"gLWNt2TX","properties":{"formattedCitation":"(Castillo et al., 2021)","plainCitation":"(Castillo et al., 2021)","dontUpdate":true,"noteIndex":0},"citationItems":[{"id":482,"uris":["http://zotero.org/users/local/Prr5sh2G/items/38LUGMYA"],"itemData":{"id":482,"type":"article-journal","abstract":"Approximately 75% of farmworkers in the United States are Latino migrants, and about 50% of hired farmworkers do not have authorization to work in the United States. Farmworkers face numerous chemical, physical, and biological threats to their health. The adverse effects of these hazards may be amplified among Latino migrant farmworkers, who are concurrently exposed to various psychosocial stressors. Factors such as documentation status, potential lack of authorization to work in the United States, and language and cultural barriers may also prevent Latino migrants from accessing federal aid, legal assistance, and health programs. These environmental, occupational, and social hazards may further exacerbate existing health disparities among US Latinos. This population is also likely to be disproportionately impacted by emerging threats, including climate change and severe acute respiratory syndrome coronavirus 2 (SARS-CoV-2). Latino migrant farmworkers are essential to agriculture in the United States, and actions are needed to protect this vulnerable population.","container-title":"Annual Review of Public Health","DOI":"10.1146/annurev-publhealth-012420-105014","ISSN":"0163-7525, 1545-2093","issue":"1","journalAbbreviation":"Annu. Rev. Public Health","language":"en","license":"http://creativecommons.org/licenses/by/4.0/","page":"257-276","source":"DOI.org (Crossref)","title":"Environmental Health Threats to Latino Migrant Farmworkers","volume":"42","author":[{"family":"Castillo","given":"Federico"},{"family":"Mora","given":"Ana M."},{"family":"Kayser","given":"Georgia L."},{"family":"Vanos","given":"Jennifer"},{"family":"Hyland","given":"Carly"},{"family":"Yang","given":"Audrey R."},{"family":"Eskenazi","given":"Brenda"}],"issued":{"date-parts":[["2021",4,1]]}}}],"schema":"https://github.com/citation-style-language/schema/raw/master/csl-citation.json"} </w:instrText>
      </w:r>
      <w:r w:rsidR="0032433D">
        <w:rPr>
          <w:bCs/>
        </w:rPr>
        <w:fldChar w:fldCharType="separate"/>
      </w:r>
      <w:r w:rsidR="0032433D" w:rsidRPr="0032433D">
        <w:t>(</w:t>
      </w:r>
      <w:r w:rsidR="00CD4AC3">
        <w:t>Embury</w:t>
      </w:r>
      <w:r w:rsidR="0032433D" w:rsidRPr="0032433D">
        <w:t>, 202</w:t>
      </w:r>
      <w:r w:rsidR="00CD4AC3">
        <w:t>2</w:t>
      </w:r>
      <w:r w:rsidR="0032433D">
        <w:t>, p. 2</w:t>
      </w:r>
      <w:r w:rsidR="0032433D" w:rsidRPr="0032433D">
        <w:t>)</w:t>
      </w:r>
      <w:r w:rsidR="0032433D">
        <w:rPr>
          <w:bCs/>
        </w:rPr>
        <w:fldChar w:fldCharType="end"/>
      </w:r>
      <w:r w:rsidR="005F2D8B">
        <w:rPr>
          <w:bCs/>
        </w:rPr>
        <w:t xml:space="preserve"> </w:t>
      </w:r>
      <w:r w:rsidR="005F2D8B" w:rsidRPr="0069715F">
        <w:rPr>
          <w:bCs/>
        </w:rPr>
        <w:t xml:space="preserve"> </w:t>
      </w:r>
    </w:p>
    <w:bookmarkEnd w:id="2"/>
    <w:p w14:paraId="00000029" w14:textId="77777777" w:rsidR="00520992" w:rsidRDefault="00520992" w:rsidP="007F5FEE">
      <w:pPr>
        <w:spacing w:line="480" w:lineRule="auto"/>
      </w:pPr>
    </w:p>
    <w:p w14:paraId="43ACC5C4" w14:textId="4686B912" w:rsidR="00BC4396" w:rsidRDefault="00000000" w:rsidP="009F45A7">
      <w:pPr>
        <w:spacing w:line="480" w:lineRule="auto"/>
        <w:ind w:left="1440"/>
        <w:rPr>
          <w:bCs/>
        </w:rPr>
      </w:pPr>
      <w:r>
        <w:rPr>
          <w:b/>
        </w:rPr>
        <w:t>Essential Element:</w:t>
      </w:r>
      <w:r w:rsidR="00D35F80">
        <w:rPr>
          <w:b/>
        </w:rPr>
        <w:t xml:space="preserve"> </w:t>
      </w:r>
      <w:r w:rsidR="007D6CFD" w:rsidRPr="007D6CFD">
        <w:rPr>
          <w:bCs/>
        </w:rPr>
        <w:t>Sampling Techniques</w:t>
      </w:r>
    </w:p>
    <w:p w14:paraId="1A6FC8BA" w14:textId="77777777" w:rsidR="007D6CFD" w:rsidRPr="009F45A7" w:rsidRDefault="007D6CFD" w:rsidP="009F45A7">
      <w:pPr>
        <w:spacing w:line="480" w:lineRule="auto"/>
        <w:ind w:left="1440"/>
        <w:rPr>
          <w:bCs/>
        </w:rPr>
      </w:pPr>
    </w:p>
    <w:p w14:paraId="0000002C" w14:textId="64D9811F" w:rsidR="00520992" w:rsidRDefault="00000000">
      <w:pPr>
        <w:spacing w:line="480" w:lineRule="auto"/>
        <w:ind w:left="1440"/>
        <w:rPr>
          <w:b/>
        </w:rPr>
      </w:pPr>
      <w:r>
        <w:rPr>
          <w:b/>
        </w:rPr>
        <w:t xml:space="preserve">Additive/Variant Analysis: </w:t>
      </w:r>
      <w:r w:rsidR="00516806">
        <w:rPr>
          <w:bCs/>
        </w:rPr>
        <w:t xml:space="preserve">The </w:t>
      </w:r>
      <w:r w:rsidR="00E66899">
        <w:rPr>
          <w:bCs/>
        </w:rPr>
        <w:t>use of rates in measuring illness and disease in healthcare research is additive to my understanding</w:t>
      </w:r>
      <w:r w:rsidR="00516806">
        <w:rPr>
          <w:bCs/>
        </w:rPr>
        <w:t>.</w:t>
      </w:r>
    </w:p>
    <w:p w14:paraId="0000002D" w14:textId="77777777" w:rsidR="00520992" w:rsidRDefault="00520992">
      <w:pPr>
        <w:spacing w:line="480" w:lineRule="auto"/>
        <w:ind w:left="1440"/>
      </w:pPr>
    </w:p>
    <w:p w14:paraId="6B2EA8D7" w14:textId="62EEE6B6" w:rsidR="009A1C57" w:rsidRDefault="00000000">
      <w:pPr>
        <w:spacing w:line="480" w:lineRule="auto"/>
        <w:ind w:left="1440"/>
      </w:pPr>
      <w:r>
        <w:rPr>
          <w:b/>
        </w:rPr>
        <w:t xml:space="preserve">Contextualization: </w:t>
      </w:r>
      <w:r w:rsidR="00001DC9">
        <w:t xml:space="preserve">This article is a good example of the process of collecting archival/secondary data. In a lot of social research data is collected by the researcher, surveys, observations-participation, </w:t>
      </w:r>
      <w:r w:rsidR="009D2BBD">
        <w:t xml:space="preserve">and so forth collecting primary data. For an individual researcher, they could collect a minimum of data given their resource constraint. However, given this </w:t>
      </w:r>
      <w:r w:rsidR="00395745">
        <w:t xml:space="preserve">era of technology and society, </w:t>
      </w:r>
      <w:r w:rsidR="009C4496">
        <w:t xml:space="preserve">there </w:t>
      </w:r>
      <w:r w:rsidR="009C4496">
        <w:lastRenderedPageBreak/>
        <w:t xml:space="preserve">is </w:t>
      </w:r>
      <w:r w:rsidR="00395745">
        <w:t xml:space="preserve">so much </w:t>
      </w:r>
      <w:r w:rsidR="009C4496">
        <w:t xml:space="preserve">data being collected virtually. This provides </w:t>
      </w:r>
      <w:proofErr w:type="gramStart"/>
      <w:r w:rsidR="009C4496">
        <w:t>such a</w:t>
      </w:r>
      <w:proofErr w:type="gramEnd"/>
      <w:r w:rsidR="009C4496">
        <w:t xml:space="preserve"> great data to conduct social research</w:t>
      </w:r>
      <w:r w:rsidR="009E1B95">
        <w:t>,</w:t>
      </w:r>
      <w:r w:rsidR="00652431">
        <w:t xml:space="preserve"> </w:t>
      </w:r>
      <w:r w:rsidR="009E1B95">
        <w:t>one just needs to understand where the data is coming in and where to go to obtain the data.</w:t>
      </w:r>
      <w:r w:rsidR="00423D7E">
        <w:t xml:space="preserve"> This data that is collected through technology is very rich </w:t>
      </w:r>
      <w:r w:rsidR="00652431">
        <w:t xml:space="preserve">for researchers, because it includes a great number of participants and variables on those participants and the data has a great deal of reliability and validity </w:t>
      </w:r>
      <w:proofErr w:type="gramStart"/>
      <w:r w:rsidR="00652431">
        <w:t>given</w:t>
      </w:r>
      <w:proofErr w:type="gramEnd"/>
      <w:r w:rsidR="00652431">
        <w:t xml:space="preserve"> they are factual accounts of reality, such as a person’s diagnosis.</w:t>
      </w:r>
    </w:p>
    <w:p w14:paraId="58D2113B" w14:textId="77777777" w:rsidR="008B4880" w:rsidRDefault="008B4880" w:rsidP="00867B49">
      <w:pPr>
        <w:spacing w:line="480" w:lineRule="auto"/>
      </w:pPr>
    </w:p>
    <w:p w14:paraId="00000031" w14:textId="77777777" w:rsidR="00520992" w:rsidRDefault="00000000">
      <w:pPr>
        <w:spacing w:line="480" w:lineRule="auto"/>
        <w:ind w:left="720"/>
        <w:rPr>
          <w:b/>
        </w:rPr>
      </w:pPr>
      <w:r>
        <w:rPr>
          <w:b/>
        </w:rPr>
        <w:t>Comment 2:</w:t>
      </w:r>
    </w:p>
    <w:p w14:paraId="00000032" w14:textId="395EF433" w:rsidR="00520992" w:rsidRDefault="00000000">
      <w:pPr>
        <w:spacing w:line="480" w:lineRule="auto"/>
        <w:ind w:left="1440"/>
        <w:rPr>
          <w:b/>
        </w:rPr>
      </w:pPr>
      <w:r>
        <w:rPr>
          <w:b/>
        </w:rPr>
        <w:t>Quote/Paraphrase</w:t>
      </w:r>
      <w:r w:rsidR="00EC73D1">
        <w:rPr>
          <w:b/>
        </w:rPr>
        <w:t>:</w:t>
      </w:r>
      <w:r w:rsidR="00F7753A">
        <w:rPr>
          <w:b/>
        </w:rPr>
        <w:t xml:space="preserve"> </w:t>
      </w:r>
      <w:r w:rsidR="00F7753A" w:rsidRPr="00727D0E">
        <w:rPr>
          <w:bCs/>
        </w:rPr>
        <w:t>“</w:t>
      </w:r>
      <w:r w:rsidR="00CD4AC3" w:rsidRPr="00CD4AC3">
        <w:rPr>
          <w:bCs/>
        </w:rPr>
        <w:t>Socioeconomic variables were chosen for further analysis if the Pearson correlation P values were less than or equal to 0.05 for all stages, with 2 exceptions for variables with P values equal to 0.07 during 1 or 2 of the stages. The Pearson correlation coefficient is commonly used in medical research to test the strength of linear relationships between 2 variables</w:t>
      </w:r>
      <w:r w:rsidR="00CD4AC3">
        <w:rPr>
          <w:bCs/>
        </w:rPr>
        <w:t xml:space="preserve">.” </w:t>
      </w:r>
      <w:r w:rsidR="00CD4AC3">
        <w:rPr>
          <w:bCs/>
        </w:rPr>
        <w:fldChar w:fldCharType="begin"/>
      </w:r>
      <w:r w:rsidR="00CD4AC3">
        <w:rPr>
          <w:bCs/>
        </w:rPr>
        <w:instrText xml:space="preserve"> ADDIN ZOTERO_ITEM CSL_CITATION {"citationID":"gLWNt2TX","properties":{"formattedCitation":"(Castillo et al., 2021)","plainCitation":"(Castillo et al., 2021)","dontUpdate":true,"noteIndex":0},"citationItems":[{"id":482,"uris":["http://zotero.org/users/local/Prr5sh2G/items/38LUGMYA"],"itemData":{"id":482,"type":"article-journal","abstract":"Approximately 75% of farmworkers in the United States are Latino migrants, and about 50% of hired farmworkers do not have authorization to work in the United States. Farmworkers face numerous chemical, physical, and biological threats to their health. The adverse effects of these hazards may be amplified among Latino migrant farmworkers, who are concurrently exposed to various psychosocial stressors. Factors such as documentation status, potential lack of authorization to work in the United States, and language and cultural barriers may also prevent Latino migrants from accessing federal aid, legal assistance, and health programs. These environmental, occupational, and social hazards may further exacerbate existing health disparities among US Latinos. This population is also likely to be disproportionately impacted by emerging threats, including climate change and severe acute respiratory syndrome coronavirus 2 (SARS-CoV-2). Latino migrant farmworkers are essential to agriculture in the United States, and actions are needed to protect this vulnerable population.","container-title":"Annual Review of Public Health","DOI":"10.1146/annurev-publhealth-012420-105014","ISSN":"0163-7525, 1545-2093","issue":"1","journalAbbreviation":"Annu. Rev. Public Health","language":"en","license":"http://creativecommons.org/licenses/by/4.0/","page":"257-276","source":"DOI.org (Crossref)","title":"Environmental Health Threats to Latino Migrant Farmworkers","volume":"42","author":[{"family":"Castillo","given":"Federico"},{"family":"Mora","given":"Ana M."},{"family":"Kayser","given":"Georgia L."},{"family":"Vanos","given":"Jennifer"},{"family":"Hyland","given":"Carly"},{"family":"Yang","given":"Audrey R."},{"family":"Eskenazi","given":"Brenda"}],"issued":{"date-parts":[["2021",4,1]]}}}],"schema":"https://github.com/citation-style-language/schema/raw/master/csl-citation.json"} </w:instrText>
      </w:r>
      <w:r w:rsidR="00CD4AC3">
        <w:rPr>
          <w:bCs/>
        </w:rPr>
        <w:fldChar w:fldCharType="separate"/>
      </w:r>
      <w:r w:rsidR="00CD4AC3" w:rsidRPr="0032433D">
        <w:t>(</w:t>
      </w:r>
      <w:r w:rsidR="00CD4AC3">
        <w:t>Embury</w:t>
      </w:r>
      <w:r w:rsidR="00CD4AC3" w:rsidRPr="0032433D">
        <w:t>, 202</w:t>
      </w:r>
      <w:r w:rsidR="00CD4AC3">
        <w:t>2, p. 3</w:t>
      </w:r>
      <w:r w:rsidR="00CD4AC3" w:rsidRPr="0032433D">
        <w:t>)</w:t>
      </w:r>
      <w:r w:rsidR="00CD4AC3">
        <w:rPr>
          <w:bCs/>
        </w:rPr>
        <w:fldChar w:fldCharType="end"/>
      </w:r>
      <w:r w:rsidR="00CD4AC3">
        <w:rPr>
          <w:bCs/>
        </w:rPr>
        <w:t xml:space="preserve"> </w:t>
      </w:r>
      <w:r w:rsidR="00CD4AC3" w:rsidRPr="0069715F">
        <w:rPr>
          <w:bCs/>
        </w:rPr>
        <w:t xml:space="preserve"> </w:t>
      </w:r>
    </w:p>
    <w:p w14:paraId="035A2316" w14:textId="77777777" w:rsidR="0032433D" w:rsidRDefault="0032433D" w:rsidP="006C10F2">
      <w:pPr>
        <w:spacing w:line="480" w:lineRule="auto"/>
      </w:pPr>
    </w:p>
    <w:p w14:paraId="00000034" w14:textId="1F021058" w:rsidR="00520992" w:rsidRDefault="00000000">
      <w:pPr>
        <w:spacing w:line="480" w:lineRule="auto"/>
        <w:ind w:left="1440"/>
        <w:rPr>
          <w:b/>
        </w:rPr>
      </w:pPr>
      <w:r>
        <w:rPr>
          <w:b/>
        </w:rPr>
        <w:t>Essential Element:</w:t>
      </w:r>
      <w:r w:rsidR="00FA7259">
        <w:rPr>
          <w:b/>
        </w:rPr>
        <w:t xml:space="preserve"> </w:t>
      </w:r>
      <w:r w:rsidR="007D6CFD">
        <w:t>Data Analysis</w:t>
      </w:r>
    </w:p>
    <w:p w14:paraId="00000035" w14:textId="77777777" w:rsidR="00520992" w:rsidRDefault="00520992">
      <w:pPr>
        <w:spacing w:line="480" w:lineRule="auto"/>
        <w:ind w:left="1440"/>
        <w:rPr>
          <w:b/>
        </w:rPr>
      </w:pPr>
    </w:p>
    <w:p w14:paraId="00000036" w14:textId="5A628F70" w:rsidR="00520992" w:rsidRPr="00A37E31" w:rsidRDefault="00000000">
      <w:pPr>
        <w:spacing w:line="480" w:lineRule="auto"/>
        <w:ind w:left="1440"/>
        <w:rPr>
          <w:bCs/>
        </w:rPr>
      </w:pPr>
      <w:r>
        <w:rPr>
          <w:b/>
        </w:rPr>
        <w:t>Additive/Variant Analysis:</w:t>
      </w:r>
      <w:r w:rsidR="00A37E31">
        <w:rPr>
          <w:b/>
        </w:rPr>
        <w:t xml:space="preserve"> </w:t>
      </w:r>
      <w:r w:rsidR="00A37E31">
        <w:rPr>
          <w:bCs/>
        </w:rPr>
        <w:t xml:space="preserve">The </w:t>
      </w:r>
      <w:r w:rsidR="00652431">
        <w:rPr>
          <w:bCs/>
        </w:rPr>
        <w:t xml:space="preserve">use of correlational studies </w:t>
      </w:r>
      <w:r w:rsidR="00516806">
        <w:rPr>
          <w:bCs/>
        </w:rPr>
        <w:t>is additive to my understanding</w:t>
      </w:r>
      <w:r w:rsidR="00652431">
        <w:rPr>
          <w:bCs/>
        </w:rPr>
        <w:t xml:space="preserve"> of healthcare research.</w:t>
      </w:r>
    </w:p>
    <w:p w14:paraId="00000037" w14:textId="77777777" w:rsidR="00520992" w:rsidRDefault="00520992">
      <w:pPr>
        <w:spacing w:line="480" w:lineRule="auto"/>
        <w:ind w:left="1440"/>
      </w:pPr>
    </w:p>
    <w:p w14:paraId="4BC62A38" w14:textId="3CD0EC9B" w:rsidR="00CD4AC3" w:rsidRDefault="00000000">
      <w:pPr>
        <w:spacing w:line="480" w:lineRule="auto"/>
        <w:ind w:left="1440"/>
        <w:rPr>
          <w:bCs/>
        </w:rPr>
      </w:pPr>
      <w:r>
        <w:rPr>
          <w:b/>
        </w:rPr>
        <w:t>Contextualization:</w:t>
      </w:r>
      <w:r w:rsidR="00B565C0">
        <w:rPr>
          <w:b/>
        </w:rPr>
        <w:t xml:space="preserve"> </w:t>
      </w:r>
      <w:r w:rsidR="00B565C0">
        <w:rPr>
          <w:bCs/>
        </w:rPr>
        <w:t>In this research</w:t>
      </w:r>
      <w:r w:rsidR="006005F4">
        <w:rPr>
          <w:bCs/>
        </w:rPr>
        <w:t xml:space="preserve">, the researchers used statistical analysis to evaluate variables to continue </w:t>
      </w:r>
      <w:bookmarkStart w:id="3" w:name="_Hlk190500535"/>
      <w:r w:rsidR="006C5BB9">
        <w:rPr>
          <w:bCs/>
        </w:rPr>
        <w:t xml:space="preserve">the research. It is a good example of how the research process really works, it is a continuous process of using statistics to understand the data and evaluate the data to make further decisions on the testable </w:t>
      </w:r>
      <w:r w:rsidR="006C5BB9">
        <w:rPr>
          <w:bCs/>
        </w:rPr>
        <w:lastRenderedPageBreak/>
        <w:t xml:space="preserve">research data, such as what to do with outliers, and so forth. </w:t>
      </w:r>
      <w:r w:rsidR="009A5BEE">
        <w:rPr>
          <w:bCs/>
        </w:rPr>
        <w:t xml:space="preserve">This article informed us that </w:t>
      </w:r>
      <w:bookmarkEnd w:id="3"/>
      <w:r w:rsidR="00652431">
        <w:rPr>
          <w:bCs/>
        </w:rPr>
        <w:t>the “Pearson correlation coefficient is commonly used in medical research”, where even though there are</w:t>
      </w:r>
      <w:r w:rsidR="009A5BEE">
        <w:rPr>
          <w:bCs/>
        </w:rPr>
        <w:t xml:space="preserve"> many types of medical research, such as clinical trials, correlation research is very important to find variables that are associated with medical phenomena such as illness. This is important because</w:t>
      </w:r>
      <w:r w:rsidR="00B02D6C">
        <w:rPr>
          <w:bCs/>
        </w:rPr>
        <w:t xml:space="preserve"> medical </w:t>
      </w:r>
      <w:r w:rsidR="00652431">
        <w:rPr>
          <w:bCs/>
        </w:rPr>
        <w:t>phenomena</w:t>
      </w:r>
      <w:r w:rsidR="00B02D6C">
        <w:rPr>
          <w:bCs/>
        </w:rPr>
        <w:t xml:space="preserve"> </w:t>
      </w:r>
      <w:proofErr w:type="gramStart"/>
      <w:r w:rsidR="00B02D6C">
        <w:rPr>
          <w:bCs/>
        </w:rPr>
        <w:t>is</w:t>
      </w:r>
      <w:proofErr w:type="gramEnd"/>
      <w:r w:rsidR="00B02D6C">
        <w:rPr>
          <w:bCs/>
        </w:rPr>
        <w:t xml:space="preserve"> not in isolation, but have </w:t>
      </w:r>
      <w:r w:rsidR="00652431">
        <w:rPr>
          <w:bCs/>
        </w:rPr>
        <w:t>influences</w:t>
      </w:r>
      <w:r w:rsidR="00B02D6C">
        <w:rPr>
          <w:bCs/>
        </w:rPr>
        <w:t xml:space="preserve">, such as social and economic, and </w:t>
      </w:r>
      <w:r w:rsidR="00652431">
        <w:rPr>
          <w:bCs/>
        </w:rPr>
        <w:t>environmental</w:t>
      </w:r>
      <w:r w:rsidR="00B02D6C">
        <w:rPr>
          <w:bCs/>
        </w:rPr>
        <w:t xml:space="preserve"> factors such as poverty, smoking and body mass index. It is really challenging to find direct causation, where there are probably many factors that may cause illness, </w:t>
      </w:r>
      <w:r w:rsidR="00652431">
        <w:rPr>
          <w:bCs/>
        </w:rPr>
        <w:t>diseases, genes, and social, economic,</w:t>
      </w:r>
      <w:r w:rsidR="00B02D6C">
        <w:rPr>
          <w:bCs/>
        </w:rPr>
        <w:t xml:space="preserve"> and </w:t>
      </w:r>
      <w:r w:rsidR="00652431">
        <w:rPr>
          <w:bCs/>
        </w:rPr>
        <w:t>environmental</w:t>
      </w:r>
      <w:r w:rsidR="00B02D6C">
        <w:rPr>
          <w:bCs/>
        </w:rPr>
        <w:t xml:space="preserve"> factors. Nevertheless</w:t>
      </w:r>
      <w:r w:rsidR="00652431">
        <w:rPr>
          <w:bCs/>
        </w:rPr>
        <w:t>, if we know what is correlated with given illnesses, we could implement changes in those other factors to then, in turn,</w:t>
      </w:r>
      <w:r w:rsidR="00B02D6C">
        <w:rPr>
          <w:bCs/>
        </w:rPr>
        <w:t xml:space="preserve"> reduce the prevalence of a given illness.</w:t>
      </w:r>
    </w:p>
    <w:p w14:paraId="1891F7D8" w14:textId="77777777" w:rsidR="001C23C4" w:rsidRDefault="001C23C4">
      <w:pPr>
        <w:spacing w:line="480" w:lineRule="auto"/>
        <w:ind w:left="1440"/>
        <w:rPr>
          <w:bCs/>
        </w:rPr>
      </w:pPr>
    </w:p>
    <w:p w14:paraId="3E0859CE" w14:textId="28FE9E40" w:rsidR="00442E7F" w:rsidRPr="00B02D6C" w:rsidRDefault="00CD4AC3" w:rsidP="00B02D6C">
      <w:pPr>
        <w:spacing w:line="480" w:lineRule="auto"/>
        <w:ind w:hanging="480"/>
      </w:pPr>
      <w:bookmarkStart w:id="4" w:name="_Hlk158461304"/>
      <w:r>
        <w:rPr>
          <w:b/>
        </w:rPr>
        <w:t xml:space="preserve">Source Two: </w:t>
      </w:r>
      <w:bookmarkEnd w:id="4"/>
      <w:proofErr w:type="spellStart"/>
      <w:r w:rsidR="00A66B38" w:rsidRPr="00A66B38">
        <w:t>Gobaud</w:t>
      </w:r>
      <w:proofErr w:type="spellEnd"/>
      <w:r w:rsidR="00A66B38" w:rsidRPr="00A66B38">
        <w:t xml:space="preserve">, A. N., </w:t>
      </w:r>
      <w:proofErr w:type="spellStart"/>
      <w:r w:rsidR="00A66B38" w:rsidRPr="00A66B38">
        <w:t>Mehranbod</w:t>
      </w:r>
      <w:proofErr w:type="spellEnd"/>
      <w:r w:rsidR="00A66B38" w:rsidRPr="00A66B38">
        <w:t xml:space="preserve">, C. A., Dong, B., Dodington, J., &amp; Morrison, C. N. (2022). Absolute versus relative socioeconomic disadvantage and homicide: A spatial ecological case–control study of US zip codes. </w:t>
      </w:r>
      <w:r w:rsidR="00A66B38" w:rsidRPr="00A66B38">
        <w:rPr>
          <w:i/>
          <w:iCs/>
        </w:rPr>
        <w:t>Injury Epidemiology</w:t>
      </w:r>
      <w:r w:rsidR="00A66B38" w:rsidRPr="00A66B38">
        <w:t xml:space="preserve">, </w:t>
      </w:r>
      <w:r w:rsidR="00A66B38" w:rsidRPr="00A66B38">
        <w:rPr>
          <w:i/>
          <w:iCs/>
        </w:rPr>
        <w:t>9</w:t>
      </w:r>
      <w:r w:rsidR="00A66B38" w:rsidRPr="00A66B38">
        <w:t xml:space="preserve">(1), 7. </w:t>
      </w:r>
      <w:hyperlink r:id="rId10" w:history="1">
        <w:r w:rsidR="00A66B38" w:rsidRPr="00A66B38">
          <w:rPr>
            <w:color w:val="0000FF"/>
            <w:u w:val="single"/>
          </w:rPr>
          <w:t>https://doi.org/10.1186/s40621-022-00371-z</w:t>
        </w:r>
      </w:hyperlink>
    </w:p>
    <w:p w14:paraId="5239BD1D" w14:textId="77777777" w:rsidR="00E826D5" w:rsidRDefault="00E826D5" w:rsidP="001D5609">
      <w:pPr>
        <w:spacing w:line="480" w:lineRule="auto"/>
        <w:ind w:hanging="480"/>
      </w:pPr>
    </w:p>
    <w:p w14:paraId="0000003B" w14:textId="77777777" w:rsidR="00520992" w:rsidRDefault="00000000">
      <w:pPr>
        <w:spacing w:line="480" w:lineRule="auto"/>
        <w:ind w:left="720"/>
      </w:pPr>
      <w:bookmarkStart w:id="5" w:name="_heading=h.30j0zll" w:colFirst="0" w:colLast="0"/>
      <w:bookmarkEnd w:id="5"/>
      <w:r>
        <w:rPr>
          <w:b/>
        </w:rPr>
        <w:t>Comment 3:</w:t>
      </w:r>
      <w:r>
        <w:rPr>
          <w:b/>
          <w:color w:val="FF0000"/>
        </w:rPr>
        <w:t xml:space="preserve">  </w:t>
      </w:r>
    </w:p>
    <w:p w14:paraId="618B6B53" w14:textId="77777777" w:rsidR="00A66B38" w:rsidRPr="00A66B38" w:rsidRDefault="00000000" w:rsidP="00A66B38">
      <w:pPr>
        <w:spacing w:line="480" w:lineRule="auto"/>
        <w:ind w:left="1440"/>
        <w:rPr>
          <w:bCs/>
        </w:rPr>
      </w:pPr>
      <w:r>
        <w:rPr>
          <w:b/>
        </w:rPr>
        <w:t>Quote/Paraphrase</w:t>
      </w:r>
      <w:r w:rsidR="00950B88">
        <w:rPr>
          <w:b/>
        </w:rPr>
        <w:t>:</w:t>
      </w:r>
      <w:r w:rsidR="00A2072B">
        <w:rPr>
          <w:b/>
        </w:rPr>
        <w:t xml:space="preserve"> </w:t>
      </w:r>
      <w:r w:rsidR="00D74D85">
        <w:rPr>
          <w:bCs/>
        </w:rPr>
        <w:t>“</w:t>
      </w:r>
      <w:r w:rsidR="00A66B38" w:rsidRPr="00A66B38">
        <w:rPr>
          <w:bCs/>
        </w:rPr>
        <w:t>The unit of analysis for this ecological case–control</w:t>
      </w:r>
    </w:p>
    <w:p w14:paraId="77DE4710" w14:textId="5A67B181" w:rsidR="00A66B38" w:rsidRPr="00A66B38" w:rsidRDefault="00A66B38" w:rsidP="00A66B38">
      <w:pPr>
        <w:spacing w:line="480" w:lineRule="auto"/>
        <w:ind w:left="1440"/>
        <w:rPr>
          <w:bCs/>
        </w:rPr>
      </w:pPr>
      <w:r w:rsidRPr="00A66B38">
        <w:rPr>
          <w:bCs/>
        </w:rPr>
        <w:t>study were 2017 ZIP codes. Though an imperfect proxy</w:t>
      </w:r>
      <w:r>
        <w:rPr>
          <w:bCs/>
        </w:rPr>
        <w:t xml:space="preserve"> </w:t>
      </w:r>
      <w:r w:rsidRPr="00A66B38">
        <w:rPr>
          <w:bCs/>
        </w:rPr>
        <w:t>for neighborhoods, we chose ZIP codes in 2017 as the</w:t>
      </w:r>
      <w:r>
        <w:rPr>
          <w:bCs/>
        </w:rPr>
        <w:t xml:space="preserve"> </w:t>
      </w:r>
      <w:r w:rsidRPr="00A66B38">
        <w:rPr>
          <w:bCs/>
        </w:rPr>
        <w:t>unit of analysis because of data availability. ZIP codes</w:t>
      </w:r>
      <w:r>
        <w:rPr>
          <w:bCs/>
        </w:rPr>
        <w:t xml:space="preserve"> </w:t>
      </w:r>
      <w:r w:rsidRPr="00A66B38">
        <w:rPr>
          <w:bCs/>
        </w:rPr>
        <w:t>eligible for inclusion were in the 34 US states and four</w:t>
      </w:r>
      <w:r>
        <w:rPr>
          <w:bCs/>
        </w:rPr>
        <w:t xml:space="preserve"> </w:t>
      </w:r>
      <w:r w:rsidRPr="00A66B38">
        <w:rPr>
          <w:bCs/>
        </w:rPr>
        <w:t xml:space="preserve">counties in </w:t>
      </w:r>
      <w:r w:rsidRPr="00A66B38">
        <w:rPr>
          <w:bCs/>
        </w:rPr>
        <w:lastRenderedPageBreak/>
        <w:t>California that participated in the National</w:t>
      </w:r>
      <w:r>
        <w:rPr>
          <w:bCs/>
        </w:rPr>
        <w:t xml:space="preserve"> </w:t>
      </w:r>
      <w:r w:rsidRPr="00A66B38">
        <w:rPr>
          <w:bCs/>
        </w:rPr>
        <w:t>Violent Death Reporting System (NVDRS) during that</w:t>
      </w:r>
      <w:r>
        <w:rPr>
          <w:bCs/>
        </w:rPr>
        <w:t xml:space="preserve"> </w:t>
      </w:r>
      <w:r w:rsidRPr="00A66B38">
        <w:rPr>
          <w:bCs/>
        </w:rPr>
        <w:t>year (n = 23,949). The Centers for Disease Control and</w:t>
      </w:r>
    </w:p>
    <w:p w14:paraId="0000003D" w14:textId="4BBE04C6" w:rsidR="00520992" w:rsidRDefault="00A66B38" w:rsidP="00A66B38">
      <w:pPr>
        <w:spacing w:line="480" w:lineRule="auto"/>
        <w:ind w:left="1440"/>
        <w:rPr>
          <w:bCs/>
        </w:rPr>
      </w:pPr>
      <w:r w:rsidRPr="00A66B38">
        <w:rPr>
          <w:bCs/>
        </w:rPr>
        <w:t>Prevention (CDC) created the NVDRS in 2002 to collect</w:t>
      </w:r>
      <w:r>
        <w:rPr>
          <w:bCs/>
        </w:rPr>
        <w:t xml:space="preserve"> </w:t>
      </w:r>
      <w:r w:rsidRPr="00A66B38">
        <w:rPr>
          <w:bCs/>
        </w:rPr>
        <w:t xml:space="preserve">data on all types of violent deaths—including homicides—in all settings for all age groups (State </w:t>
      </w:r>
      <w:proofErr w:type="spellStart"/>
      <w:r w:rsidRPr="00A66B38">
        <w:rPr>
          <w:bCs/>
        </w:rPr>
        <w:t>Profileset</w:t>
      </w:r>
      <w:proofErr w:type="spellEnd"/>
      <w:r w:rsidRPr="00A66B38">
        <w:rPr>
          <w:bCs/>
        </w:rPr>
        <w:t xml:space="preserve"> al. 2019).</w:t>
      </w:r>
      <w:r w:rsidR="00D74D85">
        <w:rPr>
          <w:bCs/>
        </w:rPr>
        <w:fldChar w:fldCharType="begin"/>
      </w:r>
      <w:r w:rsidR="00D74D85">
        <w:rPr>
          <w:bCs/>
        </w:rPr>
        <w:instrText xml:space="preserve"> ADDIN ZOTERO_ITEM CSL_CITATION {"citationID":"JNOj2LNt","properties":{"formattedCitation":"(Curl et al., 2020)","plainCitation":"(Curl et al., 2020)","noteIndex":0},"citationItems":[{"id":485,"uris":["http://zotero.org/users/local/Prr5sh2G/items/G8F2APKM"],"itemData":{"id":485,"type":"article-journal","abstract":"The aim of this study was to identify social, cultural and workplace-related risk factors affecting well-being among Latina farmworkers in rural Idaho. We recruited 70 Latina farmworkers from southwestern Idaho in 2019. We employed an inter-disciplinary, mixed-methods approach—including surveys, focus groups, interviews, and pesticide biomonitoring—to characterize multiple domains that inﬂuence well-being, including food security and access, housing conditions, social supports, access to medical care, and workplace safety. Six major themes emerged as primary challenges to Latina farmworkers’ well-being. In the public sphere, study participants identiﬁed these challenges as long working hours, concerns regarding pesticide exposure, and lack of enforcement of regulatory protections. Participants’ concerns regarding pesticide exposure were underscored by biological sampling results; multiple biomarkers of pesticide exposure were detected in all samples, with the highest concentrations measured in samples collected from women who reported mixing, loading or applying pesticides. Within the private sphere, food security and provisioning, childcare responsibilities, and social isolation were identiﬁed as signiﬁcant challenges to well-being. Gender, ethnicity, and geography emerged as important, intersecting statuses that shaped the life experiences of these agricultural workers. Our ﬁndings suggest that gender may play a particularly critical role in the unique challenges facing Latina farmworkers. As a result, the services and regulations needed to support well-being in this population may be highly speciﬁc, and almost certainly include attention to work–family dynamics, pesticide exposure, and social connections.","container-title":"International Journal of Environmental Research and Public Health","DOI":"10.3390/ijerph18010169","ISSN":"1660-4601","issue":"1","journalAbbreviation":"IJERPH","language":"en","license":"https://creativecommons.org/licenses/by/4.0/","page":"169","source":"DOI.org (Crossref)","title":"Understanding Challenges to Well-Being among Latina FarmWorkers in Rural Idaho Using in an Interdisciplinary, Mixed-Methods Approach","volume":"18","author":[{"family":"Curl","given":"Cynthia L."},{"family":"Meierotto","given":"Lisa"},{"family":"Som Castellano","given":"Rebecca L."}],"issued":{"date-parts":[["2020",12,29]]}}}],"schema":"https://github.com/citation-style-language/schema/raw/master/csl-citation.json"} </w:instrText>
      </w:r>
      <w:r w:rsidR="00D74D85">
        <w:rPr>
          <w:bCs/>
        </w:rPr>
        <w:fldChar w:fldCharType="separate"/>
      </w:r>
      <w:r w:rsidR="00D74D85" w:rsidRPr="00E8396E">
        <w:t>(</w:t>
      </w:r>
      <w:r w:rsidRPr="00A66B38">
        <w:t xml:space="preserve">Gobaud, </w:t>
      </w:r>
      <w:r w:rsidR="00D74D85" w:rsidRPr="00E8396E">
        <w:t xml:space="preserve"> et al., 202</w:t>
      </w:r>
      <w:r w:rsidR="00D74D85">
        <w:t>2, p.</w:t>
      </w:r>
      <w:r>
        <w:t>3</w:t>
      </w:r>
      <w:r w:rsidR="00D74D85" w:rsidRPr="00E8396E">
        <w:t>)</w:t>
      </w:r>
      <w:r w:rsidR="00D74D85">
        <w:rPr>
          <w:bCs/>
        </w:rPr>
        <w:fldChar w:fldCharType="end"/>
      </w:r>
    </w:p>
    <w:p w14:paraId="07BB60E6" w14:textId="77777777" w:rsidR="00563D75" w:rsidRDefault="00563D75" w:rsidP="00D74D85">
      <w:pPr>
        <w:spacing w:line="480" w:lineRule="auto"/>
        <w:ind w:left="1440"/>
      </w:pPr>
    </w:p>
    <w:p w14:paraId="0000003E" w14:textId="6F416E76" w:rsidR="00520992" w:rsidRPr="001452D1" w:rsidRDefault="00000000">
      <w:pPr>
        <w:spacing w:line="480" w:lineRule="auto"/>
        <w:ind w:left="1440"/>
        <w:rPr>
          <w:bCs/>
        </w:rPr>
      </w:pPr>
      <w:r>
        <w:rPr>
          <w:b/>
        </w:rPr>
        <w:t>Essential Element:</w:t>
      </w:r>
      <w:r w:rsidR="001452D1">
        <w:rPr>
          <w:b/>
        </w:rPr>
        <w:t xml:space="preserve"> </w:t>
      </w:r>
      <w:r w:rsidR="007D6CFD">
        <w:t>Sampling Techniques</w:t>
      </w:r>
    </w:p>
    <w:p w14:paraId="0000003F" w14:textId="77777777" w:rsidR="00520992" w:rsidRDefault="00520992">
      <w:pPr>
        <w:spacing w:line="480" w:lineRule="auto"/>
        <w:ind w:left="1440"/>
        <w:rPr>
          <w:b/>
        </w:rPr>
      </w:pPr>
    </w:p>
    <w:p w14:paraId="00000041" w14:textId="1BDA0011" w:rsidR="00520992" w:rsidRDefault="00000000">
      <w:pPr>
        <w:spacing w:line="480" w:lineRule="auto"/>
        <w:ind w:left="1440"/>
        <w:rPr>
          <w:bCs/>
        </w:rPr>
      </w:pPr>
      <w:r>
        <w:rPr>
          <w:b/>
        </w:rPr>
        <w:t>Additive/Variant Analysis:</w:t>
      </w:r>
      <w:r w:rsidR="00D21742">
        <w:rPr>
          <w:b/>
        </w:rPr>
        <w:t xml:space="preserve"> </w:t>
      </w:r>
      <w:r w:rsidR="00652431">
        <w:rPr>
          <w:bCs/>
        </w:rPr>
        <w:t xml:space="preserve">The use of zip </w:t>
      </w:r>
      <w:proofErr w:type="gramStart"/>
      <w:r w:rsidR="00652431">
        <w:rPr>
          <w:bCs/>
        </w:rPr>
        <w:t>codes,</w:t>
      </w:r>
      <w:proofErr w:type="gramEnd"/>
      <w:r w:rsidR="00A34FF9">
        <w:rPr>
          <w:bCs/>
        </w:rPr>
        <w:t xml:space="preserve"> to attach attribute data to a spatial location </w:t>
      </w:r>
      <w:proofErr w:type="gramStart"/>
      <w:r w:rsidR="00A34FF9">
        <w:rPr>
          <w:bCs/>
        </w:rPr>
        <w:t>in order to</w:t>
      </w:r>
      <w:proofErr w:type="gramEnd"/>
      <w:r w:rsidR="00A34FF9">
        <w:rPr>
          <w:bCs/>
        </w:rPr>
        <w:t xml:space="preserve"> conduct </w:t>
      </w:r>
      <w:proofErr w:type="spellStart"/>
      <w:r w:rsidR="00A34FF9">
        <w:rPr>
          <w:bCs/>
        </w:rPr>
        <w:t>geohealth</w:t>
      </w:r>
      <w:proofErr w:type="spellEnd"/>
      <w:r w:rsidR="00A34FF9">
        <w:rPr>
          <w:bCs/>
        </w:rPr>
        <w:t xml:space="preserve"> research is additive to my understanding.</w:t>
      </w:r>
    </w:p>
    <w:p w14:paraId="7C12F1D8" w14:textId="77777777" w:rsidR="00A34FF9" w:rsidRDefault="00A34FF9">
      <w:pPr>
        <w:spacing w:line="480" w:lineRule="auto"/>
        <w:ind w:left="1440"/>
      </w:pPr>
    </w:p>
    <w:p w14:paraId="56FF8235" w14:textId="1847B15B" w:rsidR="005F2D8B" w:rsidRDefault="00000000" w:rsidP="006C10F2">
      <w:pPr>
        <w:spacing w:line="480" w:lineRule="auto"/>
        <w:ind w:left="1440"/>
        <w:rPr>
          <w:bCs/>
        </w:rPr>
      </w:pPr>
      <w:r>
        <w:rPr>
          <w:b/>
        </w:rPr>
        <w:t>Contextualization:</w:t>
      </w:r>
      <w:r w:rsidR="00D21742">
        <w:rPr>
          <w:b/>
        </w:rPr>
        <w:t xml:space="preserve"> </w:t>
      </w:r>
      <w:r w:rsidR="00EC26DE">
        <w:rPr>
          <w:bCs/>
        </w:rPr>
        <w:t xml:space="preserve">With </w:t>
      </w:r>
      <w:proofErr w:type="spellStart"/>
      <w:r w:rsidR="00EC26DE">
        <w:rPr>
          <w:bCs/>
        </w:rPr>
        <w:t>geohealth</w:t>
      </w:r>
      <w:proofErr w:type="spellEnd"/>
      <w:r w:rsidR="00B565C0">
        <w:rPr>
          <w:bCs/>
        </w:rPr>
        <w:t xml:space="preserve"> research</w:t>
      </w:r>
      <w:r w:rsidR="00EC26DE">
        <w:rPr>
          <w:bCs/>
        </w:rPr>
        <w:t xml:space="preserve"> one is interested in understanding health and illness from a geographical perspective. </w:t>
      </w:r>
      <w:r w:rsidR="00631787">
        <w:rPr>
          <w:bCs/>
        </w:rPr>
        <w:t xml:space="preserve">There is always a geographic aspect of health and illness because people are located geographically. With our modern computing tools such as GIS, we can not only map health and </w:t>
      </w:r>
      <w:r w:rsidR="00A34FF9">
        <w:rPr>
          <w:bCs/>
        </w:rPr>
        <w:t>illness,</w:t>
      </w:r>
      <w:r w:rsidR="00631787">
        <w:rPr>
          <w:bCs/>
        </w:rPr>
        <w:t xml:space="preserve"> but we can also conduct spatial statistical analysis. </w:t>
      </w:r>
      <w:r w:rsidR="00BD7276">
        <w:rPr>
          <w:bCs/>
        </w:rPr>
        <w:t xml:space="preserve">With the use of Electronic Health Records (EHR), there is a wealth of medical information that could be analyzed, in addition there is demographic information and geographic information associated with </w:t>
      </w:r>
      <w:proofErr w:type="gramStart"/>
      <w:r w:rsidR="00BD7276">
        <w:rPr>
          <w:bCs/>
        </w:rPr>
        <w:t>patients,</w:t>
      </w:r>
      <w:proofErr w:type="gramEnd"/>
      <w:r w:rsidR="00BD7276">
        <w:rPr>
          <w:bCs/>
        </w:rPr>
        <w:t xml:space="preserve"> therefore we can link health data with geographic data such as zip code. In addition to </w:t>
      </w:r>
      <w:proofErr w:type="gramStart"/>
      <w:r w:rsidR="00BD7276">
        <w:rPr>
          <w:bCs/>
        </w:rPr>
        <w:t>patients</w:t>
      </w:r>
      <w:proofErr w:type="gramEnd"/>
      <w:r w:rsidR="00BD7276">
        <w:rPr>
          <w:bCs/>
        </w:rPr>
        <w:t xml:space="preserve"> addresses, address location of the health clinic or hospital. </w:t>
      </w:r>
      <w:r w:rsidR="00DE218A">
        <w:rPr>
          <w:bCs/>
        </w:rPr>
        <w:t xml:space="preserve">Thus, given this connection with health data and geographic </w:t>
      </w:r>
      <w:r w:rsidR="00BE7896">
        <w:rPr>
          <w:bCs/>
        </w:rPr>
        <w:lastRenderedPageBreak/>
        <w:t xml:space="preserve">data, researchers can conduct insightful </w:t>
      </w:r>
      <w:proofErr w:type="spellStart"/>
      <w:r w:rsidR="00BE7896">
        <w:rPr>
          <w:bCs/>
        </w:rPr>
        <w:t>geohealth</w:t>
      </w:r>
      <w:proofErr w:type="spellEnd"/>
      <w:r w:rsidR="00BE7896">
        <w:rPr>
          <w:bCs/>
        </w:rPr>
        <w:t xml:space="preserve"> research, which provides an additional context to understanding health and illness of people.</w:t>
      </w:r>
    </w:p>
    <w:p w14:paraId="40F1B7EF" w14:textId="77777777" w:rsidR="00A66B38" w:rsidRDefault="00A66B38" w:rsidP="006C10F2">
      <w:pPr>
        <w:spacing w:line="480" w:lineRule="auto"/>
        <w:ind w:left="1440"/>
        <w:rPr>
          <w:bCs/>
        </w:rPr>
      </w:pPr>
    </w:p>
    <w:p w14:paraId="09ECEA01" w14:textId="63BDE0FA" w:rsidR="00883A3C" w:rsidRDefault="00CD4AC3" w:rsidP="009D1554">
      <w:pPr>
        <w:spacing w:line="480" w:lineRule="auto"/>
        <w:ind w:hanging="480"/>
      </w:pPr>
      <w:r>
        <w:rPr>
          <w:b/>
        </w:rPr>
        <w:t xml:space="preserve">Source Three: </w:t>
      </w:r>
      <w:r w:rsidR="00131034" w:rsidRPr="00131034">
        <w:t xml:space="preserve">Habibi, R., </w:t>
      </w:r>
      <w:proofErr w:type="spellStart"/>
      <w:r w:rsidR="00131034" w:rsidRPr="00131034">
        <w:t>Alesheikh</w:t>
      </w:r>
      <w:proofErr w:type="spellEnd"/>
      <w:r w:rsidR="00131034" w:rsidRPr="00131034">
        <w:t xml:space="preserve">, A. A., &amp; Bayat, S. (2022). An event-based model and a map visualization approach for spatiotemporal association relations discovery of diseases diffusion. </w:t>
      </w:r>
      <w:r w:rsidR="00131034" w:rsidRPr="00131034">
        <w:rPr>
          <w:i/>
          <w:iCs/>
        </w:rPr>
        <w:t>Sustainable Cities and Society</w:t>
      </w:r>
      <w:r w:rsidR="00131034" w:rsidRPr="00131034">
        <w:t xml:space="preserve">, </w:t>
      </w:r>
      <w:r w:rsidR="00131034" w:rsidRPr="00131034">
        <w:rPr>
          <w:i/>
          <w:iCs/>
        </w:rPr>
        <w:t>87</w:t>
      </w:r>
      <w:r w:rsidR="00131034" w:rsidRPr="00131034">
        <w:t xml:space="preserve">, 104187. </w:t>
      </w:r>
      <w:hyperlink r:id="rId11" w:history="1">
        <w:r w:rsidR="00131034" w:rsidRPr="00131034">
          <w:rPr>
            <w:color w:val="0000FF"/>
            <w:u w:val="single"/>
          </w:rPr>
          <w:t>https://doi.org/10.1016/j.scs.2022.104187</w:t>
        </w:r>
      </w:hyperlink>
    </w:p>
    <w:p w14:paraId="14E43C7F" w14:textId="77777777" w:rsidR="009D1554" w:rsidRDefault="009D1554" w:rsidP="009D1554">
      <w:pPr>
        <w:spacing w:line="480" w:lineRule="auto"/>
        <w:ind w:hanging="480"/>
      </w:pPr>
    </w:p>
    <w:p w14:paraId="00000043" w14:textId="77777777" w:rsidR="00520992" w:rsidRDefault="00000000">
      <w:pPr>
        <w:spacing w:line="480" w:lineRule="auto"/>
        <w:ind w:left="720"/>
      </w:pPr>
      <w:r>
        <w:rPr>
          <w:b/>
        </w:rPr>
        <w:t>Comment 4:</w:t>
      </w:r>
    </w:p>
    <w:p w14:paraId="573DED7A" w14:textId="4BD1FD48" w:rsidR="002B01CB" w:rsidRPr="00BB46B7" w:rsidRDefault="00000000" w:rsidP="002B01CB">
      <w:pPr>
        <w:spacing w:line="480" w:lineRule="auto"/>
        <w:ind w:left="1440"/>
        <w:rPr>
          <w:bCs/>
        </w:rPr>
      </w:pPr>
      <w:r>
        <w:rPr>
          <w:b/>
        </w:rPr>
        <w:t>Quote/Paraphrase</w:t>
      </w:r>
      <w:r w:rsidR="00950B88">
        <w:rPr>
          <w:b/>
        </w:rPr>
        <w:t>:</w:t>
      </w:r>
      <w:r w:rsidR="009210F3">
        <w:rPr>
          <w:b/>
        </w:rPr>
        <w:t xml:space="preserve"> </w:t>
      </w:r>
      <w:bookmarkStart w:id="6" w:name="_Hlk176588845"/>
      <w:r w:rsidR="009210F3">
        <w:rPr>
          <w:bCs/>
        </w:rPr>
        <w:t>“</w:t>
      </w:r>
      <w:r w:rsidR="00131034" w:rsidRPr="00131034">
        <w:rPr>
          <w:bCs/>
        </w:rPr>
        <w:t>In this study, the data on rate of COVID-19 cases per 100,000 people COVID-19 were obtained from the NYC Health Department repository on GitHub (NYC-Health, 2022). This dataset was stratified by week and modified ZIP Code Tabulation Area (ZCTA) for 75 weeks from August 2, 2020, to January 8, 2022</w:t>
      </w:r>
      <w:r w:rsidR="00131034">
        <w:rPr>
          <w:bCs/>
        </w:rPr>
        <w:t>.”</w:t>
      </w:r>
      <w:r w:rsidR="00D74D85" w:rsidRPr="00D74D85">
        <w:rPr>
          <w:bCs/>
        </w:rPr>
        <w:t xml:space="preserve"> </w:t>
      </w:r>
      <w:r w:rsidR="00784CDC">
        <w:rPr>
          <w:bCs/>
        </w:rPr>
        <w:t>(</w:t>
      </w:r>
      <w:r w:rsidR="002B01CB">
        <w:rPr>
          <w:bCs/>
        </w:rPr>
        <w:fldChar w:fldCharType="begin"/>
      </w:r>
      <w:r w:rsidR="002B01CB">
        <w:rPr>
          <w:bCs/>
        </w:rPr>
        <w:instrText xml:space="preserve"> ADDIN ZOTERO_ITEM CSL_CITATION {"citationID":"JNOj2LNt","properties":{"formattedCitation":"(Curl et al., 2020)","plainCitation":"(Curl et al., 2020)","noteIndex":0},"citationItems":[{"id":485,"uris":["http://zotero.org/users/local/Prr5sh2G/items/G8F2APKM"],"itemData":{"id":485,"type":"article-journal","abstract":"The aim of this study was to identify social, cultural and workplace-related risk factors affecting well-being among Latina farmworkers in rural Idaho. We recruited 70 Latina farmworkers from southwestern Idaho in 2019. We employed an inter-disciplinary, mixed-methods approach—including surveys, focus groups, interviews, and pesticide biomonitoring—to characterize multiple domains that inﬂuence well-being, including food security and access, housing conditions, social supports, access to medical care, and workplace safety. Six major themes emerged as primary challenges to Latina farmworkers’ well-being. In the public sphere, study participants identiﬁed these challenges as long working hours, concerns regarding pesticide exposure, and lack of enforcement of regulatory protections. Participants’ concerns regarding pesticide exposure were underscored by biological sampling results; multiple biomarkers of pesticide exposure were detected in all samples, with the highest concentrations measured in samples collected from women who reported mixing, loading or applying pesticides. Within the private sphere, food security and provisioning, childcare responsibilities, and social isolation were identiﬁed as signiﬁcant challenges to well-being. Gender, ethnicity, and geography emerged as important, intersecting statuses that shaped the life experiences of these agricultural workers. Our ﬁndings suggest that gender may play a particularly critical role in the unique challenges facing Latina farmworkers. As a result, the services and regulations needed to support well-being in this population may be highly speciﬁc, and almost certainly include attention to work–family dynamics, pesticide exposure, and social connections.","container-title":"International Journal of Environmental Research and Public Health","DOI":"10.3390/ijerph18010169","ISSN":"1660-4601","issue":"1","journalAbbreviation":"IJERPH","language":"en","license":"https://creativecommons.org/licenses/by/4.0/","page":"169","source":"DOI.org (Crossref)","title":"Understanding Challenges to Well-Being among Latina FarmWorkers in Rural Idaho Using in an Interdisciplinary, Mixed-Methods Approach","volume":"18","author":[{"family":"Curl","given":"Cynthia L."},{"family":"Meierotto","given":"Lisa"},{"family":"Som Castellano","given":"Rebecca L."}],"issued":{"date-parts":[["2020",12,29]]}}}],"schema":"https://github.com/citation-style-language/schema/raw/master/csl-citation.json"} </w:instrText>
      </w:r>
      <w:r w:rsidR="002B01CB">
        <w:rPr>
          <w:bCs/>
        </w:rPr>
        <w:fldChar w:fldCharType="separate"/>
      </w:r>
      <w:r w:rsidR="00131034" w:rsidRPr="00131034">
        <w:t>Habibi</w:t>
      </w:r>
      <w:r w:rsidR="0059550B">
        <w:t>r</w:t>
      </w:r>
      <w:r w:rsidR="00784CDC">
        <w:t xml:space="preserve"> et al</w:t>
      </w:r>
      <w:r w:rsidR="002B01CB" w:rsidRPr="00E8396E">
        <w:t>, 20</w:t>
      </w:r>
      <w:r w:rsidR="00131034">
        <w:t>22</w:t>
      </w:r>
      <w:r w:rsidR="002B01CB">
        <w:t>, p.</w:t>
      </w:r>
      <w:r w:rsidR="0059550B">
        <w:t xml:space="preserve"> </w:t>
      </w:r>
      <w:r w:rsidR="00131034">
        <w:t>87</w:t>
      </w:r>
      <w:r w:rsidR="002B01CB" w:rsidRPr="00E8396E">
        <w:t>)</w:t>
      </w:r>
      <w:r w:rsidR="002B01CB">
        <w:rPr>
          <w:bCs/>
        </w:rPr>
        <w:fldChar w:fldCharType="end"/>
      </w:r>
      <w:bookmarkEnd w:id="6"/>
    </w:p>
    <w:p w14:paraId="00000045" w14:textId="7DCC52FC" w:rsidR="00520992" w:rsidRDefault="00520992">
      <w:pPr>
        <w:spacing w:line="480" w:lineRule="auto"/>
        <w:ind w:left="1440"/>
      </w:pPr>
    </w:p>
    <w:p w14:paraId="00000046" w14:textId="41D7A7FC" w:rsidR="00520992" w:rsidRDefault="00000000">
      <w:pPr>
        <w:spacing w:line="480" w:lineRule="auto"/>
        <w:ind w:left="1440"/>
        <w:rPr>
          <w:b/>
        </w:rPr>
      </w:pPr>
      <w:bookmarkStart w:id="7" w:name="_Hlk171700661"/>
      <w:r>
        <w:rPr>
          <w:b/>
        </w:rPr>
        <w:t>Essential Element:</w:t>
      </w:r>
      <w:r w:rsidR="001452D1">
        <w:rPr>
          <w:b/>
        </w:rPr>
        <w:t xml:space="preserve"> </w:t>
      </w:r>
      <w:r w:rsidR="007D6CFD">
        <w:t>Data Analysis</w:t>
      </w:r>
    </w:p>
    <w:p w14:paraId="00000047" w14:textId="77777777" w:rsidR="00520992" w:rsidRDefault="00520992">
      <w:pPr>
        <w:spacing w:line="480" w:lineRule="auto"/>
        <w:ind w:left="1440"/>
        <w:rPr>
          <w:b/>
        </w:rPr>
      </w:pPr>
    </w:p>
    <w:p w14:paraId="00000048" w14:textId="34E221F2" w:rsidR="00520992" w:rsidRPr="0010468B" w:rsidRDefault="00000000">
      <w:pPr>
        <w:spacing w:line="480" w:lineRule="auto"/>
        <w:ind w:left="1440"/>
        <w:rPr>
          <w:bCs/>
        </w:rPr>
      </w:pPr>
      <w:r>
        <w:rPr>
          <w:b/>
        </w:rPr>
        <w:t>Additive/Variant Analysis:</w:t>
      </w:r>
      <w:r w:rsidR="0010468B">
        <w:rPr>
          <w:b/>
        </w:rPr>
        <w:t xml:space="preserve"> </w:t>
      </w:r>
      <w:r w:rsidR="0010468B">
        <w:rPr>
          <w:bCs/>
        </w:rPr>
        <w:t>Th</w:t>
      </w:r>
      <w:r w:rsidR="00B069CC">
        <w:rPr>
          <w:bCs/>
        </w:rPr>
        <w:t>e concept</w:t>
      </w:r>
      <w:r w:rsidR="0099137F">
        <w:rPr>
          <w:bCs/>
        </w:rPr>
        <w:t xml:space="preserve"> and the utilization of Zip Code Tabulation Area (ZCTA) for enabling geo shape files of small geographic areas</w:t>
      </w:r>
      <w:r w:rsidR="00B069CC">
        <w:rPr>
          <w:bCs/>
        </w:rPr>
        <w:t xml:space="preserve"> is </w:t>
      </w:r>
      <w:r w:rsidR="0010468B">
        <w:rPr>
          <w:bCs/>
        </w:rPr>
        <w:t>additive</w:t>
      </w:r>
      <w:r w:rsidR="00B069CC">
        <w:rPr>
          <w:bCs/>
        </w:rPr>
        <w:t xml:space="preserve"> to my understanding of </w:t>
      </w:r>
      <w:r w:rsidR="0099137F">
        <w:rPr>
          <w:bCs/>
        </w:rPr>
        <w:t>spatial data</w:t>
      </w:r>
      <w:r w:rsidR="00B069CC">
        <w:rPr>
          <w:bCs/>
        </w:rPr>
        <w:t>.</w:t>
      </w:r>
      <w:r w:rsidR="003C3F80">
        <w:rPr>
          <w:bCs/>
        </w:rPr>
        <w:t xml:space="preserve"> </w:t>
      </w:r>
    </w:p>
    <w:p w14:paraId="00000049" w14:textId="77777777" w:rsidR="00520992" w:rsidRDefault="00520992">
      <w:pPr>
        <w:spacing w:line="480" w:lineRule="auto"/>
        <w:ind w:left="1440"/>
      </w:pPr>
    </w:p>
    <w:p w14:paraId="0000004A" w14:textId="72BFE802" w:rsidR="00520992" w:rsidRDefault="00000000">
      <w:pPr>
        <w:spacing w:line="480" w:lineRule="auto"/>
        <w:ind w:left="1440"/>
        <w:rPr>
          <w:bCs/>
        </w:rPr>
      </w:pPr>
      <w:r>
        <w:rPr>
          <w:b/>
        </w:rPr>
        <w:t>Contextualization:</w:t>
      </w:r>
      <w:r w:rsidR="00F321AB">
        <w:rPr>
          <w:b/>
        </w:rPr>
        <w:t xml:space="preserve"> </w:t>
      </w:r>
      <w:r w:rsidR="00AD5BB6">
        <w:rPr>
          <w:bCs/>
        </w:rPr>
        <w:t xml:space="preserve">In healthcare research, rates are often used to yield standardized data given a population base. For example, death rates are often reported as age-adjusted death rates, to account for the age at death. This provides </w:t>
      </w:r>
      <w:r w:rsidR="0099137F">
        <w:rPr>
          <w:bCs/>
        </w:rPr>
        <w:lastRenderedPageBreak/>
        <w:t>standardized</w:t>
      </w:r>
      <w:r w:rsidR="00AD5BB6">
        <w:rPr>
          <w:bCs/>
        </w:rPr>
        <w:t xml:space="preserve"> values where researchers could utilize to understand health and illness </w:t>
      </w:r>
      <w:r w:rsidR="0099137F">
        <w:rPr>
          <w:bCs/>
        </w:rPr>
        <w:t>phenomena</w:t>
      </w:r>
      <w:r w:rsidR="00AD5BB6">
        <w:rPr>
          <w:bCs/>
        </w:rPr>
        <w:t xml:space="preserve"> in context of </w:t>
      </w:r>
      <w:r w:rsidR="0099137F">
        <w:rPr>
          <w:bCs/>
        </w:rPr>
        <w:t>phenomenon</w:t>
      </w:r>
      <w:r w:rsidR="00AD5BB6">
        <w:rPr>
          <w:bCs/>
        </w:rPr>
        <w:t xml:space="preserve">.  With the study of examining the relationship between land use and illness, counts of illness </w:t>
      </w:r>
      <w:r w:rsidR="007D0709">
        <w:rPr>
          <w:bCs/>
        </w:rPr>
        <w:t>need</w:t>
      </w:r>
      <w:r w:rsidR="00AD5BB6">
        <w:rPr>
          <w:bCs/>
        </w:rPr>
        <w:t xml:space="preserve"> to be converted into rates </w:t>
      </w:r>
      <w:r w:rsidR="003A7E63">
        <w:rPr>
          <w:bCs/>
        </w:rPr>
        <w:t xml:space="preserve">to put illness in context of the </w:t>
      </w:r>
      <w:r w:rsidR="007D0709">
        <w:rPr>
          <w:bCs/>
        </w:rPr>
        <w:t>patient</w:t>
      </w:r>
      <w:r w:rsidR="003A7E63">
        <w:rPr>
          <w:bCs/>
        </w:rPr>
        <w:t xml:space="preserve"> population. </w:t>
      </w:r>
      <w:r w:rsidR="007D0709">
        <w:rPr>
          <w:bCs/>
        </w:rPr>
        <w:t xml:space="preserve">The method for </w:t>
      </w:r>
      <w:r w:rsidR="0099137F">
        <w:rPr>
          <w:bCs/>
        </w:rPr>
        <w:t>standardizing</w:t>
      </w:r>
      <w:r w:rsidR="007D0709">
        <w:rPr>
          <w:bCs/>
        </w:rPr>
        <w:t xml:space="preserve"> illness data I will use </w:t>
      </w:r>
      <w:r w:rsidR="00B0230A">
        <w:rPr>
          <w:bCs/>
        </w:rPr>
        <w:t xml:space="preserve">is to use the patient population of the health centers as the </w:t>
      </w:r>
      <w:r w:rsidR="0099137F">
        <w:rPr>
          <w:bCs/>
        </w:rPr>
        <w:t>denominator</w:t>
      </w:r>
      <w:r w:rsidR="00B0230A">
        <w:rPr>
          <w:bCs/>
        </w:rPr>
        <w:t xml:space="preserve"> and the count of the number of patients within the illness/disease categories as the numerator. This will be additional work, but it is all part of data preparation that is done in archival research. This will give the rate of illness </w:t>
      </w:r>
      <w:proofErr w:type="gramStart"/>
      <w:r w:rsidR="00B0230A">
        <w:rPr>
          <w:bCs/>
        </w:rPr>
        <w:t>in a given</w:t>
      </w:r>
      <w:proofErr w:type="gramEnd"/>
      <w:r w:rsidR="00B0230A">
        <w:rPr>
          <w:bCs/>
        </w:rPr>
        <w:t xml:space="preserve"> health center area. Then the primary service area of the health center given by the main zip codes of patients of the health center will provide the geolocation data to place the rates of illness on the map. The overlay </w:t>
      </w:r>
      <w:r w:rsidR="0099137F">
        <w:rPr>
          <w:bCs/>
        </w:rPr>
        <w:t>of these service areas on top of the land use spatial data will provide the context of the research to identify which illnesses are associated with different types</w:t>
      </w:r>
      <w:r w:rsidR="00B0230A">
        <w:rPr>
          <w:bCs/>
        </w:rPr>
        <w:t xml:space="preserve"> of land use.</w:t>
      </w:r>
    </w:p>
    <w:p w14:paraId="2BB4B1AD" w14:textId="77777777" w:rsidR="00784CDC" w:rsidRDefault="00784CDC">
      <w:pPr>
        <w:spacing w:line="480" w:lineRule="auto"/>
        <w:ind w:left="1440"/>
        <w:rPr>
          <w:bCs/>
        </w:rPr>
      </w:pPr>
    </w:p>
    <w:bookmarkEnd w:id="7"/>
    <w:p w14:paraId="15129EB2" w14:textId="77777777" w:rsidR="00FE2052" w:rsidRDefault="00A66B38" w:rsidP="00FE2052">
      <w:pPr>
        <w:spacing w:line="480" w:lineRule="auto"/>
        <w:ind w:hanging="480"/>
      </w:pPr>
      <w:r>
        <w:rPr>
          <w:b/>
        </w:rPr>
        <w:t xml:space="preserve">Source Four: </w:t>
      </w:r>
      <w:r w:rsidR="00FE2052" w:rsidRPr="00FE2052">
        <w:t xml:space="preserve">Zeng, S., Pelzer, K. M., Gibbons, R. D., Peek, M. E., &amp; Parker, W. F. (2022). Association of Zip Code Vaccination Rate With COVID-19 Mortality in Chicago, Illinois. </w:t>
      </w:r>
      <w:r w:rsidR="00FE2052" w:rsidRPr="00FE2052">
        <w:rPr>
          <w:i/>
          <w:iCs/>
        </w:rPr>
        <w:t>JAMA Network Open</w:t>
      </w:r>
      <w:r w:rsidR="00FE2052" w:rsidRPr="00FE2052">
        <w:t xml:space="preserve">, </w:t>
      </w:r>
      <w:r w:rsidR="00FE2052" w:rsidRPr="00FE2052">
        <w:rPr>
          <w:i/>
          <w:iCs/>
        </w:rPr>
        <w:t>5</w:t>
      </w:r>
      <w:r w:rsidR="00FE2052" w:rsidRPr="00FE2052">
        <w:t xml:space="preserve">(5), e2214753. </w:t>
      </w:r>
      <w:hyperlink r:id="rId12" w:history="1">
        <w:r w:rsidR="00FE2052" w:rsidRPr="00FE2052">
          <w:rPr>
            <w:color w:val="0000FF"/>
            <w:u w:val="single"/>
          </w:rPr>
          <w:t>https://doi.org/10.1001/jamanetworkopen.2022.14753</w:t>
        </w:r>
      </w:hyperlink>
    </w:p>
    <w:p w14:paraId="6BC71F60" w14:textId="0E1933CB" w:rsidR="00E8396E" w:rsidRPr="00556234" w:rsidRDefault="00E8396E" w:rsidP="002B01CB">
      <w:pPr>
        <w:spacing w:line="480" w:lineRule="auto"/>
      </w:pPr>
    </w:p>
    <w:p w14:paraId="27BD9C39" w14:textId="6466ECE1" w:rsidR="00E8396E" w:rsidRDefault="00E8396E" w:rsidP="00E8396E">
      <w:pPr>
        <w:spacing w:line="480" w:lineRule="auto"/>
        <w:ind w:left="720"/>
      </w:pPr>
      <w:r>
        <w:rPr>
          <w:b/>
        </w:rPr>
        <w:t xml:space="preserve">Comment </w:t>
      </w:r>
      <w:r w:rsidR="002B01CB">
        <w:rPr>
          <w:b/>
        </w:rPr>
        <w:t>5</w:t>
      </w:r>
      <w:r>
        <w:rPr>
          <w:b/>
        </w:rPr>
        <w:t>:</w:t>
      </w:r>
    </w:p>
    <w:p w14:paraId="2E636C1A" w14:textId="33B6C28B" w:rsidR="00E8396E" w:rsidRDefault="00E8396E" w:rsidP="00534638">
      <w:pPr>
        <w:spacing w:line="480" w:lineRule="auto"/>
        <w:ind w:left="1440"/>
        <w:rPr>
          <w:bCs/>
        </w:rPr>
      </w:pPr>
      <w:r>
        <w:rPr>
          <w:b/>
        </w:rPr>
        <w:t xml:space="preserve">Quote/Paraphrase: </w:t>
      </w:r>
      <w:r>
        <w:rPr>
          <w:bCs/>
        </w:rPr>
        <w:t>“</w:t>
      </w:r>
      <w:r w:rsidR="007D5DD5" w:rsidRPr="007D5DD5">
        <w:rPr>
          <w:bCs/>
        </w:rPr>
        <w:t xml:space="preserve">We performed 3 robustness checks for the Poisson regression. First, we changed the exposure to the 6-week lagged percentage of residents fully vaccinated. Next, we used vaccination group as a categorical treatment variable to assess for nonlinear effects of vaccination rate on mortality. </w:t>
      </w:r>
      <w:r w:rsidR="0099137F" w:rsidRPr="007D5DD5">
        <w:rPr>
          <w:bCs/>
        </w:rPr>
        <w:lastRenderedPageBreak/>
        <w:t>Lastly, we</w:t>
      </w:r>
      <w:r w:rsidR="007D5DD5" w:rsidRPr="007D5DD5">
        <w:rPr>
          <w:bCs/>
        </w:rPr>
        <w:t xml:space="preserve"> used mortality data from the Cook County Medical Examiner Case Archive,19 which provided residential addresses that we geocoded to census tracts. Because vaccination data are collected by the CDPH and only available at the zip code level, we constructed a data set that contained weekly deaths and vaccination coverage within the geographic overlap of a census tract and zip code with population estimated from the Crosswalk Files from the US Department of Housing and Urban  Development.20  We performed all analyses with R statistical software version 4.0.5 (R Project for Statistical  Computing)</w:t>
      </w:r>
      <w:r w:rsidR="0099137F">
        <w:rPr>
          <w:bCs/>
        </w:rPr>
        <w:t>.</w:t>
      </w:r>
      <w:r w:rsidR="002B01CB">
        <w:rPr>
          <w:bCs/>
        </w:rPr>
        <w:t xml:space="preserve">” </w:t>
      </w:r>
      <w:bookmarkStart w:id="8" w:name="_Hlk176551244"/>
      <w:r w:rsidR="000329A5">
        <w:rPr>
          <w:bCs/>
        </w:rPr>
        <w:fldChar w:fldCharType="begin"/>
      </w:r>
      <w:r w:rsidR="00A73938">
        <w:rPr>
          <w:bCs/>
        </w:rPr>
        <w:instrText xml:space="preserve"> ADDIN ZOTERO_ITEM CSL_CITATION {"citationID":"zgTIKjNG","properties":{"formattedCitation":"(Hyland et al., 2024)","plainCitation":"(Hyland et al., 2024)","dontUpdate":true,"noteIndex":0},"citationItems":[{"id":487,"uris":["http://zotero.org/users/local/Prr5sh2G/items/CCDEMIL5"],"itemData":{"id":487,"type":"article-journal","abstract":"Introduction: Farmworkers are one of the populations most vulnerable to climate change. In addition to disproportionate exposure to climate-intensiﬁed hazards such as extreme heat and wildﬁre smoke, many farmworkers face situational and psychosocial stressors that also impact their health.","container-title":"The Journal of Climate Change and Health","DOI":"10.1016/j.joclim.2024.100300","ISSN":"26672782","journalAbbreviation":"The Journal of Climate Change and Health","language":"en","page":"100300","source":"DOI.org (Crossref)","title":"“No matter how hot it is, you just have to do the work”: Examining farmworkers’ experiences with heat and climate change in Idaho","title-short":"“No matter how hot it is, you just have to do the work”","volume":"16","author":[{"family":"Hyland","given":"Carly"},{"family":"Flores","given":"Delmy"},{"family":"Augusto","given":"Grace"},{"family":"Ruiz","given":"Irene"},{"family":"Vega","given":"Marielena"},{"family":"Wood","given":"Rulon"}],"issued":{"date-parts":[["2024",3]]}}}],"schema":"https://github.com/citation-style-language/schema/raw/master/csl-citation.json"} </w:instrText>
      </w:r>
      <w:r w:rsidR="000329A5">
        <w:rPr>
          <w:bCs/>
        </w:rPr>
        <w:fldChar w:fldCharType="separate"/>
      </w:r>
      <w:r w:rsidR="000329A5" w:rsidRPr="000329A5">
        <w:t>(</w:t>
      </w:r>
      <w:r w:rsidR="00FE2052" w:rsidRPr="00FE2052">
        <w:t>Zeng</w:t>
      </w:r>
      <w:r w:rsidR="002B01CB">
        <w:t>t</w:t>
      </w:r>
      <w:r w:rsidR="000329A5" w:rsidRPr="000329A5">
        <w:t xml:space="preserve"> et al., 202</w:t>
      </w:r>
      <w:r w:rsidR="002B01CB">
        <w:t>2</w:t>
      </w:r>
      <w:r w:rsidR="000329A5">
        <w:t xml:space="preserve">, p. </w:t>
      </w:r>
      <w:r w:rsidR="007D5DD5">
        <w:t>3</w:t>
      </w:r>
      <w:r w:rsidR="000329A5" w:rsidRPr="000329A5">
        <w:t>)</w:t>
      </w:r>
      <w:r w:rsidR="000329A5">
        <w:rPr>
          <w:bCs/>
        </w:rPr>
        <w:fldChar w:fldCharType="end"/>
      </w:r>
      <w:bookmarkEnd w:id="8"/>
    </w:p>
    <w:p w14:paraId="4998D5CD" w14:textId="77777777" w:rsidR="0084609D" w:rsidRDefault="0084609D" w:rsidP="00E8396E">
      <w:pPr>
        <w:spacing w:line="480" w:lineRule="auto"/>
        <w:ind w:left="720" w:firstLine="720"/>
        <w:rPr>
          <w:color w:val="0000FF"/>
          <w:u w:val="single"/>
        </w:rPr>
      </w:pPr>
    </w:p>
    <w:p w14:paraId="25119AE7" w14:textId="38C93228" w:rsidR="00E8396E" w:rsidRDefault="00E8396E" w:rsidP="00E8396E">
      <w:pPr>
        <w:spacing w:line="480" w:lineRule="auto"/>
        <w:ind w:left="1440"/>
        <w:rPr>
          <w:b/>
        </w:rPr>
      </w:pPr>
      <w:r>
        <w:rPr>
          <w:b/>
        </w:rPr>
        <w:t xml:space="preserve">Essential Element: </w:t>
      </w:r>
      <w:r w:rsidR="007D6CFD">
        <w:t>Data Analysis</w:t>
      </w:r>
    </w:p>
    <w:p w14:paraId="2F705A40" w14:textId="77777777" w:rsidR="00E8396E" w:rsidRDefault="00E8396E" w:rsidP="00E8396E">
      <w:pPr>
        <w:spacing w:line="480" w:lineRule="auto"/>
        <w:ind w:left="1440"/>
        <w:rPr>
          <w:b/>
        </w:rPr>
      </w:pPr>
    </w:p>
    <w:p w14:paraId="044303EC" w14:textId="05730E8F" w:rsidR="00E8396E" w:rsidRPr="0010468B" w:rsidRDefault="00E8396E" w:rsidP="00E8396E">
      <w:pPr>
        <w:spacing w:line="480" w:lineRule="auto"/>
        <w:ind w:left="1440"/>
        <w:rPr>
          <w:bCs/>
        </w:rPr>
      </w:pPr>
      <w:r>
        <w:rPr>
          <w:b/>
        </w:rPr>
        <w:t xml:space="preserve">Additive/Variant Analysis: </w:t>
      </w:r>
      <w:r>
        <w:rPr>
          <w:bCs/>
        </w:rPr>
        <w:t>Th</w:t>
      </w:r>
      <w:r w:rsidR="00282F09">
        <w:rPr>
          <w:bCs/>
        </w:rPr>
        <w:t xml:space="preserve">e </w:t>
      </w:r>
      <w:r w:rsidR="006F6FBF">
        <w:rPr>
          <w:bCs/>
        </w:rPr>
        <w:t xml:space="preserve">use of various regression modeling, including logistic regression used in </w:t>
      </w:r>
      <w:proofErr w:type="spellStart"/>
      <w:r w:rsidR="006F6FBF">
        <w:rPr>
          <w:bCs/>
        </w:rPr>
        <w:t>geohealth</w:t>
      </w:r>
      <w:proofErr w:type="spellEnd"/>
      <w:r w:rsidR="006F6FBF">
        <w:rPr>
          <w:bCs/>
        </w:rPr>
        <w:t xml:space="preserve"> </w:t>
      </w:r>
      <w:proofErr w:type="gramStart"/>
      <w:r w:rsidR="006F6FBF">
        <w:rPr>
          <w:bCs/>
        </w:rPr>
        <w:t>research</w:t>
      </w:r>
      <w:proofErr w:type="gramEnd"/>
      <w:r w:rsidR="006F6FBF">
        <w:rPr>
          <w:bCs/>
        </w:rPr>
        <w:t xml:space="preserve"> is </w:t>
      </w:r>
      <w:r>
        <w:rPr>
          <w:bCs/>
        </w:rPr>
        <w:t>additive to</w:t>
      </w:r>
      <w:r w:rsidR="00282F09">
        <w:rPr>
          <w:bCs/>
        </w:rPr>
        <w:t xml:space="preserve"> my understanding of </w:t>
      </w:r>
      <w:r w:rsidR="006F6FBF">
        <w:rPr>
          <w:bCs/>
        </w:rPr>
        <w:t>statistical procedures used in healthcare research</w:t>
      </w:r>
      <w:r w:rsidR="00282F09">
        <w:rPr>
          <w:bCs/>
        </w:rPr>
        <w:t>.</w:t>
      </w:r>
    </w:p>
    <w:p w14:paraId="19FA30D4" w14:textId="77777777" w:rsidR="00E8396E" w:rsidRDefault="00E8396E" w:rsidP="00E8396E">
      <w:pPr>
        <w:spacing w:line="480" w:lineRule="auto"/>
        <w:ind w:left="1440"/>
      </w:pPr>
    </w:p>
    <w:p w14:paraId="032007CA" w14:textId="70A3F265" w:rsidR="008D43F2" w:rsidRDefault="00E8396E" w:rsidP="008D43F2">
      <w:pPr>
        <w:spacing w:line="480" w:lineRule="auto"/>
        <w:ind w:left="1440"/>
        <w:rPr>
          <w:bCs/>
        </w:rPr>
      </w:pPr>
      <w:r>
        <w:rPr>
          <w:b/>
        </w:rPr>
        <w:t xml:space="preserve">Contextualization: </w:t>
      </w:r>
      <w:r w:rsidR="00CB15AC">
        <w:rPr>
          <w:bCs/>
        </w:rPr>
        <w:t xml:space="preserve">The </w:t>
      </w:r>
      <w:r w:rsidR="008D43F2">
        <w:rPr>
          <w:bCs/>
        </w:rPr>
        <w:t>research of finding correlations between illness and land use</w:t>
      </w:r>
      <w:bookmarkStart w:id="9" w:name="_Hlk190505884"/>
      <w:r w:rsidR="008D43F2">
        <w:rPr>
          <w:bCs/>
        </w:rPr>
        <w:t xml:space="preserve">, is a bit different from other </w:t>
      </w:r>
      <w:proofErr w:type="spellStart"/>
      <w:r w:rsidR="008D43F2">
        <w:rPr>
          <w:bCs/>
        </w:rPr>
        <w:t>geo</w:t>
      </w:r>
      <w:bookmarkEnd w:id="9"/>
      <w:r w:rsidR="008D43F2">
        <w:rPr>
          <w:bCs/>
        </w:rPr>
        <w:t>health</w:t>
      </w:r>
      <w:proofErr w:type="spellEnd"/>
      <w:r w:rsidR="008D43F2">
        <w:rPr>
          <w:bCs/>
        </w:rPr>
        <w:t xml:space="preserve"> correlation studies, so it has been a challenge to find the best statistical method to conduct the research from reviewing literature.  Land use is a spatial variable and categorical, with different land use associated with </w:t>
      </w:r>
      <w:r w:rsidR="006F6FBF">
        <w:rPr>
          <w:bCs/>
        </w:rPr>
        <w:t>different</w:t>
      </w:r>
      <w:r w:rsidR="008D43F2">
        <w:rPr>
          <w:bCs/>
        </w:rPr>
        <w:t xml:space="preserve"> land use codes (i.e. 11, 12, 21) and these codes are associated with different land use types and definitions. For </w:t>
      </w:r>
      <w:r w:rsidR="006F6FBF">
        <w:rPr>
          <w:bCs/>
        </w:rPr>
        <w:t>example,</w:t>
      </w:r>
    </w:p>
    <w:p w14:paraId="6C17245C" w14:textId="6B8FB502" w:rsidR="008D43F2" w:rsidRPr="008D43F2" w:rsidRDefault="008D43F2" w:rsidP="008D43F2">
      <w:pPr>
        <w:ind w:left="1440"/>
        <w:rPr>
          <w:bCs/>
        </w:rPr>
      </w:pPr>
      <w:r w:rsidRPr="008D43F2">
        <w:rPr>
          <w:bCs/>
        </w:rPr>
        <w:t>11</w:t>
      </w:r>
      <w:r w:rsidRPr="008D43F2">
        <w:rPr>
          <w:bCs/>
        </w:rPr>
        <w:tab/>
        <w:t>Open Water- areas of open water, generally with less than 25% cover of vegetation or soil.</w:t>
      </w:r>
    </w:p>
    <w:p w14:paraId="4EDAD156" w14:textId="77777777" w:rsidR="008D43F2" w:rsidRPr="008D43F2" w:rsidRDefault="008D43F2" w:rsidP="008D43F2">
      <w:pPr>
        <w:ind w:left="1440"/>
        <w:rPr>
          <w:bCs/>
        </w:rPr>
      </w:pPr>
      <w:r w:rsidRPr="008D43F2">
        <w:rPr>
          <w:bCs/>
        </w:rPr>
        <w:lastRenderedPageBreak/>
        <w:t>12</w:t>
      </w:r>
      <w:r w:rsidRPr="008D43F2">
        <w:rPr>
          <w:bCs/>
        </w:rPr>
        <w:tab/>
        <w:t>Perennial Ice/Snow- areas characterized by a perennial cover of ice and/or snow, generally greater than 25% of total cover.</w:t>
      </w:r>
    </w:p>
    <w:p w14:paraId="3B9DAA15" w14:textId="77777777" w:rsidR="008D43F2" w:rsidRPr="008D43F2" w:rsidRDefault="008D43F2" w:rsidP="008D43F2">
      <w:pPr>
        <w:ind w:left="1440"/>
        <w:rPr>
          <w:bCs/>
        </w:rPr>
      </w:pPr>
      <w:r w:rsidRPr="008D43F2">
        <w:rPr>
          <w:bCs/>
        </w:rPr>
        <w:t>21</w:t>
      </w:r>
      <w:r w:rsidRPr="008D43F2">
        <w:rPr>
          <w:bCs/>
        </w:rPr>
        <w:tab/>
        <w:t xml:space="preserve">Developed, Open Space- areas with a mixture of some constructed materials, but mostly vegetation in the form of lawn grasses. Impervious surfaces account for less than 20% of total cover. These areas most commonly include </w:t>
      </w:r>
      <w:proofErr w:type="gramStart"/>
      <w:r w:rsidRPr="008D43F2">
        <w:rPr>
          <w:bCs/>
        </w:rPr>
        <w:t>large-lot</w:t>
      </w:r>
      <w:proofErr w:type="gramEnd"/>
      <w:r w:rsidRPr="008D43F2">
        <w:rPr>
          <w:bCs/>
        </w:rPr>
        <w:t xml:space="preserve"> single-family housing units, parks, golf courses, and vegetation planted in developed settings for recreation, erosion control, or aesthetic purposes.</w:t>
      </w:r>
    </w:p>
    <w:p w14:paraId="2B56D319" w14:textId="2A92B94D" w:rsidR="00E826D5" w:rsidRDefault="008D43F2" w:rsidP="008D43F2">
      <w:pPr>
        <w:ind w:left="1440"/>
        <w:rPr>
          <w:bCs/>
        </w:rPr>
      </w:pPr>
      <w:r w:rsidRPr="008D43F2">
        <w:rPr>
          <w:bCs/>
        </w:rPr>
        <w:t>22</w:t>
      </w:r>
      <w:r w:rsidRPr="008D43F2">
        <w:rPr>
          <w:bCs/>
        </w:rPr>
        <w:tab/>
        <w:t>Developed, Low Intensity- areas with a mixture of constructed materials and vegetation. Impervious surfaces account for 20% to 49% percent of total cover. These areas most commonly include single-family housing units.</w:t>
      </w:r>
    </w:p>
    <w:p w14:paraId="26B762E5" w14:textId="77777777" w:rsidR="006F6FBF" w:rsidRDefault="006F6FBF" w:rsidP="003474C2">
      <w:pPr>
        <w:spacing w:line="480" w:lineRule="auto"/>
        <w:ind w:left="1440"/>
        <w:rPr>
          <w:bCs/>
        </w:rPr>
      </w:pPr>
    </w:p>
    <w:p w14:paraId="417F94E6" w14:textId="5D59B598" w:rsidR="00BB4068" w:rsidRDefault="006B2DFB" w:rsidP="003474C2">
      <w:pPr>
        <w:spacing w:line="480" w:lineRule="auto"/>
        <w:ind w:left="1440"/>
        <w:rPr>
          <w:bCs/>
        </w:rPr>
      </w:pPr>
      <w:r>
        <w:rPr>
          <w:bCs/>
        </w:rPr>
        <w:t xml:space="preserve">Land use is not </w:t>
      </w:r>
      <w:proofErr w:type="gramStart"/>
      <w:r>
        <w:rPr>
          <w:bCs/>
        </w:rPr>
        <w:t>really ordinal</w:t>
      </w:r>
      <w:proofErr w:type="gramEnd"/>
      <w:r>
        <w:rPr>
          <w:bCs/>
        </w:rPr>
        <w:t xml:space="preserve"> </w:t>
      </w:r>
      <w:r w:rsidR="00BB4068">
        <w:rPr>
          <w:bCs/>
        </w:rPr>
        <w:t>data but</w:t>
      </w:r>
      <w:r>
        <w:rPr>
          <w:bCs/>
        </w:rPr>
        <w:t xml:space="preserve"> could </w:t>
      </w:r>
      <w:r w:rsidR="00BB4068">
        <w:rPr>
          <w:bCs/>
        </w:rPr>
        <w:t xml:space="preserve">possibly </w:t>
      </w:r>
      <w:r>
        <w:rPr>
          <w:bCs/>
        </w:rPr>
        <w:t xml:space="preserve">be treated as such for statistical analysis purposes. </w:t>
      </w:r>
      <w:r w:rsidR="00BB4068">
        <w:rPr>
          <w:bCs/>
        </w:rPr>
        <w:t xml:space="preserve">But I think I will treat it as nominal and utilize a form of logistic regression </w:t>
      </w:r>
      <w:r w:rsidR="00BB4068" w:rsidRPr="00BB4068">
        <w:rPr>
          <w:bCs/>
        </w:rPr>
        <w:t xml:space="preserve">with the illness data </w:t>
      </w:r>
      <w:r w:rsidR="00D57C63">
        <w:rPr>
          <w:bCs/>
        </w:rPr>
        <w:t xml:space="preserve">as interval-ratio data as being the rate of a given illness or perhaps conducting </w:t>
      </w:r>
      <w:r w:rsidR="006F6FBF">
        <w:rPr>
          <w:bCs/>
        </w:rPr>
        <w:t>Poisson</w:t>
      </w:r>
      <w:r w:rsidR="00D57C63">
        <w:rPr>
          <w:bCs/>
        </w:rPr>
        <w:t xml:space="preserve"> regression, as they did in the above article.</w:t>
      </w:r>
      <w:r>
        <w:rPr>
          <w:bCs/>
        </w:rPr>
        <w:t xml:space="preserve"> </w:t>
      </w:r>
    </w:p>
    <w:p w14:paraId="1AC3A2C0" w14:textId="77777777" w:rsidR="00BB4068" w:rsidRDefault="00BB4068" w:rsidP="003474C2">
      <w:pPr>
        <w:spacing w:line="480" w:lineRule="auto"/>
        <w:ind w:left="1440"/>
        <w:rPr>
          <w:bCs/>
        </w:rPr>
      </w:pPr>
    </w:p>
    <w:p w14:paraId="3C04396C" w14:textId="77777777" w:rsidR="00011CCD" w:rsidRPr="00A73109" w:rsidRDefault="00784CDC" w:rsidP="00011CCD">
      <w:pPr>
        <w:spacing w:line="480" w:lineRule="auto"/>
        <w:ind w:hanging="480"/>
      </w:pPr>
      <w:r>
        <w:rPr>
          <w:b/>
        </w:rPr>
        <w:t xml:space="preserve">Source Five: </w:t>
      </w:r>
      <w:r w:rsidR="00011CCD" w:rsidRPr="00A73109">
        <w:t xml:space="preserve">Benavidez, G. A., Zahnd, W. E., Hung, P., &amp; Eberth, J. M. (2024). Chronic Disease Prevalence in the US: Sociodemographic and Geographic Variations by Zip Code Tabulation Area. </w:t>
      </w:r>
      <w:r w:rsidR="00011CCD" w:rsidRPr="00A73109">
        <w:rPr>
          <w:i/>
          <w:iCs/>
        </w:rPr>
        <w:t>Preventing Chronic Disease</w:t>
      </w:r>
      <w:r w:rsidR="00011CCD" w:rsidRPr="00A73109">
        <w:t xml:space="preserve">, </w:t>
      </w:r>
      <w:r w:rsidR="00011CCD" w:rsidRPr="00A73109">
        <w:rPr>
          <w:i/>
          <w:iCs/>
        </w:rPr>
        <w:t>21</w:t>
      </w:r>
      <w:r w:rsidR="00011CCD" w:rsidRPr="00A73109">
        <w:t xml:space="preserve">, 230267. </w:t>
      </w:r>
      <w:hyperlink r:id="rId13" w:history="1">
        <w:r w:rsidR="00011CCD" w:rsidRPr="00A73109">
          <w:rPr>
            <w:color w:val="0000FF"/>
            <w:u w:val="single"/>
          </w:rPr>
          <w:t>https://doi.org/10.5888/pcd21.230267</w:t>
        </w:r>
      </w:hyperlink>
    </w:p>
    <w:p w14:paraId="4C8EA3FB" w14:textId="77777777" w:rsidR="00054DBB" w:rsidRDefault="00054DBB" w:rsidP="00556234">
      <w:pPr>
        <w:spacing w:line="480" w:lineRule="auto"/>
        <w:rPr>
          <w:b/>
        </w:rPr>
      </w:pPr>
    </w:p>
    <w:p w14:paraId="1735C52E" w14:textId="55356E88" w:rsidR="00054DBB" w:rsidRDefault="00054DBB" w:rsidP="00054DBB">
      <w:pPr>
        <w:spacing w:line="480" w:lineRule="auto"/>
        <w:ind w:left="720"/>
      </w:pPr>
      <w:r>
        <w:rPr>
          <w:b/>
        </w:rPr>
        <w:t>Comment 6:</w:t>
      </w:r>
    </w:p>
    <w:p w14:paraId="0F5DF699" w14:textId="43FA39C9" w:rsidR="001768C9" w:rsidRDefault="00054DBB" w:rsidP="00FF3A65">
      <w:pPr>
        <w:spacing w:line="480" w:lineRule="auto"/>
        <w:ind w:left="1440"/>
      </w:pPr>
      <w:r>
        <w:rPr>
          <w:b/>
        </w:rPr>
        <w:t>Quote/Paraphrase</w:t>
      </w:r>
      <w:r w:rsidR="00950B88">
        <w:rPr>
          <w:b/>
        </w:rPr>
        <w:t>:</w:t>
      </w:r>
      <w:r w:rsidR="002A7191">
        <w:rPr>
          <w:b/>
        </w:rPr>
        <w:t xml:space="preserve"> </w:t>
      </w:r>
      <w:r w:rsidR="001768C9">
        <w:t>“</w:t>
      </w:r>
      <w:r w:rsidR="00294647" w:rsidRPr="00294647">
        <w:t>Data on ZCTA-level chronic disease prevalence estimates came from the 2020 Centers for Disease Control and Prevention’s (CDC’s) PLACES data set. The PLACES project is designed to generate health data for small geographic units across the country (</w:t>
      </w:r>
      <w:proofErr w:type="spellStart"/>
      <w:r w:rsidR="00294647" w:rsidRPr="00294647">
        <w:t>ie</w:t>
      </w:r>
      <w:proofErr w:type="spellEnd"/>
      <w:r w:rsidR="00294647" w:rsidRPr="00294647">
        <w:t>, county, census tract, and ZCTA) to enable informed decisions when planning public health interventions</w:t>
      </w:r>
      <w:r w:rsidR="001768C9" w:rsidRPr="001768C9">
        <w:t>.</w:t>
      </w:r>
      <w:r w:rsidR="001768C9">
        <w:t>”</w:t>
      </w:r>
      <w:r w:rsidR="001768C9" w:rsidRPr="001768C9">
        <w:t xml:space="preserve"> </w:t>
      </w:r>
      <w:r w:rsidR="001E300F">
        <w:rPr>
          <w:bCs/>
        </w:rPr>
        <w:fldChar w:fldCharType="begin"/>
      </w:r>
      <w:r w:rsidR="001E300F">
        <w:rPr>
          <w:bCs/>
        </w:rPr>
        <w:instrText xml:space="preserve"> ADDIN ZOTERO_ITEM CSL_CITATION {"citationID":"zgTIKjNG","properties":{"formattedCitation":"(Hyland et al., 2024)","plainCitation":"(Hyland et al., 2024)","dontUpdate":true,"noteIndex":0},"citationItems":[{"id":487,"uris":["http://zotero.org/users/local/Prr5sh2G/items/CCDEMIL5"],"itemData":{"id":487,"type":"article-journal","abstract":"Introduction: Farmworkers are one of the populations most vulnerable to climate change. In addition to disproportionate exposure to climate-intensiﬁed hazards such as extreme heat and wildﬁre smoke, many farmworkers face situational and psychosocial stressors that also impact their health.","container-title":"The Journal of Climate Change and Health","DOI":"10.1016/j.joclim.2024.100300","ISSN":"26672782","journalAbbreviation":"The Journal of Climate Change and Health","language":"en","page":"100300","source":"DOI.org (Crossref)","title":"“No matter how hot it is, you just have to do the work”: Examining farmworkers’ experiences with heat and climate change in Idaho","title-short":"“No matter how hot it is, you just have to do the work”","volume":"16","author":[{"family":"Hyland","given":"Carly"},{"family":"Flores","given":"Delmy"},{"family":"Augusto","given":"Grace"},{"family":"Ruiz","given":"Irene"},{"family":"Vega","given":"Marielena"},{"family":"Wood","given":"Rulon"}],"issued":{"date-parts":[["2024",3]]}}}],"schema":"https://github.com/citation-style-language/schema/raw/master/csl-citation.json"} </w:instrText>
      </w:r>
      <w:r w:rsidR="001E300F">
        <w:rPr>
          <w:bCs/>
        </w:rPr>
        <w:fldChar w:fldCharType="separate"/>
      </w:r>
      <w:r w:rsidR="001E300F" w:rsidRPr="000329A5">
        <w:t>(</w:t>
      </w:r>
      <w:r w:rsidR="00011CCD" w:rsidRPr="00A73109">
        <w:t>Benavidez</w:t>
      </w:r>
      <w:r w:rsidR="001E300F" w:rsidRPr="000329A5">
        <w:t xml:space="preserve"> et al., 202</w:t>
      </w:r>
      <w:r w:rsidR="00011CCD">
        <w:t>4</w:t>
      </w:r>
      <w:r w:rsidR="001E300F">
        <w:t>, p.</w:t>
      </w:r>
      <w:r w:rsidR="00294647">
        <w:t>2</w:t>
      </w:r>
      <w:r w:rsidR="001E300F" w:rsidRPr="000329A5">
        <w:t>)</w:t>
      </w:r>
      <w:r w:rsidR="001E300F">
        <w:rPr>
          <w:bCs/>
        </w:rPr>
        <w:fldChar w:fldCharType="end"/>
      </w:r>
    </w:p>
    <w:p w14:paraId="6772A18C" w14:textId="77777777" w:rsidR="00FF3A65" w:rsidRDefault="00FF3A65" w:rsidP="00FF3A65">
      <w:pPr>
        <w:spacing w:line="480" w:lineRule="auto"/>
        <w:ind w:left="1440"/>
      </w:pPr>
    </w:p>
    <w:p w14:paraId="6C3D205F" w14:textId="61C8A8A0" w:rsidR="00054DBB" w:rsidRPr="001F35D4" w:rsidRDefault="00054DBB" w:rsidP="00054DBB">
      <w:pPr>
        <w:spacing w:line="480" w:lineRule="auto"/>
        <w:ind w:left="1440"/>
        <w:rPr>
          <w:bCs/>
        </w:rPr>
      </w:pPr>
      <w:r>
        <w:rPr>
          <w:b/>
        </w:rPr>
        <w:t>Essential Element:</w:t>
      </w:r>
      <w:r w:rsidR="001F35D4">
        <w:rPr>
          <w:b/>
        </w:rPr>
        <w:t xml:space="preserve"> </w:t>
      </w:r>
      <w:r w:rsidR="007D6CFD">
        <w:t>Literature Review Outline</w:t>
      </w:r>
    </w:p>
    <w:p w14:paraId="000FC09F" w14:textId="77777777" w:rsidR="00054DBB" w:rsidRDefault="00054DBB" w:rsidP="00054DBB">
      <w:pPr>
        <w:spacing w:line="480" w:lineRule="auto"/>
        <w:ind w:left="1440"/>
        <w:rPr>
          <w:b/>
        </w:rPr>
      </w:pPr>
    </w:p>
    <w:p w14:paraId="775D3AA5" w14:textId="465628E5" w:rsidR="00054DBB" w:rsidRDefault="00054DBB" w:rsidP="00252A21">
      <w:pPr>
        <w:tabs>
          <w:tab w:val="left" w:pos="6924"/>
        </w:tabs>
        <w:spacing w:line="480" w:lineRule="auto"/>
        <w:ind w:left="1440"/>
        <w:rPr>
          <w:b/>
        </w:rPr>
      </w:pPr>
      <w:r>
        <w:rPr>
          <w:b/>
        </w:rPr>
        <w:t>Additive/Variant Analysis:</w:t>
      </w:r>
      <w:r w:rsidR="00AE75F0">
        <w:rPr>
          <w:b/>
        </w:rPr>
        <w:t xml:space="preserve"> </w:t>
      </w:r>
      <w:r w:rsidR="00AE75F0" w:rsidRPr="00AE75F0">
        <w:rPr>
          <w:bCs/>
        </w:rPr>
        <w:t xml:space="preserve">The </w:t>
      </w:r>
      <w:r w:rsidR="00AE75F0">
        <w:rPr>
          <w:bCs/>
        </w:rPr>
        <w:t>concept</w:t>
      </w:r>
      <w:r w:rsidR="00252A21">
        <w:rPr>
          <w:bCs/>
        </w:rPr>
        <w:t xml:space="preserve"> </w:t>
      </w:r>
      <w:r w:rsidR="006967D5">
        <w:rPr>
          <w:bCs/>
        </w:rPr>
        <w:t xml:space="preserve">of </w:t>
      </w:r>
      <w:r w:rsidR="006F6FBF">
        <w:rPr>
          <w:bCs/>
        </w:rPr>
        <w:t xml:space="preserve">trying to use the lowest level of geographical data </w:t>
      </w:r>
      <w:proofErr w:type="gramStart"/>
      <w:r w:rsidR="006F6FBF">
        <w:rPr>
          <w:bCs/>
        </w:rPr>
        <w:t>in order to</w:t>
      </w:r>
      <w:proofErr w:type="gramEnd"/>
      <w:r w:rsidR="006F6FBF">
        <w:rPr>
          <w:bCs/>
        </w:rPr>
        <w:t xml:space="preserve"> capture the most </w:t>
      </w:r>
      <w:proofErr w:type="gramStart"/>
      <w:r w:rsidR="006F6FBF">
        <w:rPr>
          <w:bCs/>
        </w:rPr>
        <w:t>detail</w:t>
      </w:r>
      <w:proofErr w:type="gramEnd"/>
      <w:r w:rsidR="006F6FBF">
        <w:rPr>
          <w:bCs/>
        </w:rPr>
        <w:t xml:space="preserve"> type of information is </w:t>
      </w:r>
      <w:r w:rsidR="00DC03D2">
        <w:rPr>
          <w:bCs/>
        </w:rPr>
        <w:t>additive to my knowledge</w:t>
      </w:r>
      <w:r w:rsidR="006F6FBF">
        <w:rPr>
          <w:bCs/>
        </w:rPr>
        <w:t xml:space="preserve"> of </w:t>
      </w:r>
      <w:proofErr w:type="spellStart"/>
      <w:r w:rsidR="006F6FBF">
        <w:rPr>
          <w:bCs/>
        </w:rPr>
        <w:t>geohealth</w:t>
      </w:r>
      <w:proofErr w:type="spellEnd"/>
      <w:r w:rsidR="006F6FBF">
        <w:rPr>
          <w:bCs/>
        </w:rPr>
        <w:t xml:space="preserve"> research.</w:t>
      </w:r>
      <w:r w:rsidR="00DC03D2">
        <w:rPr>
          <w:bCs/>
        </w:rPr>
        <w:t xml:space="preserve"> </w:t>
      </w:r>
      <w:r w:rsidR="00252A21">
        <w:rPr>
          <w:bCs/>
        </w:rPr>
        <w:t xml:space="preserve"> </w:t>
      </w:r>
    </w:p>
    <w:p w14:paraId="4E9FD68F" w14:textId="77777777" w:rsidR="00054DBB" w:rsidRDefault="00054DBB" w:rsidP="00054DBB">
      <w:pPr>
        <w:spacing w:line="480" w:lineRule="auto"/>
        <w:ind w:left="1440"/>
      </w:pPr>
    </w:p>
    <w:p w14:paraId="2EB2B4E0" w14:textId="274CF812" w:rsidR="00B930A3" w:rsidRDefault="00054DBB" w:rsidP="00611BA0">
      <w:pPr>
        <w:spacing w:line="480" w:lineRule="auto"/>
        <w:ind w:left="1440"/>
        <w:rPr>
          <w:bCs/>
        </w:rPr>
      </w:pPr>
      <w:r>
        <w:rPr>
          <w:b/>
        </w:rPr>
        <w:t>Contextualization:</w:t>
      </w:r>
      <w:r w:rsidR="00553F1F">
        <w:rPr>
          <w:b/>
        </w:rPr>
        <w:t xml:space="preserve"> </w:t>
      </w:r>
      <w:r w:rsidR="00320853">
        <w:rPr>
          <w:bCs/>
        </w:rPr>
        <w:t xml:space="preserve"> </w:t>
      </w:r>
      <w:r w:rsidR="00F650C6">
        <w:rPr>
          <w:bCs/>
        </w:rPr>
        <w:t xml:space="preserve"> </w:t>
      </w:r>
      <w:r w:rsidR="00826D2C">
        <w:rPr>
          <w:bCs/>
        </w:rPr>
        <w:t>In t</w:t>
      </w:r>
      <w:r w:rsidR="000C6F22">
        <w:rPr>
          <w:bCs/>
        </w:rPr>
        <w:t>his research</w:t>
      </w:r>
      <w:r w:rsidR="00826D2C">
        <w:rPr>
          <w:bCs/>
        </w:rPr>
        <w:t xml:space="preserve">, they used data derived health </w:t>
      </w:r>
      <w:proofErr w:type="gramStart"/>
      <w:r w:rsidR="00826D2C">
        <w:rPr>
          <w:bCs/>
        </w:rPr>
        <w:t>data</w:t>
      </w:r>
      <w:proofErr w:type="gramEnd"/>
      <w:r w:rsidR="00826D2C">
        <w:rPr>
          <w:bCs/>
        </w:rPr>
        <w:t xml:space="preserve"> from health surveillance systems for smaller geographic areas, such as ZTCAs</w:t>
      </w:r>
      <w:r w:rsidR="005510F9">
        <w:rPr>
          <w:bCs/>
        </w:rPr>
        <w:t xml:space="preserve"> from the CDC. This would also be a good data </w:t>
      </w:r>
      <w:proofErr w:type="gramStart"/>
      <w:r w:rsidR="005510F9">
        <w:rPr>
          <w:bCs/>
        </w:rPr>
        <w:t>set to use</w:t>
      </w:r>
      <w:proofErr w:type="gramEnd"/>
      <w:r w:rsidR="005510F9">
        <w:rPr>
          <w:bCs/>
        </w:rPr>
        <w:t xml:space="preserve"> to evaluate the correlation of land use and illnesses. The CDC PLACES data set has fewer illness groupings than I would like, and </w:t>
      </w:r>
      <w:proofErr w:type="gramStart"/>
      <w:r w:rsidR="005510F9">
        <w:rPr>
          <w:bCs/>
        </w:rPr>
        <w:t>not</w:t>
      </w:r>
      <w:proofErr w:type="gramEnd"/>
      <w:r w:rsidR="005510F9">
        <w:rPr>
          <w:bCs/>
        </w:rPr>
        <w:t xml:space="preserve"> exact data that comes out of EHR systems. However, the CDC PLACES data is publicly available and has less data prep required such would be the case with EHR data.</w:t>
      </w:r>
      <w:r w:rsidR="00B930A3">
        <w:rPr>
          <w:bCs/>
        </w:rPr>
        <w:t xml:space="preserve"> In my test run of a sample set of data, I will do a comparison with PLACES data to the EHR data among the comparable diseases.</w:t>
      </w:r>
      <w:r w:rsidR="00611BA0">
        <w:rPr>
          <w:bCs/>
        </w:rPr>
        <w:t xml:space="preserve"> </w:t>
      </w:r>
      <w:r w:rsidR="00DA7340">
        <w:rPr>
          <w:bCs/>
        </w:rPr>
        <w:t xml:space="preserve">This article included a good statement about utilizing </w:t>
      </w:r>
      <w:r w:rsidR="008D63C1">
        <w:rPr>
          <w:bCs/>
        </w:rPr>
        <w:t>small-area</w:t>
      </w:r>
      <w:r w:rsidR="00DA7340">
        <w:rPr>
          <w:bCs/>
        </w:rPr>
        <w:t xml:space="preserve"> health data to</w:t>
      </w:r>
      <w:proofErr w:type="gramStart"/>
      <w:r w:rsidR="00DA7340">
        <w:rPr>
          <w:bCs/>
        </w:rPr>
        <w:t xml:space="preserve">   “</w:t>
      </w:r>
      <w:proofErr w:type="gramEnd"/>
      <w:r w:rsidR="00B930A3" w:rsidRPr="00B930A3">
        <w:rPr>
          <w:bCs/>
        </w:rPr>
        <w:t>enable informed decisions when planning public health interventions”</w:t>
      </w:r>
      <w:r w:rsidR="00DA7340">
        <w:rPr>
          <w:bCs/>
        </w:rPr>
        <w:t>, I too hold this view, it is important to get to smaller levels of analysis to be able to see and understand the health differences of people within the smaller geo</w:t>
      </w:r>
      <w:r w:rsidR="00271E7D">
        <w:rPr>
          <w:bCs/>
        </w:rPr>
        <w:t>graphic area, so changes could be made to help communities become more healthier.</w:t>
      </w:r>
    </w:p>
    <w:p w14:paraId="681C971E" w14:textId="77777777" w:rsidR="005510F9" w:rsidRDefault="005510F9" w:rsidP="005510F9">
      <w:pPr>
        <w:spacing w:line="480" w:lineRule="auto"/>
        <w:ind w:left="1440"/>
      </w:pPr>
    </w:p>
    <w:p w14:paraId="5C9AEB37" w14:textId="012F0945" w:rsidR="00054DBB" w:rsidRDefault="00054DBB" w:rsidP="00054DBB">
      <w:pPr>
        <w:spacing w:line="480" w:lineRule="auto"/>
        <w:ind w:left="720"/>
      </w:pPr>
      <w:r>
        <w:rPr>
          <w:b/>
        </w:rPr>
        <w:t>Comment 7:</w:t>
      </w:r>
    </w:p>
    <w:p w14:paraId="3E3E8B6D" w14:textId="322E045D" w:rsidR="00054DBB" w:rsidRPr="002A7191" w:rsidRDefault="00054DBB" w:rsidP="00054DBB">
      <w:pPr>
        <w:spacing w:line="480" w:lineRule="auto"/>
        <w:ind w:left="1440"/>
        <w:rPr>
          <w:bCs/>
        </w:rPr>
      </w:pPr>
      <w:r>
        <w:rPr>
          <w:b/>
        </w:rPr>
        <w:lastRenderedPageBreak/>
        <w:t>Quote/Paraphrase</w:t>
      </w:r>
      <w:r w:rsidR="00950B88">
        <w:rPr>
          <w:b/>
        </w:rPr>
        <w:t>:</w:t>
      </w:r>
      <w:r w:rsidR="002A7191">
        <w:rPr>
          <w:b/>
        </w:rPr>
        <w:t xml:space="preserve"> </w:t>
      </w:r>
      <w:r w:rsidR="002A7191">
        <w:rPr>
          <w:bCs/>
        </w:rPr>
        <w:t>“</w:t>
      </w:r>
      <w:r w:rsidR="000D2896" w:rsidRPr="000D2896">
        <w:rPr>
          <w:bCs/>
        </w:rPr>
        <w:t>Sociodemographic and economic characteristics have been well studied and have shown consistently to be associated with various chronic diseases (25,26). Although our study corroborates these previous studies, we provide greater insight into the characteristics and the socioeconomic position of communities with a high prevalence of multiple chronic diseases</w:t>
      </w:r>
      <w:r w:rsidR="0059550B" w:rsidRPr="0059550B">
        <w:rPr>
          <w:bCs/>
        </w:rPr>
        <w:t>.</w:t>
      </w:r>
      <w:r w:rsidR="00143B2C">
        <w:rPr>
          <w:bCs/>
        </w:rPr>
        <w:t xml:space="preserve">” </w:t>
      </w:r>
      <w:bookmarkStart w:id="10" w:name="_Hlk165120213"/>
      <w:r w:rsidR="00143B2C">
        <w:rPr>
          <w:bCs/>
        </w:rPr>
        <w:fldChar w:fldCharType="begin"/>
      </w:r>
      <w:r w:rsidR="00F72131">
        <w:rPr>
          <w:bCs/>
        </w:rPr>
        <w:instrText xml:space="preserve"> ADDIN ZOTERO_ITEM CSL_CITATION {"citationID":"QgFgbRZB","properties":{"formattedCitation":"(Langer et al., 2023)","plainCitation":"(Langer et al., 2023)","dontUpdate":true,"noteIndex":0},"citationItems":[{"id":491,"uris":["http://zotero.org/users/local/Prr5sh2G/items/52FIA24I"],"itemData":{"id":491,"type":"article-journal","abstract":"Objective: Estimate the association between environmental temperature (wet bulb globe temperature [WBGT]) and work rate over the course of a workday. Methods: Repeated-measures regression was used to identify characteristics impacting work rate in a cross-sectional study of Latino farmworkers. Minute-by-minute work rate (measured by accelerometer) and WBGT were averaged over 15-minute intervals. Results: Work rate decreased by 4.34 (95% confidence interval [CI], −7.09 to −1.59) counts per minute per degree Celsius WBGT in the previous 15-minute interval. Cumulative quarter hours worked (2.13; 95% CI, 0.82 to 3.45), age (−3.64; 95% CI, −4.50 to −2.79), and dehydration at the end of workday (51.37; 95% CI, 19.24 to 83.50) were associated with counts per minute as were gender, pay type (piece rate vs hourly) and body mass index ≥25 kg/m2. The effects of pay type and body mass index were modified by gender. Conclusion: Increased temperature was associated with a decrease in work rate.","container-title":"Journal of Occupational &amp; Environmental Medicine","DOI":"10.1097/JOM.0000000000002853","ISSN":"1076-2752, 1536-5948","issue":"7","journalAbbreviation":"J Occup Environ Med","language":"en","license":"http://creativecommons.org/licenses/by-nc-nd/4.0/","page":"e458-e464","source":"DOI.org (Crossref)","title":"How Does Environmental Temperature Affect Farmworkers’ Work Rates in the California Heat Illness Prevention Study?","volume":"65","author":[{"family":"Langer","given":"Chelsea E."},{"family":"Armitage","given":"Tracey L."},{"family":"Beckman","given":"Stella"},{"family":"Tancredi","given":"Daniel J."},{"family":"Mitchell","given":"Diane C."},{"family":"Schenker","given":"Marc B."}],"issued":{"date-parts":[["2023",7]]}}}],"schema":"https://github.com/citation-style-language/schema/raw/master/csl-citation.json"} </w:instrText>
      </w:r>
      <w:r w:rsidR="00143B2C">
        <w:rPr>
          <w:bCs/>
        </w:rPr>
        <w:fldChar w:fldCharType="separate"/>
      </w:r>
      <w:r w:rsidR="000D2896" w:rsidRPr="00A73109">
        <w:t>Benavidez</w:t>
      </w:r>
      <w:r w:rsidR="000D2896" w:rsidRPr="000329A5">
        <w:t xml:space="preserve"> et al., </w:t>
      </w:r>
      <w:r w:rsidR="00A73938" w:rsidRPr="00A73938">
        <w:rPr>
          <w:bCs/>
        </w:rPr>
        <w:t>20</w:t>
      </w:r>
      <w:r w:rsidR="0059550B">
        <w:rPr>
          <w:bCs/>
        </w:rPr>
        <w:t>24</w:t>
      </w:r>
      <w:r w:rsidR="00A73938">
        <w:rPr>
          <w:bCs/>
        </w:rPr>
        <w:t xml:space="preserve">, p. </w:t>
      </w:r>
      <w:r w:rsidR="0059550B">
        <w:rPr>
          <w:bCs/>
        </w:rPr>
        <w:t>5</w:t>
      </w:r>
      <w:r w:rsidR="00A73938" w:rsidRPr="00A73938">
        <w:rPr>
          <w:bCs/>
        </w:rPr>
        <w:t>)</w:t>
      </w:r>
      <w:r w:rsidR="00143B2C">
        <w:rPr>
          <w:bCs/>
        </w:rPr>
        <w:fldChar w:fldCharType="end"/>
      </w:r>
      <w:bookmarkEnd w:id="10"/>
      <w:r w:rsidR="00A73938" w:rsidRPr="002A7191">
        <w:rPr>
          <w:bCs/>
        </w:rPr>
        <w:t xml:space="preserve"> </w:t>
      </w:r>
    </w:p>
    <w:p w14:paraId="0077A467" w14:textId="77777777" w:rsidR="00054DBB" w:rsidRDefault="00054DBB" w:rsidP="00054DBB">
      <w:pPr>
        <w:spacing w:line="480" w:lineRule="auto"/>
        <w:ind w:left="1440"/>
      </w:pPr>
    </w:p>
    <w:p w14:paraId="08EAA1B1" w14:textId="298FF530" w:rsidR="00054DBB" w:rsidRDefault="00054DBB" w:rsidP="00054DBB">
      <w:pPr>
        <w:spacing w:line="480" w:lineRule="auto"/>
        <w:ind w:left="1440"/>
        <w:rPr>
          <w:b/>
        </w:rPr>
      </w:pPr>
      <w:r>
        <w:rPr>
          <w:b/>
        </w:rPr>
        <w:t>Essential Element:</w:t>
      </w:r>
      <w:r w:rsidR="00A710A8">
        <w:rPr>
          <w:b/>
        </w:rPr>
        <w:t xml:space="preserve"> </w:t>
      </w:r>
      <w:r w:rsidR="00611BA0">
        <w:t>Literature Review Outline</w:t>
      </w:r>
    </w:p>
    <w:p w14:paraId="2C49C577" w14:textId="77777777" w:rsidR="00054DBB" w:rsidRDefault="00054DBB" w:rsidP="00054DBB">
      <w:pPr>
        <w:spacing w:line="480" w:lineRule="auto"/>
        <w:ind w:left="1440"/>
        <w:rPr>
          <w:b/>
        </w:rPr>
      </w:pPr>
    </w:p>
    <w:p w14:paraId="2529341F" w14:textId="5DC7F67E" w:rsidR="00054DBB" w:rsidRPr="00821E38" w:rsidRDefault="00054DBB" w:rsidP="00054DBB">
      <w:pPr>
        <w:spacing w:line="480" w:lineRule="auto"/>
        <w:ind w:left="1440"/>
        <w:rPr>
          <w:bCs/>
        </w:rPr>
      </w:pPr>
      <w:r>
        <w:rPr>
          <w:b/>
        </w:rPr>
        <w:t>Additive/Variant Analysis:</w:t>
      </w:r>
      <w:r w:rsidR="00821E38">
        <w:rPr>
          <w:b/>
        </w:rPr>
        <w:t xml:space="preserve"> </w:t>
      </w:r>
      <w:r w:rsidR="00821E38">
        <w:rPr>
          <w:bCs/>
        </w:rPr>
        <w:t>Th</w:t>
      </w:r>
      <w:r w:rsidR="008D63C1">
        <w:rPr>
          <w:bCs/>
        </w:rPr>
        <w:t>e use of social, demographic, economic and environmental to enhance the understanding of health and illness in research is</w:t>
      </w:r>
      <w:r w:rsidR="00821E38">
        <w:rPr>
          <w:bCs/>
        </w:rPr>
        <w:t xml:space="preserve"> </w:t>
      </w:r>
      <w:r w:rsidR="00DC03D2">
        <w:rPr>
          <w:bCs/>
        </w:rPr>
        <w:t>additive to my understanding.</w:t>
      </w:r>
    </w:p>
    <w:p w14:paraId="38C148D7" w14:textId="77777777" w:rsidR="00054DBB" w:rsidRDefault="00054DBB" w:rsidP="00054DBB">
      <w:pPr>
        <w:spacing w:line="480" w:lineRule="auto"/>
        <w:ind w:left="1440"/>
      </w:pPr>
    </w:p>
    <w:p w14:paraId="6A142B72" w14:textId="26551C21" w:rsidR="00054DBB" w:rsidRDefault="00054DBB" w:rsidP="00054DBB">
      <w:pPr>
        <w:spacing w:line="480" w:lineRule="auto"/>
        <w:ind w:left="1440"/>
        <w:rPr>
          <w:bCs/>
        </w:rPr>
      </w:pPr>
      <w:r>
        <w:rPr>
          <w:b/>
        </w:rPr>
        <w:t>Contextualization:</w:t>
      </w:r>
      <w:r w:rsidR="00821E38">
        <w:rPr>
          <w:b/>
        </w:rPr>
        <w:t xml:space="preserve"> </w:t>
      </w:r>
      <w:r w:rsidR="00FB12E1">
        <w:rPr>
          <w:bCs/>
        </w:rPr>
        <w:t xml:space="preserve">This </w:t>
      </w:r>
      <w:r w:rsidR="00F24D23">
        <w:rPr>
          <w:bCs/>
        </w:rPr>
        <w:t xml:space="preserve">quote from </w:t>
      </w:r>
      <w:r w:rsidR="00C8590F">
        <w:rPr>
          <w:bCs/>
        </w:rPr>
        <w:t xml:space="preserve">the research </w:t>
      </w:r>
      <w:r w:rsidR="00996654">
        <w:rPr>
          <w:bCs/>
        </w:rPr>
        <w:t>discusses the s</w:t>
      </w:r>
      <w:r w:rsidR="00996654" w:rsidRPr="00996654">
        <w:rPr>
          <w:bCs/>
        </w:rPr>
        <w:t xml:space="preserve">ociodemographic and </w:t>
      </w:r>
      <w:r w:rsidR="00996654">
        <w:rPr>
          <w:bCs/>
        </w:rPr>
        <w:t>socioeconomic</w:t>
      </w:r>
      <w:r w:rsidR="00996654" w:rsidRPr="00996654">
        <w:rPr>
          <w:bCs/>
        </w:rPr>
        <w:t xml:space="preserve"> </w:t>
      </w:r>
      <w:r w:rsidR="00996654">
        <w:rPr>
          <w:bCs/>
        </w:rPr>
        <w:t xml:space="preserve">factors of health. These are known as social drivers of health, which is a major component of health. Utilizing land use as a spatial feature in my intended research, I will be able to get to these </w:t>
      </w:r>
      <w:r w:rsidR="00996654" w:rsidRPr="00996654">
        <w:rPr>
          <w:bCs/>
        </w:rPr>
        <w:t>sociodemographic and socioeconomic factors of health</w:t>
      </w:r>
      <w:r w:rsidR="00996654">
        <w:rPr>
          <w:bCs/>
        </w:rPr>
        <w:t xml:space="preserve">, because land use of a given area informs us what the social and economic situation of that given land use. Such as agriculture areas, we know that some people will be </w:t>
      </w:r>
      <w:r w:rsidR="008D63C1">
        <w:rPr>
          <w:bCs/>
        </w:rPr>
        <w:t>agricultural</w:t>
      </w:r>
      <w:r w:rsidR="00996654">
        <w:rPr>
          <w:bCs/>
        </w:rPr>
        <w:t xml:space="preserve"> workers and others may work in support of the </w:t>
      </w:r>
      <w:r w:rsidR="008D63C1" w:rsidRPr="008D63C1">
        <w:rPr>
          <w:bCs/>
        </w:rPr>
        <w:t>agriculture area, like truck drivers, agri-business,</w:t>
      </w:r>
      <w:r w:rsidR="00996654">
        <w:rPr>
          <w:bCs/>
        </w:rPr>
        <w:t xml:space="preserve"> and so forth. </w:t>
      </w:r>
      <w:r w:rsidR="001C14C4">
        <w:rPr>
          <w:bCs/>
        </w:rPr>
        <w:t xml:space="preserve">Census data on income and poverty data could also be included in the research to further examine the </w:t>
      </w:r>
      <w:r w:rsidR="001C14C4" w:rsidRPr="001C14C4">
        <w:rPr>
          <w:bCs/>
        </w:rPr>
        <w:t>sociodemographic and socioeconomic factors of health</w:t>
      </w:r>
      <w:r w:rsidR="001C14C4">
        <w:rPr>
          <w:bCs/>
        </w:rPr>
        <w:t xml:space="preserve"> in </w:t>
      </w:r>
      <w:r w:rsidR="001C14C4">
        <w:rPr>
          <w:bCs/>
        </w:rPr>
        <w:lastRenderedPageBreak/>
        <w:t xml:space="preserve">these given land use </w:t>
      </w:r>
      <w:r w:rsidR="008D63C1">
        <w:rPr>
          <w:bCs/>
        </w:rPr>
        <w:t>areas</w:t>
      </w:r>
      <w:r w:rsidR="001C14C4">
        <w:rPr>
          <w:bCs/>
        </w:rPr>
        <w:t xml:space="preserve">. I am seeking to do a </w:t>
      </w:r>
      <w:r w:rsidR="008D63C1">
        <w:rPr>
          <w:bCs/>
        </w:rPr>
        <w:t>nationwide study, but I believe I will need to do a stratified analysis by region because though the land use may be the same in different regions, the regional difference may be enough to suggest that the research should examine nationally</w:t>
      </w:r>
      <w:r w:rsidR="001C14C4">
        <w:rPr>
          <w:bCs/>
        </w:rPr>
        <w:t xml:space="preserve"> but by regions of the U.S.</w:t>
      </w:r>
    </w:p>
    <w:p w14:paraId="0B08CB16" w14:textId="77777777" w:rsidR="000D2896" w:rsidRDefault="000D2896" w:rsidP="000D2896">
      <w:pPr>
        <w:spacing w:line="480" w:lineRule="auto"/>
        <w:rPr>
          <w:bCs/>
        </w:rPr>
      </w:pPr>
    </w:p>
    <w:p w14:paraId="3004F2D7" w14:textId="77777777" w:rsidR="000D2896" w:rsidRPr="000D2896" w:rsidRDefault="000D2896" w:rsidP="000D2896">
      <w:pPr>
        <w:spacing w:line="480" w:lineRule="auto"/>
        <w:ind w:hanging="480"/>
      </w:pPr>
      <w:r>
        <w:rPr>
          <w:b/>
        </w:rPr>
        <w:t xml:space="preserve">Source Six: </w:t>
      </w:r>
      <w:r w:rsidRPr="000D2896">
        <w:t xml:space="preserve">Lee, E. K., Donley, G., Ciesielski, T. H., Freedman, D. A., &amp; Cole, M. B. (2023). Spatial availability of federally qualified health centers and disparities in health services utilization in medically underserved areas. </w:t>
      </w:r>
      <w:r w:rsidRPr="000D2896">
        <w:rPr>
          <w:i/>
          <w:iCs/>
        </w:rPr>
        <w:t>Social Science &amp; Medicine</w:t>
      </w:r>
      <w:r w:rsidRPr="000D2896">
        <w:t xml:space="preserve">, </w:t>
      </w:r>
      <w:r w:rsidRPr="000D2896">
        <w:rPr>
          <w:i/>
          <w:iCs/>
        </w:rPr>
        <w:t>328</w:t>
      </w:r>
      <w:r w:rsidRPr="000D2896">
        <w:t xml:space="preserve">, 116009. </w:t>
      </w:r>
      <w:hyperlink r:id="rId14" w:history="1">
        <w:r w:rsidRPr="000D2896">
          <w:rPr>
            <w:color w:val="0000FF"/>
            <w:u w:val="single"/>
          </w:rPr>
          <w:t>https://doi.org/10.1016/j.socscimed.2023.116009</w:t>
        </w:r>
      </w:hyperlink>
    </w:p>
    <w:p w14:paraId="434758DD" w14:textId="77777777" w:rsidR="00054DBB" w:rsidRDefault="00054DBB" w:rsidP="000D2896">
      <w:pPr>
        <w:spacing w:line="480" w:lineRule="auto"/>
        <w:rPr>
          <w:b/>
          <w:color w:val="FF0000"/>
        </w:rPr>
      </w:pPr>
      <w:bookmarkStart w:id="11" w:name="_Hlk158461497"/>
    </w:p>
    <w:p w14:paraId="2C8C1870" w14:textId="3254CFE1" w:rsidR="00054DBB" w:rsidRDefault="00054DBB" w:rsidP="00054DBB">
      <w:pPr>
        <w:spacing w:line="480" w:lineRule="auto"/>
        <w:ind w:left="720"/>
      </w:pPr>
      <w:r>
        <w:rPr>
          <w:b/>
        </w:rPr>
        <w:t>Comment 8:</w:t>
      </w:r>
    </w:p>
    <w:p w14:paraId="508E9510" w14:textId="5C524163" w:rsidR="000D2896" w:rsidRPr="000D2896" w:rsidRDefault="00054DBB" w:rsidP="000D2896">
      <w:pPr>
        <w:spacing w:line="480" w:lineRule="auto"/>
        <w:ind w:left="1440"/>
        <w:rPr>
          <w:bCs/>
        </w:rPr>
      </w:pPr>
      <w:r>
        <w:rPr>
          <w:b/>
        </w:rPr>
        <w:t>Quote/Paraphrase</w:t>
      </w:r>
      <w:r w:rsidR="00950B88">
        <w:rPr>
          <w:b/>
        </w:rPr>
        <w:t>:</w:t>
      </w:r>
      <w:r w:rsidR="00F70024" w:rsidRPr="00F70024">
        <w:rPr>
          <w:bCs/>
        </w:rPr>
        <w:t xml:space="preserve"> </w:t>
      </w:r>
      <w:r w:rsidR="00F70024">
        <w:rPr>
          <w:bCs/>
        </w:rPr>
        <w:t>“</w:t>
      </w:r>
      <w:bookmarkStart w:id="12" w:name="_Hlk159066722"/>
      <w:r w:rsidR="000D2896" w:rsidRPr="000D2896">
        <w:rPr>
          <w:bCs/>
        </w:rPr>
        <w:t>For linking zip code-level outcome data and FQHC availability, information</w:t>
      </w:r>
      <w:r w:rsidR="000D2896">
        <w:rPr>
          <w:bCs/>
        </w:rPr>
        <w:t xml:space="preserve"> </w:t>
      </w:r>
      <w:r w:rsidR="000D2896" w:rsidRPr="000D2896">
        <w:rPr>
          <w:bCs/>
        </w:rPr>
        <w:t>on FQHCs’ patient volume and prevalence estimates for</w:t>
      </w:r>
    </w:p>
    <w:p w14:paraId="2A7CA0A8" w14:textId="5C4BE1D3" w:rsidR="00054DBB" w:rsidRDefault="000D2896" w:rsidP="000D2896">
      <w:pPr>
        <w:spacing w:line="480" w:lineRule="auto"/>
        <w:ind w:left="1440"/>
        <w:rPr>
          <w:bCs/>
        </w:rPr>
      </w:pPr>
      <w:proofErr w:type="gramStart"/>
      <w:r w:rsidRPr="000D2896">
        <w:rPr>
          <w:bCs/>
        </w:rPr>
        <w:t>routine</w:t>
      </w:r>
      <w:proofErr w:type="gramEnd"/>
      <w:r w:rsidRPr="000D2896">
        <w:rPr>
          <w:bCs/>
        </w:rPr>
        <w:t xml:space="preserve"> care visits in the past twelve months were available at the zip</w:t>
      </w:r>
      <w:r>
        <w:rPr>
          <w:bCs/>
        </w:rPr>
        <w:t xml:space="preserve"> </w:t>
      </w:r>
      <w:r w:rsidRPr="000D2896">
        <w:rPr>
          <w:bCs/>
        </w:rPr>
        <w:t>code-level for year 2019 and were linked with the exposure variable</w:t>
      </w:r>
      <w:r>
        <w:rPr>
          <w:bCs/>
        </w:rPr>
        <w:t xml:space="preserve"> </w:t>
      </w:r>
      <w:r w:rsidRPr="000D2896">
        <w:rPr>
          <w:bCs/>
        </w:rPr>
        <w:t>available at the zip-code level. We further examined exposed areas based</w:t>
      </w:r>
      <w:r>
        <w:rPr>
          <w:bCs/>
        </w:rPr>
        <w:t xml:space="preserve"> </w:t>
      </w:r>
      <w:r w:rsidRPr="000D2896">
        <w:rPr>
          <w:bCs/>
        </w:rPr>
        <w:t>on FQHC availability distributions: Low-availability or 1 FQHC site per</w:t>
      </w:r>
      <w:r>
        <w:rPr>
          <w:bCs/>
        </w:rPr>
        <w:t xml:space="preserve"> </w:t>
      </w:r>
      <w:r w:rsidRPr="000D2896">
        <w:rPr>
          <w:bCs/>
        </w:rPr>
        <w:t xml:space="preserve">zip code, medium-availability or 2–4 FQHC sites per zip code, and </w:t>
      </w:r>
      <w:r>
        <w:rPr>
          <w:bCs/>
        </w:rPr>
        <w:t xml:space="preserve">high availability </w:t>
      </w:r>
      <w:r w:rsidRPr="000D2896">
        <w:rPr>
          <w:bCs/>
        </w:rPr>
        <w:t>or ≥5 FQHC sites per zip code.</w:t>
      </w:r>
      <w:r w:rsidR="00C07795">
        <w:rPr>
          <w:bCs/>
        </w:rPr>
        <w:t>”</w:t>
      </w:r>
      <w:bookmarkEnd w:id="12"/>
      <w:r w:rsidR="00D10BC3">
        <w:rPr>
          <w:bCs/>
        </w:rPr>
        <w:t xml:space="preserve"> </w:t>
      </w:r>
      <w:r w:rsidR="00C73F46">
        <w:rPr>
          <w:bCs/>
        </w:rPr>
        <w:fldChar w:fldCharType="begin"/>
      </w:r>
      <w:r w:rsidR="00C73F46">
        <w:rPr>
          <w:bCs/>
        </w:rPr>
        <w:instrText xml:space="preserve"> ADDIN ZOTERO_ITEM CSL_CITATION {"citationID":"SrpqOfsa","properties":{"formattedCitation":"(Langer et al., 2023)","plainCitation":"(Langer et al., 2023)","dontUpdate":true,"noteIndex":0},"citationItems":[{"id":"S51N5ARd/6JyR5rlG","uris":["http://zotero.org/users/local/Prr5sh2G/items/52FIA24I"],"itemData":{"id":491,"type":"article-journal","abstract":"Objective: Estimate the association between environmental temperature (wet bulb globe temperature [WBGT]) and work rate over the course of a workday. Methods: Repeated-measures regression was used to identify characteristics impacting work rate in a cross-sectional study of Latino farmworkers. Minute-by-minute work rate (measured by accelerometer) and WBGT were averaged over 15-minute intervals. Results: Work rate decreased by 4.34 (95% confidence interval [CI], −7.09 to −1.59) counts per minute per degree Celsius WBGT in the previous 15-minute interval. Cumulative quarter hours worked (2.13; 95% CI, 0.82 to 3.45), age (−3.64; 95% CI, −4.50 to −2.79), and dehydration at the end of workday (51.37; 95% CI, 19.24 to 83.50) were associated with counts per minute as were gender, pay type (piece rate vs hourly) and body mass index ≥25 kg/m2. The effects of pay type and body mass index were modified by gender. Conclusion: Increased temperature was associated with a decrease in work rate.","container-title":"Journal of Occupational &amp; Environmental Medicine","DOI":"10.1097/JOM.0000000000002853","ISSN":"1076-2752, 1536-5948","issue":"7","journalAbbreviation":"J Occup Environ Med","language":"en","license":"http://creativecommons.org/licenses/by-nc-nd/4.0/","page":"e458-e464","source":"DOI.org (Crossref)","title":"How Does Environmental Temperature Affect Farmworkers’ Work Rates in the California Heat Illness Prevention Study?","volume":"65","author":[{"family":"Langer","given":"Chelsea E."},{"family":"Armitage","given":"Tracey L."},{"family":"Beckman","given":"Stella"},{"family":"Tancredi","given":"Daniel J."},{"family":"Mitchell","given":"Diane C."},{"family":"Schenker","given":"Marc B."}],"issued":{"date-parts":[["2023",7]]}}}],"schema":"https://github.com/citation-style-language/schema/raw/master/csl-citation.json"} </w:instrText>
      </w:r>
      <w:r w:rsidR="00C73F46">
        <w:rPr>
          <w:bCs/>
        </w:rPr>
        <w:fldChar w:fldCharType="separate"/>
      </w:r>
      <w:r w:rsidR="00C73F46" w:rsidRPr="00A73938">
        <w:rPr>
          <w:bCs/>
        </w:rPr>
        <w:t>(</w:t>
      </w:r>
      <w:r>
        <w:rPr>
          <w:bCs/>
        </w:rPr>
        <w:t>Lee et al</w:t>
      </w:r>
      <w:r w:rsidR="00C73F46" w:rsidRPr="00A73938">
        <w:rPr>
          <w:bCs/>
        </w:rPr>
        <w:t>, 202</w:t>
      </w:r>
      <w:r>
        <w:rPr>
          <w:bCs/>
        </w:rPr>
        <w:t>3</w:t>
      </w:r>
      <w:r w:rsidR="00C73F46">
        <w:rPr>
          <w:bCs/>
        </w:rPr>
        <w:t xml:space="preserve">, p. </w:t>
      </w:r>
      <w:r>
        <w:rPr>
          <w:bCs/>
        </w:rPr>
        <w:t>3</w:t>
      </w:r>
      <w:r w:rsidR="00C73F46" w:rsidRPr="00A73938">
        <w:rPr>
          <w:bCs/>
        </w:rPr>
        <w:t>)</w:t>
      </w:r>
      <w:r w:rsidR="00C73F46">
        <w:rPr>
          <w:bCs/>
        </w:rPr>
        <w:fldChar w:fldCharType="end"/>
      </w:r>
    </w:p>
    <w:p w14:paraId="1D79EC4B" w14:textId="77777777" w:rsidR="00C07795" w:rsidRPr="00C07795" w:rsidRDefault="00C07795" w:rsidP="00C07795">
      <w:pPr>
        <w:spacing w:line="480" w:lineRule="auto"/>
        <w:ind w:left="1440"/>
        <w:rPr>
          <w:bCs/>
        </w:rPr>
      </w:pPr>
    </w:p>
    <w:p w14:paraId="588EC532" w14:textId="2BF0A4F8" w:rsidR="00054DBB" w:rsidRDefault="00054DBB" w:rsidP="00054DBB">
      <w:pPr>
        <w:spacing w:line="480" w:lineRule="auto"/>
        <w:ind w:left="1440"/>
        <w:rPr>
          <w:bCs/>
        </w:rPr>
      </w:pPr>
      <w:r>
        <w:rPr>
          <w:b/>
        </w:rPr>
        <w:t>Essential Element:</w:t>
      </w:r>
      <w:r w:rsidR="00E642F5">
        <w:rPr>
          <w:b/>
        </w:rPr>
        <w:t xml:space="preserve"> </w:t>
      </w:r>
      <w:r w:rsidR="00611BA0">
        <w:t>Data Analysis</w:t>
      </w:r>
    </w:p>
    <w:p w14:paraId="7A0BB381" w14:textId="77777777" w:rsidR="00EA3397" w:rsidRDefault="00EA3397" w:rsidP="00054DBB">
      <w:pPr>
        <w:spacing w:line="480" w:lineRule="auto"/>
        <w:ind w:left="1440"/>
        <w:rPr>
          <w:b/>
        </w:rPr>
      </w:pPr>
    </w:p>
    <w:p w14:paraId="782FE960" w14:textId="50A8A069" w:rsidR="00054DBB" w:rsidRPr="00E642F5" w:rsidRDefault="00054DBB" w:rsidP="00054DBB">
      <w:pPr>
        <w:spacing w:line="480" w:lineRule="auto"/>
        <w:ind w:left="1440"/>
        <w:rPr>
          <w:bCs/>
        </w:rPr>
      </w:pPr>
      <w:r>
        <w:rPr>
          <w:b/>
        </w:rPr>
        <w:lastRenderedPageBreak/>
        <w:t>Additive/Variant Analysis:</w:t>
      </w:r>
      <w:r w:rsidR="00E642F5">
        <w:rPr>
          <w:b/>
        </w:rPr>
        <w:t xml:space="preserve"> </w:t>
      </w:r>
      <w:bookmarkStart w:id="13" w:name="_Hlk159073550"/>
      <w:bookmarkStart w:id="14" w:name="_Hlk176722151"/>
      <w:r w:rsidR="00E642F5">
        <w:rPr>
          <w:bCs/>
        </w:rPr>
        <w:t>T</w:t>
      </w:r>
      <w:bookmarkEnd w:id="13"/>
      <w:bookmarkEnd w:id="14"/>
      <w:r w:rsidR="00504F23">
        <w:rPr>
          <w:bCs/>
        </w:rPr>
        <w:t xml:space="preserve">his quote on </w:t>
      </w:r>
      <w:r w:rsidR="00893994">
        <w:rPr>
          <w:bCs/>
        </w:rPr>
        <w:t xml:space="preserve">the use of Federally Qualified Health Centers (FQHCs) data for healthcare research </w:t>
      </w:r>
      <w:r w:rsidR="00504F23">
        <w:rPr>
          <w:bCs/>
        </w:rPr>
        <w:t>is additive to my understanding.</w:t>
      </w:r>
    </w:p>
    <w:p w14:paraId="6118FC63" w14:textId="77777777" w:rsidR="00054DBB" w:rsidRDefault="00054DBB" w:rsidP="00054DBB">
      <w:pPr>
        <w:spacing w:line="480" w:lineRule="auto"/>
        <w:ind w:left="1440"/>
      </w:pPr>
    </w:p>
    <w:p w14:paraId="7F22D612" w14:textId="79D84268" w:rsidR="00E826D5" w:rsidRDefault="00054DBB" w:rsidP="00F77CEF">
      <w:pPr>
        <w:spacing w:line="480" w:lineRule="auto"/>
        <w:ind w:left="1440"/>
        <w:rPr>
          <w:bCs/>
        </w:rPr>
      </w:pPr>
      <w:r>
        <w:rPr>
          <w:b/>
        </w:rPr>
        <w:t>Contextualization:</w:t>
      </w:r>
      <w:r w:rsidR="00E642F5">
        <w:rPr>
          <w:b/>
        </w:rPr>
        <w:t xml:space="preserve"> </w:t>
      </w:r>
      <w:r w:rsidR="00504F23">
        <w:rPr>
          <w:bCs/>
        </w:rPr>
        <w:t>Th</w:t>
      </w:r>
      <w:r w:rsidR="00C83A63">
        <w:rPr>
          <w:bCs/>
        </w:rPr>
        <w:t>is quote presents what the researchers are doing to link attribute health data to the spatial, with a spatial connector such as zip codes. The Federally Qualified Health Centers (FQHC) are community health centers that serve many underserved patient populations</w:t>
      </w:r>
      <w:r w:rsidR="00893994">
        <w:rPr>
          <w:bCs/>
        </w:rPr>
        <w:t>, such as low-income, no insurance, or underinsured</w:t>
      </w:r>
      <w:r w:rsidR="005276ED">
        <w:rPr>
          <w:bCs/>
        </w:rPr>
        <w:t xml:space="preserve">, and receive federal grants to serve these populations. Given that FQHCs are community health centers, they also </w:t>
      </w:r>
      <w:r w:rsidR="00893994">
        <w:rPr>
          <w:bCs/>
        </w:rPr>
        <w:t>serve any member of the community with their healthcare needs,</w:t>
      </w:r>
      <w:r w:rsidR="005276ED">
        <w:rPr>
          <w:bCs/>
        </w:rPr>
        <w:t xml:space="preserve"> even if they are high-income and have health insurance.  The federal agency </w:t>
      </w:r>
      <w:r w:rsidR="005276ED" w:rsidRPr="005276ED">
        <w:rPr>
          <w:bCs/>
        </w:rPr>
        <w:t>Health Resources and Services Administration</w:t>
      </w:r>
      <w:r w:rsidR="005276ED">
        <w:rPr>
          <w:bCs/>
        </w:rPr>
        <w:t xml:space="preserve"> (HRSA) oversees the nation’s health center network, </w:t>
      </w:r>
      <w:r w:rsidR="00C26375">
        <w:rPr>
          <w:bCs/>
        </w:rPr>
        <w:t>which serves 1 in 11 Americans</w:t>
      </w:r>
      <w:r w:rsidR="00893994">
        <w:rPr>
          <w:bCs/>
        </w:rPr>
        <w:t xml:space="preserve">; this is a great number of Americans healthcare data available through EHR data that is mandatory and </w:t>
      </w:r>
      <w:r w:rsidR="00C26375">
        <w:rPr>
          <w:bCs/>
        </w:rPr>
        <w:t xml:space="preserve">reported annually to HRSA. This is a rich data set </w:t>
      </w:r>
      <w:r w:rsidR="00855BD7">
        <w:rPr>
          <w:bCs/>
        </w:rPr>
        <w:t>to use for several reasons</w:t>
      </w:r>
      <w:r w:rsidR="00893994">
        <w:rPr>
          <w:bCs/>
        </w:rPr>
        <w:t>, including that it would get at people who may work close to the land use of that given community and the working class, who may be impacted by the environmental, social,</w:t>
      </w:r>
      <w:r w:rsidR="00855BD7">
        <w:rPr>
          <w:bCs/>
        </w:rPr>
        <w:t xml:space="preserve"> and economic realities of a given land use.</w:t>
      </w:r>
      <w:r w:rsidR="00D31211">
        <w:rPr>
          <w:bCs/>
        </w:rPr>
        <w:t xml:space="preserve"> Therefore, I believe that utilizing HRSA EHR data is the best data set to use in identifying correlations of illness with land use.</w:t>
      </w:r>
    </w:p>
    <w:p w14:paraId="0DB149B5" w14:textId="77777777" w:rsidR="000D2896" w:rsidRDefault="000D2896" w:rsidP="00F77CEF">
      <w:pPr>
        <w:spacing w:line="480" w:lineRule="auto"/>
        <w:ind w:left="1440"/>
        <w:rPr>
          <w:bCs/>
        </w:rPr>
      </w:pPr>
    </w:p>
    <w:p w14:paraId="7A22162F" w14:textId="77777777" w:rsidR="000D2896" w:rsidRDefault="000D2896" w:rsidP="00F77CEF">
      <w:pPr>
        <w:spacing w:line="480" w:lineRule="auto"/>
        <w:ind w:left="1440"/>
        <w:rPr>
          <w:bCs/>
        </w:rPr>
      </w:pPr>
    </w:p>
    <w:p w14:paraId="27427EC5" w14:textId="18FCFB3C" w:rsidR="003474C2" w:rsidRPr="00171403" w:rsidRDefault="000D2896" w:rsidP="00171403">
      <w:pPr>
        <w:spacing w:line="480" w:lineRule="auto"/>
        <w:ind w:hanging="480"/>
      </w:pPr>
      <w:r>
        <w:rPr>
          <w:b/>
        </w:rPr>
        <w:lastRenderedPageBreak/>
        <w:t xml:space="preserve">Source Seven: </w:t>
      </w:r>
      <w:proofErr w:type="spellStart"/>
      <w:r w:rsidR="004312E2" w:rsidRPr="004312E2">
        <w:t>Delmelle</w:t>
      </w:r>
      <w:proofErr w:type="spellEnd"/>
      <w:r w:rsidR="004312E2" w:rsidRPr="004312E2">
        <w:t xml:space="preserve">, E. M., Desjardins, M. R., Jung, P., Owusu, C., Lan, Y., Hohl, A., &amp; Dony, C. (2022). Uncertainty in geospatial health: Challenges and opportunities ahead. </w:t>
      </w:r>
      <w:r w:rsidR="004312E2" w:rsidRPr="004312E2">
        <w:rPr>
          <w:i/>
          <w:iCs/>
        </w:rPr>
        <w:t>Annals of Epidemiology</w:t>
      </w:r>
      <w:r w:rsidR="004312E2" w:rsidRPr="004312E2">
        <w:t xml:space="preserve">, </w:t>
      </w:r>
      <w:r w:rsidR="004312E2" w:rsidRPr="004312E2">
        <w:rPr>
          <w:i/>
          <w:iCs/>
        </w:rPr>
        <w:t>65</w:t>
      </w:r>
      <w:r w:rsidR="004312E2" w:rsidRPr="004312E2">
        <w:t xml:space="preserve">, 15–30. </w:t>
      </w:r>
      <w:hyperlink r:id="rId15" w:history="1">
        <w:r w:rsidR="004312E2" w:rsidRPr="004312E2">
          <w:rPr>
            <w:color w:val="0000FF"/>
            <w:u w:val="single"/>
          </w:rPr>
          <w:t>https://doi.org/10.1016/j.annepidem.2021.10.002</w:t>
        </w:r>
      </w:hyperlink>
    </w:p>
    <w:p w14:paraId="7DA02991" w14:textId="77777777" w:rsidR="0021462B" w:rsidRPr="00556234" w:rsidRDefault="0021462B" w:rsidP="00556234">
      <w:pPr>
        <w:spacing w:line="480" w:lineRule="auto"/>
        <w:ind w:hanging="480"/>
      </w:pPr>
    </w:p>
    <w:p w14:paraId="51DF90A6" w14:textId="77777777" w:rsidR="001209D7" w:rsidRDefault="001209D7" w:rsidP="001209D7">
      <w:pPr>
        <w:spacing w:line="480" w:lineRule="auto"/>
        <w:ind w:left="720"/>
      </w:pPr>
      <w:r>
        <w:rPr>
          <w:b/>
        </w:rPr>
        <w:t>Comment 9:</w:t>
      </w:r>
    </w:p>
    <w:p w14:paraId="08BD09EC" w14:textId="3639B691" w:rsidR="001209D7" w:rsidRDefault="001209D7" w:rsidP="001209D7">
      <w:pPr>
        <w:spacing w:line="480" w:lineRule="auto"/>
        <w:ind w:left="1440"/>
        <w:rPr>
          <w:b/>
        </w:rPr>
      </w:pPr>
      <w:r>
        <w:rPr>
          <w:b/>
        </w:rPr>
        <w:t>Quote/Paraphrase:</w:t>
      </w:r>
      <w:r w:rsidR="00043092">
        <w:rPr>
          <w:b/>
        </w:rPr>
        <w:t xml:space="preserve"> </w:t>
      </w:r>
      <w:r w:rsidR="0021462B" w:rsidRPr="0021462B">
        <w:rPr>
          <w:bCs/>
        </w:rPr>
        <w:t>“</w:t>
      </w:r>
      <w:r w:rsidR="004312E2" w:rsidRPr="004312E2">
        <w:rPr>
          <w:bCs/>
        </w:rPr>
        <w:t xml:space="preserve">The other disadvantage of online geocoders, perhaps more important but less discussed, is confidentiality. In public health and criminology, confidentiality and privacy are significant </w:t>
      </w:r>
      <w:r w:rsidR="00ED280A">
        <w:rPr>
          <w:bCs/>
        </w:rPr>
        <w:t>considerations</w:t>
      </w:r>
      <w:r w:rsidR="004312E2" w:rsidRPr="004312E2">
        <w:rPr>
          <w:bCs/>
        </w:rPr>
        <w:t>. The risk of confidentiality breach increases when the dataset containing information on individuals, such as addresses, is passed on to online service providers [54</w:t>
      </w:r>
      <w:proofErr w:type="gramStart"/>
      <w:r w:rsidR="004312E2" w:rsidRPr="004312E2">
        <w:rPr>
          <w:bCs/>
        </w:rPr>
        <w:t>] .</w:t>
      </w:r>
      <w:proofErr w:type="gramEnd"/>
      <w:r w:rsidR="004312E2" w:rsidRPr="004312E2">
        <w:rPr>
          <w:bCs/>
        </w:rPr>
        <w:t xml:space="preserve"> As a result, protected health information (PHI) can be leaked, violating </w:t>
      </w:r>
      <w:bookmarkStart w:id="15" w:name="_Hlk190590886"/>
      <w:r w:rsidR="004312E2" w:rsidRPr="004312E2">
        <w:rPr>
          <w:bCs/>
        </w:rPr>
        <w:t xml:space="preserve">the Health Insurance Portability and Accountability Act in the US (HIPAA </w:t>
      </w:r>
      <w:bookmarkEnd w:id="15"/>
      <w:r w:rsidR="004312E2" w:rsidRPr="004312E2">
        <w:rPr>
          <w:bCs/>
        </w:rPr>
        <w:t xml:space="preserve">–US Depart- </w:t>
      </w:r>
      <w:proofErr w:type="spellStart"/>
      <w:r w:rsidR="004312E2" w:rsidRPr="004312E2">
        <w:rPr>
          <w:bCs/>
        </w:rPr>
        <w:t>ment</w:t>
      </w:r>
      <w:proofErr w:type="spellEnd"/>
      <w:r w:rsidR="004312E2" w:rsidRPr="004312E2">
        <w:rPr>
          <w:bCs/>
        </w:rPr>
        <w:t xml:space="preserve"> of Health and Human Services)</w:t>
      </w:r>
      <w:r w:rsidR="00B16E42">
        <w:rPr>
          <w:bCs/>
        </w:rPr>
        <w:t>”</w:t>
      </w:r>
      <w:r w:rsidR="004312E2" w:rsidRPr="004312E2">
        <w:rPr>
          <w:bCs/>
        </w:rPr>
        <w:t xml:space="preserve">. </w:t>
      </w:r>
      <w:r w:rsidR="0021462B" w:rsidRPr="0021462B">
        <w:rPr>
          <w:bCs/>
        </w:rPr>
        <w:t>(</w:t>
      </w:r>
      <w:proofErr w:type="spellStart"/>
      <w:r w:rsidR="004312E2" w:rsidRPr="004312E2">
        <w:t>Delmelle</w:t>
      </w:r>
      <w:proofErr w:type="spellEnd"/>
      <w:r w:rsidR="004312E2">
        <w:t xml:space="preserve"> et al</w:t>
      </w:r>
      <w:r w:rsidR="0021462B" w:rsidRPr="0021462B">
        <w:rPr>
          <w:bCs/>
        </w:rPr>
        <w:t>, 202</w:t>
      </w:r>
      <w:r w:rsidR="004312E2">
        <w:rPr>
          <w:bCs/>
        </w:rPr>
        <w:t>2</w:t>
      </w:r>
      <w:r w:rsidR="0021462B" w:rsidRPr="0021462B">
        <w:rPr>
          <w:bCs/>
        </w:rPr>
        <w:t xml:space="preserve">, p. </w:t>
      </w:r>
      <w:r w:rsidR="004312E2">
        <w:rPr>
          <w:bCs/>
        </w:rPr>
        <w:t>17</w:t>
      </w:r>
      <w:r w:rsidR="0021462B" w:rsidRPr="0021462B">
        <w:rPr>
          <w:bCs/>
        </w:rPr>
        <w:t>).</w:t>
      </w:r>
    </w:p>
    <w:p w14:paraId="57325F80" w14:textId="77777777" w:rsidR="001209D7" w:rsidRDefault="001209D7" w:rsidP="001209D7">
      <w:pPr>
        <w:spacing w:line="480" w:lineRule="auto"/>
        <w:ind w:left="1440"/>
      </w:pPr>
    </w:p>
    <w:p w14:paraId="42869741" w14:textId="0E648C79" w:rsidR="001209D7" w:rsidRDefault="001209D7" w:rsidP="001209D7">
      <w:pPr>
        <w:spacing w:line="480" w:lineRule="auto"/>
        <w:ind w:left="1440"/>
        <w:rPr>
          <w:b/>
        </w:rPr>
      </w:pPr>
      <w:r>
        <w:rPr>
          <w:b/>
        </w:rPr>
        <w:t>Essential Element:</w:t>
      </w:r>
      <w:r w:rsidR="00E642F5">
        <w:rPr>
          <w:b/>
        </w:rPr>
        <w:t xml:space="preserve"> </w:t>
      </w:r>
      <w:r w:rsidR="007D6CFD" w:rsidRPr="007D6CFD">
        <w:rPr>
          <w:bCs/>
        </w:rPr>
        <w:t>Ethical Research Criteria</w:t>
      </w:r>
    </w:p>
    <w:p w14:paraId="406565B7" w14:textId="77777777" w:rsidR="001209D7" w:rsidRDefault="001209D7" w:rsidP="001209D7">
      <w:pPr>
        <w:spacing w:line="480" w:lineRule="auto"/>
        <w:ind w:left="1440"/>
        <w:rPr>
          <w:b/>
        </w:rPr>
      </w:pPr>
    </w:p>
    <w:p w14:paraId="0CFBF3CD" w14:textId="0945B3A2" w:rsidR="001209D7" w:rsidRDefault="001209D7" w:rsidP="001209D7">
      <w:pPr>
        <w:spacing w:line="480" w:lineRule="auto"/>
        <w:ind w:left="1440"/>
        <w:rPr>
          <w:b/>
        </w:rPr>
      </w:pPr>
      <w:r>
        <w:rPr>
          <w:b/>
        </w:rPr>
        <w:t>Additive/Variant Analysis:</w:t>
      </w:r>
      <w:r w:rsidR="00E642F5">
        <w:rPr>
          <w:b/>
        </w:rPr>
        <w:t xml:space="preserve"> </w:t>
      </w:r>
      <w:r w:rsidR="00E642F5">
        <w:rPr>
          <w:bCs/>
        </w:rPr>
        <w:t>Th</w:t>
      </w:r>
      <w:r w:rsidR="00893994">
        <w:rPr>
          <w:bCs/>
        </w:rPr>
        <w:t>e importance of patient privacy in healthcare research</w:t>
      </w:r>
      <w:r w:rsidR="00E642F5">
        <w:rPr>
          <w:bCs/>
        </w:rPr>
        <w:t xml:space="preserve"> </w:t>
      </w:r>
      <w:r w:rsidR="00077926">
        <w:rPr>
          <w:bCs/>
        </w:rPr>
        <w:t>is additive to my understanding</w:t>
      </w:r>
      <w:r w:rsidR="00893994">
        <w:rPr>
          <w:bCs/>
        </w:rPr>
        <w:t xml:space="preserve"> of handling healthcare data in an ethical manner</w:t>
      </w:r>
    </w:p>
    <w:p w14:paraId="38C4BC8A" w14:textId="77777777" w:rsidR="001209D7" w:rsidRDefault="001209D7" w:rsidP="001209D7">
      <w:pPr>
        <w:spacing w:line="480" w:lineRule="auto"/>
        <w:ind w:left="1440"/>
      </w:pPr>
    </w:p>
    <w:p w14:paraId="60903F56" w14:textId="202901BB" w:rsidR="00A8469A" w:rsidRDefault="001209D7" w:rsidP="00AC037F">
      <w:pPr>
        <w:spacing w:line="480" w:lineRule="auto"/>
        <w:ind w:left="1440"/>
        <w:rPr>
          <w:bCs/>
        </w:rPr>
      </w:pPr>
      <w:r>
        <w:rPr>
          <w:b/>
        </w:rPr>
        <w:t>Contextualization:</w:t>
      </w:r>
      <w:r w:rsidR="00E642F5">
        <w:rPr>
          <w:b/>
        </w:rPr>
        <w:t xml:space="preserve"> </w:t>
      </w:r>
      <w:r w:rsidR="00ED280A">
        <w:rPr>
          <w:bCs/>
        </w:rPr>
        <w:t>In working with healthcare data</w:t>
      </w:r>
      <w:r w:rsidR="00893994">
        <w:rPr>
          <w:bCs/>
        </w:rPr>
        <w:t xml:space="preserve">, there are regulations on how to handle </w:t>
      </w:r>
      <w:proofErr w:type="gramStart"/>
      <w:r w:rsidR="00893994">
        <w:rPr>
          <w:bCs/>
        </w:rPr>
        <w:t>the patient</w:t>
      </w:r>
      <w:proofErr w:type="gramEnd"/>
      <w:r w:rsidR="00893994">
        <w:rPr>
          <w:bCs/>
        </w:rPr>
        <w:t xml:space="preserve"> healthcare information and the protection of patient privacy</w:t>
      </w:r>
      <w:r w:rsidR="003B132E">
        <w:rPr>
          <w:bCs/>
        </w:rPr>
        <w:t xml:space="preserve"> and identifiable information known as PHI (protected health information) and is </w:t>
      </w:r>
      <w:r w:rsidR="003B132E">
        <w:rPr>
          <w:bCs/>
        </w:rPr>
        <w:lastRenderedPageBreak/>
        <w:t xml:space="preserve">governed by </w:t>
      </w:r>
      <w:r w:rsidR="003B132E" w:rsidRPr="003B132E">
        <w:rPr>
          <w:bCs/>
        </w:rPr>
        <w:t>the Health Insurance Portability and Accountability Act (HIPAA</w:t>
      </w:r>
      <w:r w:rsidR="003B132E">
        <w:rPr>
          <w:bCs/>
        </w:rPr>
        <w:t xml:space="preserve">).  Healthcare researchers need to understand these regulations and requirements in using healthcare data in their studies. One of the great features of GIS is the ability to geocode data, which means </w:t>
      </w:r>
      <w:r w:rsidR="00893994">
        <w:rPr>
          <w:bCs/>
        </w:rPr>
        <w:t>placing a spatial point feature</w:t>
      </w:r>
      <w:r w:rsidR="003B132E">
        <w:rPr>
          <w:bCs/>
        </w:rPr>
        <w:t xml:space="preserve"> on a map at an exact street address location. With healthcare data</w:t>
      </w:r>
      <w:r w:rsidR="00893994">
        <w:rPr>
          <w:bCs/>
        </w:rPr>
        <w:t>, this practice is not common for patient-level</w:t>
      </w:r>
      <w:r w:rsidR="003B132E">
        <w:rPr>
          <w:bCs/>
        </w:rPr>
        <w:t xml:space="preserve"> data because of data privacy issues. </w:t>
      </w:r>
      <w:r w:rsidR="003D35F2">
        <w:rPr>
          <w:bCs/>
        </w:rPr>
        <w:t>One could geocode health center locations and other important factors such as hospitals and other care locations.  Therefore</w:t>
      </w:r>
      <w:r w:rsidR="00893994">
        <w:rPr>
          <w:bCs/>
        </w:rPr>
        <w:t>, in my intended research, the lowest geographic level for healthcare data is at the zip code level, and even that is not commonly accessible through online data but may need</w:t>
      </w:r>
      <w:r w:rsidR="003D35F2">
        <w:rPr>
          <w:bCs/>
        </w:rPr>
        <w:t xml:space="preserve"> to be requested by the researcher from the custodian agency. This is an important factor </w:t>
      </w:r>
      <w:r w:rsidR="00893994">
        <w:rPr>
          <w:bCs/>
        </w:rPr>
        <w:t>in my research where land use is categorized in low-level geography,</w:t>
      </w:r>
      <w:r w:rsidR="003D35F2">
        <w:rPr>
          <w:bCs/>
        </w:rPr>
        <w:t xml:space="preserve"> even smaller than at the zip code level. </w:t>
      </w:r>
      <w:r w:rsidR="004B71CC">
        <w:rPr>
          <w:bCs/>
        </w:rPr>
        <w:t>However, in my research</w:t>
      </w:r>
      <w:r w:rsidR="006F3635">
        <w:rPr>
          <w:bCs/>
        </w:rPr>
        <w:t>,</w:t>
      </w:r>
      <w:r w:rsidR="004B71CC">
        <w:rPr>
          <w:bCs/>
        </w:rPr>
        <w:t xml:space="preserve"> I will need to associate a </w:t>
      </w:r>
      <w:r w:rsidR="006F3635">
        <w:rPr>
          <w:bCs/>
        </w:rPr>
        <w:t xml:space="preserve">single land use category to a service area composed of a few zip code areas. It may be possible to create a combination of land use to a service area, such as 50% </w:t>
      </w:r>
      <w:r w:rsidR="006F3635" w:rsidRPr="006F3635">
        <w:rPr>
          <w:bCs/>
        </w:rPr>
        <w:t>Cultivated Crops</w:t>
      </w:r>
      <w:r w:rsidR="006F3635">
        <w:rPr>
          <w:bCs/>
        </w:rPr>
        <w:t xml:space="preserve"> and 50% </w:t>
      </w:r>
      <w:r w:rsidR="006F3635" w:rsidRPr="006F3635">
        <w:rPr>
          <w:bCs/>
        </w:rPr>
        <w:t>Developed, Open Space</w:t>
      </w:r>
      <w:r w:rsidR="006F3635">
        <w:rPr>
          <w:bCs/>
        </w:rPr>
        <w:t xml:space="preserve">. </w:t>
      </w:r>
    </w:p>
    <w:p w14:paraId="54B29288" w14:textId="77777777" w:rsidR="001C499E" w:rsidRDefault="001C499E" w:rsidP="00AC037F">
      <w:pPr>
        <w:spacing w:line="480" w:lineRule="auto"/>
        <w:ind w:left="1440"/>
      </w:pPr>
    </w:p>
    <w:p w14:paraId="2C280E2F" w14:textId="77777777" w:rsidR="001C499E" w:rsidRDefault="001C499E" w:rsidP="00AC037F">
      <w:pPr>
        <w:spacing w:line="480" w:lineRule="auto"/>
        <w:ind w:left="1440"/>
      </w:pPr>
    </w:p>
    <w:p w14:paraId="7EFF7A49" w14:textId="77777777" w:rsidR="00770D45" w:rsidRDefault="001C499E" w:rsidP="00770D45">
      <w:pPr>
        <w:spacing w:line="480" w:lineRule="auto"/>
        <w:ind w:hanging="480"/>
      </w:pPr>
      <w:r>
        <w:rPr>
          <w:b/>
        </w:rPr>
        <w:t xml:space="preserve">Source Eight: </w:t>
      </w:r>
      <w:r w:rsidR="00770D45" w:rsidRPr="00770D45">
        <w:t xml:space="preserve">Swales, L., Gooden, A., &amp; </w:t>
      </w:r>
      <w:proofErr w:type="spellStart"/>
      <w:r w:rsidR="00770D45" w:rsidRPr="00770D45">
        <w:t>Thaldar</w:t>
      </w:r>
      <w:proofErr w:type="spellEnd"/>
      <w:r w:rsidR="00770D45" w:rsidRPr="00770D45">
        <w:t xml:space="preserve">, D. (2024). The anatomy of a data transfer agreement for health research. </w:t>
      </w:r>
      <w:r w:rsidR="00770D45" w:rsidRPr="00770D45">
        <w:rPr>
          <w:i/>
          <w:iCs/>
        </w:rPr>
        <w:t>Frontiers in Pharmacology</w:t>
      </w:r>
      <w:r w:rsidR="00770D45" w:rsidRPr="00770D45">
        <w:t xml:space="preserve">, </w:t>
      </w:r>
      <w:r w:rsidR="00770D45" w:rsidRPr="00770D45">
        <w:rPr>
          <w:i/>
          <w:iCs/>
        </w:rPr>
        <w:t>15</w:t>
      </w:r>
      <w:r w:rsidR="00770D45" w:rsidRPr="00770D45">
        <w:t xml:space="preserve">, 1332700. </w:t>
      </w:r>
      <w:hyperlink r:id="rId16" w:history="1">
        <w:r w:rsidR="00770D45" w:rsidRPr="00770D45">
          <w:rPr>
            <w:color w:val="0000FF"/>
            <w:u w:val="single"/>
          </w:rPr>
          <w:t>https://doi.org/10.3389/fphar.2024.1332700</w:t>
        </w:r>
      </w:hyperlink>
    </w:p>
    <w:p w14:paraId="1FAB983F" w14:textId="77777777" w:rsidR="00AC037F" w:rsidRDefault="00AC037F" w:rsidP="00770D45">
      <w:pPr>
        <w:spacing w:line="480" w:lineRule="auto"/>
      </w:pPr>
    </w:p>
    <w:p w14:paraId="46BD7441" w14:textId="77777777" w:rsidR="001209D7" w:rsidRDefault="001209D7" w:rsidP="001209D7">
      <w:pPr>
        <w:spacing w:line="480" w:lineRule="auto"/>
        <w:ind w:left="720"/>
      </w:pPr>
      <w:r>
        <w:rPr>
          <w:b/>
        </w:rPr>
        <w:t>Comment 10:</w:t>
      </w:r>
    </w:p>
    <w:p w14:paraId="49E4EACB" w14:textId="54888949" w:rsidR="0021462B" w:rsidRDefault="001209D7" w:rsidP="0021462B">
      <w:pPr>
        <w:spacing w:line="480" w:lineRule="auto"/>
        <w:ind w:left="1440"/>
        <w:rPr>
          <w:b/>
        </w:rPr>
      </w:pPr>
      <w:r>
        <w:rPr>
          <w:b/>
        </w:rPr>
        <w:lastRenderedPageBreak/>
        <w:t>Quote/Paraphrase:</w:t>
      </w:r>
      <w:r w:rsidR="00043092" w:rsidRPr="00043092">
        <w:t xml:space="preserve"> “</w:t>
      </w:r>
      <w:r w:rsidR="00171403" w:rsidRPr="00171403">
        <w:t>It is a written agreement that facilitates the lawful transfer of data between parties. Typically, an agreement of this type will seek to comply with applicable legislation. Additionally, a DTA will regulate other important legal issues such as ownership of data, intellectual property, the terms of the agreement and how it will terminate, liability, dispute resolution, and whether any consideration is payable</w:t>
      </w:r>
      <w:r w:rsidR="0021462B">
        <w:t>.</w:t>
      </w:r>
      <w:r w:rsidR="001A2280">
        <w:t xml:space="preserve">” </w:t>
      </w:r>
      <w:r w:rsidR="0021462B" w:rsidRPr="0021462B">
        <w:rPr>
          <w:bCs/>
        </w:rPr>
        <w:t>(</w:t>
      </w:r>
      <w:r w:rsidR="00770D45" w:rsidRPr="00770D45">
        <w:rPr>
          <w:bCs/>
        </w:rPr>
        <w:t xml:space="preserve">Swales, Gooden, &amp; </w:t>
      </w:r>
      <w:proofErr w:type="spellStart"/>
      <w:r w:rsidR="00770D45" w:rsidRPr="00770D45">
        <w:rPr>
          <w:bCs/>
        </w:rPr>
        <w:t>Thaldar</w:t>
      </w:r>
      <w:proofErr w:type="spellEnd"/>
      <w:r w:rsidR="0021462B" w:rsidRPr="0021462B">
        <w:rPr>
          <w:bCs/>
        </w:rPr>
        <w:t>, 202</w:t>
      </w:r>
      <w:r w:rsidR="00770D45">
        <w:rPr>
          <w:bCs/>
        </w:rPr>
        <w:t>4</w:t>
      </w:r>
      <w:r w:rsidR="0021462B" w:rsidRPr="0021462B">
        <w:rPr>
          <w:bCs/>
        </w:rPr>
        <w:t xml:space="preserve">, p. </w:t>
      </w:r>
      <w:r w:rsidR="00171403">
        <w:rPr>
          <w:bCs/>
        </w:rPr>
        <w:t>1</w:t>
      </w:r>
      <w:r w:rsidR="0021462B" w:rsidRPr="0021462B">
        <w:rPr>
          <w:bCs/>
        </w:rPr>
        <w:t>)</w:t>
      </w:r>
    </w:p>
    <w:p w14:paraId="44E44300" w14:textId="77777777" w:rsidR="001209D7" w:rsidRDefault="001209D7" w:rsidP="00077926">
      <w:pPr>
        <w:spacing w:line="480" w:lineRule="auto"/>
      </w:pPr>
    </w:p>
    <w:p w14:paraId="03EB200F" w14:textId="039DD5EA" w:rsidR="001209D7" w:rsidRDefault="001209D7" w:rsidP="001209D7">
      <w:pPr>
        <w:spacing w:line="480" w:lineRule="auto"/>
        <w:ind w:left="1440"/>
        <w:rPr>
          <w:b/>
        </w:rPr>
      </w:pPr>
      <w:r>
        <w:rPr>
          <w:b/>
        </w:rPr>
        <w:t>Essential Element:</w:t>
      </w:r>
      <w:r w:rsidR="00E642F5">
        <w:rPr>
          <w:b/>
        </w:rPr>
        <w:t xml:space="preserve"> </w:t>
      </w:r>
      <w:r w:rsidR="007D6CFD" w:rsidRPr="007D6CFD">
        <w:rPr>
          <w:bCs/>
        </w:rPr>
        <w:t>Ethical Research Criteria</w:t>
      </w:r>
    </w:p>
    <w:p w14:paraId="6E3996BE" w14:textId="77777777" w:rsidR="001209D7" w:rsidRDefault="001209D7" w:rsidP="001209D7">
      <w:pPr>
        <w:spacing w:line="480" w:lineRule="auto"/>
        <w:ind w:left="1440"/>
        <w:rPr>
          <w:b/>
        </w:rPr>
      </w:pPr>
    </w:p>
    <w:p w14:paraId="3258F92D" w14:textId="4E62C1D8" w:rsidR="001209D7" w:rsidRDefault="001209D7" w:rsidP="001209D7">
      <w:pPr>
        <w:spacing w:line="480" w:lineRule="auto"/>
        <w:ind w:left="1440"/>
        <w:rPr>
          <w:bCs/>
        </w:rPr>
      </w:pPr>
      <w:r>
        <w:rPr>
          <w:b/>
        </w:rPr>
        <w:t>Additive/Variant Analysis:</w:t>
      </w:r>
      <w:r w:rsidR="00E642F5">
        <w:rPr>
          <w:b/>
        </w:rPr>
        <w:t xml:space="preserve"> </w:t>
      </w:r>
      <w:r w:rsidR="00E642F5">
        <w:rPr>
          <w:bCs/>
        </w:rPr>
        <w:t>Th</w:t>
      </w:r>
      <w:r w:rsidR="00893994">
        <w:rPr>
          <w:bCs/>
        </w:rPr>
        <w:t xml:space="preserve">e </w:t>
      </w:r>
      <w:r w:rsidR="007C2F18">
        <w:rPr>
          <w:bCs/>
        </w:rPr>
        <w:t>utilization</w:t>
      </w:r>
      <w:r w:rsidR="00893994">
        <w:rPr>
          <w:bCs/>
        </w:rPr>
        <w:t xml:space="preserve"> of </w:t>
      </w:r>
      <w:r w:rsidR="007C2F18">
        <w:rPr>
          <w:bCs/>
        </w:rPr>
        <w:t>D</w:t>
      </w:r>
      <w:r w:rsidR="00893994">
        <w:rPr>
          <w:bCs/>
        </w:rPr>
        <w:t xml:space="preserve">ata </w:t>
      </w:r>
      <w:r w:rsidR="007C2F18">
        <w:rPr>
          <w:bCs/>
        </w:rPr>
        <w:t>U</w:t>
      </w:r>
      <w:r w:rsidR="00893994">
        <w:rPr>
          <w:bCs/>
        </w:rPr>
        <w:t xml:space="preserve">se </w:t>
      </w:r>
      <w:r w:rsidR="007C2F18">
        <w:rPr>
          <w:bCs/>
        </w:rPr>
        <w:t>A</w:t>
      </w:r>
      <w:r w:rsidR="00893994">
        <w:rPr>
          <w:bCs/>
        </w:rPr>
        <w:t>greements</w:t>
      </w:r>
      <w:r w:rsidR="007C2F18">
        <w:rPr>
          <w:bCs/>
        </w:rPr>
        <w:t xml:space="preserve"> and Data Transfer Agreements</w:t>
      </w:r>
      <w:r w:rsidR="00893994">
        <w:rPr>
          <w:bCs/>
        </w:rPr>
        <w:t xml:space="preserve"> between researchers and organizations </w:t>
      </w:r>
      <w:r w:rsidR="00077926">
        <w:rPr>
          <w:bCs/>
        </w:rPr>
        <w:t xml:space="preserve">is additive to my </w:t>
      </w:r>
      <w:proofErr w:type="gramStart"/>
      <w:r w:rsidR="00077926">
        <w:rPr>
          <w:bCs/>
        </w:rPr>
        <w:t>knowledge</w:t>
      </w:r>
      <w:r w:rsidR="007C2F18">
        <w:rPr>
          <w:bCs/>
        </w:rPr>
        <w:t xml:space="preserve"> of the process</w:t>
      </w:r>
      <w:proofErr w:type="gramEnd"/>
      <w:r w:rsidR="007C2F18">
        <w:rPr>
          <w:bCs/>
        </w:rPr>
        <w:t xml:space="preserve"> of obtaining archival data.</w:t>
      </w:r>
    </w:p>
    <w:p w14:paraId="1A5BFA75" w14:textId="77777777" w:rsidR="001209D7" w:rsidRDefault="001209D7" w:rsidP="00D5669A">
      <w:pPr>
        <w:spacing w:line="480" w:lineRule="auto"/>
      </w:pPr>
    </w:p>
    <w:p w14:paraId="06656B07" w14:textId="3F88B8AE" w:rsidR="00054DBB" w:rsidRDefault="001209D7" w:rsidP="00E642F5">
      <w:pPr>
        <w:spacing w:line="480" w:lineRule="auto"/>
        <w:ind w:left="1440"/>
        <w:rPr>
          <w:bCs/>
        </w:rPr>
      </w:pPr>
      <w:r>
        <w:rPr>
          <w:b/>
        </w:rPr>
        <w:t>Contextualization:</w:t>
      </w:r>
      <w:bookmarkEnd w:id="11"/>
      <w:r w:rsidR="00E642F5">
        <w:rPr>
          <w:b/>
        </w:rPr>
        <w:t xml:space="preserve"> </w:t>
      </w:r>
      <w:r w:rsidR="004D4007">
        <w:rPr>
          <w:bCs/>
        </w:rPr>
        <w:t>I</w:t>
      </w:r>
      <w:r w:rsidR="00E57808">
        <w:rPr>
          <w:bCs/>
        </w:rPr>
        <w:t xml:space="preserve">n this article, the author </w:t>
      </w:r>
      <w:r w:rsidR="004B5199">
        <w:rPr>
          <w:bCs/>
        </w:rPr>
        <w:t>addresses the concepts of researchers' responsibility to handle, use,</w:t>
      </w:r>
      <w:r w:rsidR="00E57808">
        <w:rPr>
          <w:bCs/>
        </w:rPr>
        <w:t xml:space="preserve"> and protect data </w:t>
      </w:r>
      <w:r w:rsidR="001D5356">
        <w:rPr>
          <w:bCs/>
        </w:rPr>
        <w:t xml:space="preserve">they may obtain through agencies and </w:t>
      </w:r>
      <w:r w:rsidR="004B5199">
        <w:rPr>
          <w:bCs/>
        </w:rPr>
        <w:t>organizations</w:t>
      </w:r>
      <w:r w:rsidR="001D5356">
        <w:rPr>
          <w:bCs/>
        </w:rPr>
        <w:t xml:space="preserve">. Known as Data use </w:t>
      </w:r>
      <w:r w:rsidR="004B5199">
        <w:rPr>
          <w:bCs/>
        </w:rPr>
        <w:t>Agreements</w:t>
      </w:r>
      <w:r w:rsidR="001D5356">
        <w:rPr>
          <w:bCs/>
        </w:rPr>
        <w:t xml:space="preserve"> or Data </w:t>
      </w:r>
      <w:r w:rsidR="004B5199">
        <w:rPr>
          <w:bCs/>
        </w:rPr>
        <w:t>Transfer</w:t>
      </w:r>
      <w:r w:rsidR="001D5356">
        <w:rPr>
          <w:bCs/>
        </w:rPr>
        <w:t xml:space="preserve"> Agreements. These agreements state the </w:t>
      </w:r>
      <w:r w:rsidR="004B5199">
        <w:rPr>
          <w:bCs/>
        </w:rPr>
        <w:t>intended and restricted use of the data that is being obtained</w:t>
      </w:r>
      <w:r w:rsidR="001D5356">
        <w:rPr>
          <w:bCs/>
        </w:rPr>
        <w:t xml:space="preserve">. This is an important duty researchers </w:t>
      </w:r>
      <w:proofErr w:type="gramStart"/>
      <w:r w:rsidR="001D5356">
        <w:rPr>
          <w:bCs/>
        </w:rPr>
        <w:t>have to</w:t>
      </w:r>
      <w:proofErr w:type="gramEnd"/>
      <w:r w:rsidR="001D5356">
        <w:rPr>
          <w:bCs/>
        </w:rPr>
        <w:t xml:space="preserve"> use the data in an </w:t>
      </w:r>
      <w:r w:rsidR="004B5199">
        <w:rPr>
          <w:bCs/>
        </w:rPr>
        <w:t>ethical and regulatory</w:t>
      </w:r>
      <w:r w:rsidR="001D5356">
        <w:rPr>
          <w:bCs/>
        </w:rPr>
        <w:t xml:space="preserve"> manner. Many online datasets have </w:t>
      </w:r>
      <w:r w:rsidR="004B5199">
        <w:rPr>
          <w:bCs/>
        </w:rPr>
        <w:t>acknowledged</w:t>
      </w:r>
      <w:r w:rsidR="007D5019">
        <w:rPr>
          <w:bCs/>
        </w:rPr>
        <w:t xml:space="preserve"> agreements for the researchers to review and agree to before they </w:t>
      </w:r>
      <w:r w:rsidR="004B5199">
        <w:rPr>
          <w:bCs/>
        </w:rPr>
        <w:t>can</w:t>
      </w:r>
      <w:r w:rsidR="007D5019">
        <w:rPr>
          <w:bCs/>
        </w:rPr>
        <w:t xml:space="preserve"> access the data. If requesting data from an agency or organization that is not publicly accessible, the researchers must complete data use agreements as part of requesting the </w:t>
      </w:r>
      <w:r w:rsidR="004B5199">
        <w:rPr>
          <w:bCs/>
        </w:rPr>
        <w:t>use</w:t>
      </w:r>
      <w:r w:rsidR="007D5019">
        <w:rPr>
          <w:bCs/>
        </w:rPr>
        <w:t xml:space="preserve"> of the data. </w:t>
      </w:r>
      <w:r w:rsidR="008B2106">
        <w:rPr>
          <w:bCs/>
        </w:rPr>
        <w:t xml:space="preserve">Data use agreements may be mostly standard, but </w:t>
      </w:r>
      <w:r w:rsidR="008B2106">
        <w:rPr>
          <w:bCs/>
        </w:rPr>
        <w:lastRenderedPageBreak/>
        <w:t xml:space="preserve">depending upon the data may have specific requirements. I will </w:t>
      </w:r>
      <w:r w:rsidR="004B5199">
        <w:rPr>
          <w:bCs/>
        </w:rPr>
        <w:t>submit</w:t>
      </w:r>
      <w:r w:rsidR="008B2106">
        <w:rPr>
          <w:bCs/>
        </w:rPr>
        <w:t xml:space="preserve"> a request to HRSA to obtain illness data at the health center level</w:t>
      </w:r>
      <w:r w:rsidR="0093676B">
        <w:rPr>
          <w:bCs/>
        </w:rPr>
        <w:t xml:space="preserve"> and will need to complete a data use agreement. </w:t>
      </w:r>
      <w:r w:rsidR="004B5199">
        <w:rPr>
          <w:bCs/>
        </w:rPr>
        <w:t>Then I use the health center illness data and the available health center zip code data to associate</w:t>
      </w:r>
      <w:r w:rsidR="008B2106">
        <w:rPr>
          <w:bCs/>
        </w:rPr>
        <w:t xml:space="preserve"> </w:t>
      </w:r>
      <w:r w:rsidR="004B5199">
        <w:rPr>
          <w:bCs/>
        </w:rPr>
        <w:t>illness rates</w:t>
      </w:r>
      <w:r w:rsidR="008B2106">
        <w:rPr>
          <w:bCs/>
        </w:rPr>
        <w:t xml:space="preserve"> to the zip code group level.</w:t>
      </w:r>
    </w:p>
    <w:p w14:paraId="60AF2244" w14:textId="77777777" w:rsidR="000139D0" w:rsidRDefault="000139D0" w:rsidP="00E642F5">
      <w:pPr>
        <w:spacing w:line="480" w:lineRule="auto"/>
        <w:ind w:left="1440"/>
        <w:rPr>
          <w:bCs/>
        </w:rPr>
      </w:pPr>
    </w:p>
    <w:p w14:paraId="756C2E11" w14:textId="77777777" w:rsidR="000139D0" w:rsidRDefault="000139D0" w:rsidP="00E642F5">
      <w:pPr>
        <w:spacing w:line="480" w:lineRule="auto"/>
        <w:ind w:left="1440"/>
        <w:rPr>
          <w:bCs/>
        </w:rPr>
      </w:pPr>
    </w:p>
    <w:p w14:paraId="32FE8212" w14:textId="6DC3013A" w:rsidR="00054DBB" w:rsidRDefault="000139D0" w:rsidP="00556234">
      <w:pPr>
        <w:spacing w:line="480" w:lineRule="auto"/>
        <w:ind w:hanging="480"/>
      </w:pPr>
      <w:r>
        <w:rPr>
          <w:b/>
        </w:rPr>
        <w:t xml:space="preserve">Source </w:t>
      </w:r>
      <w:r w:rsidR="0021462B">
        <w:rPr>
          <w:b/>
        </w:rPr>
        <w:t>Nine</w:t>
      </w:r>
      <w:r>
        <w:rPr>
          <w:b/>
        </w:rPr>
        <w:t xml:space="preserve">: </w:t>
      </w:r>
      <w:r w:rsidR="00CE13E8" w:rsidRPr="00CE13E8">
        <w:t>National Commission for the Protection of Human Subjects of Biomedical and Behavioral Research. (1979). The Belmont Report: Ethical principles and guidelines for the protection of human subjects of research.</w:t>
      </w:r>
    </w:p>
    <w:p w14:paraId="503C8C82" w14:textId="77777777" w:rsidR="003301A8" w:rsidRPr="00891408" w:rsidRDefault="003301A8" w:rsidP="00556234">
      <w:pPr>
        <w:spacing w:line="480" w:lineRule="auto"/>
        <w:ind w:hanging="480"/>
      </w:pPr>
    </w:p>
    <w:p w14:paraId="2E894DB5" w14:textId="77777777" w:rsidR="001209D7" w:rsidRDefault="001209D7" w:rsidP="001209D7">
      <w:pPr>
        <w:spacing w:line="480" w:lineRule="auto"/>
        <w:ind w:left="720"/>
      </w:pPr>
      <w:r>
        <w:rPr>
          <w:b/>
        </w:rPr>
        <w:t>Comment 11:</w:t>
      </w:r>
    </w:p>
    <w:p w14:paraId="6476F045" w14:textId="53F71B5E" w:rsidR="001209D7" w:rsidRDefault="001209D7" w:rsidP="001209D7">
      <w:pPr>
        <w:spacing w:line="480" w:lineRule="auto"/>
        <w:ind w:left="1440"/>
        <w:rPr>
          <w:b/>
        </w:rPr>
      </w:pPr>
      <w:r>
        <w:rPr>
          <w:b/>
        </w:rPr>
        <w:t>Quote/Paraphrase:</w:t>
      </w:r>
      <w:r w:rsidR="00043092">
        <w:rPr>
          <w:b/>
        </w:rPr>
        <w:t xml:space="preserve"> </w:t>
      </w:r>
      <w:r w:rsidR="00043092" w:rsidRPr="00043092">
        <w:rPr>
          <w:bCs/>
        </w:rPr>
        <w:t>“</w:t>
      </w:r>
      <w:r w:rsidR="00BF51C5" w:rsidRPr="00BF51C5">
        <w:rPr>
          <w:bCs/>
        </w:rPr>
        <w:t xml:space="preserve">Three principles, or general prescriptive judgments, that are relevant to research involving human subjects are identified in this statement. Other principles may also be relevant. These three are comprehensive, however, and are stated at a level of generalization that should assist scientists, subjects, reviewers and interested citizens to understand the ethical issues inherent in research involving human subjects. These principles cannot always be applied </w:t>
      </w:r>
      <w:proofErr w:type="gramStart"/>
      <w:r w:rsidR="00BF51C5" w:rsidRPr="00BF51C5">
        <w:rPr>
          <w:bCs/>
        </w:rPr>
        <w:t>so as to</w:t>
      </w:r>
      <w:proofErr w:type="gramEnd"/>
      <w:r w:rsidR="00BF51C5" w:rsidRPr="00BF51C5">
        <w:rPr>
          <w:bCs/>
        </w:rPr>
        <w:t xml:space="preserve"> resolve beyond dispute particular ethical problems. The objective is to provide an analytical framework that will guide the resolution of ethical problems arising from research involving human subjects</w:t>
      </w:r>
      <w:r w:rsidR="00730D81">
        <w:rPr>
          <w:bCs/>
        </w:rPr>
        <w:t>.”  (</w:t>
      </w:r>
      <w:r w:rsidR="007D6CFD" w:rsidRPr="007D6CFD">
        <w:rPr>
          <w:bCs/>
        </w:rPr>
        <w:t>The Belmont Report</w:t>
      </w:r>
      <w:r w:rsidR="007D6CFD">
        <w:rPr>
          <w:bCs/>
        </w:rPr>
        <w:t xml:space="preserve">, </w:t>
      </w:r>
      <w:r w:rsidR="00CE13E8">
        <w:rPr>
          <w:bCs/>
        </w:rPr>
        <w:t>1979</w:t>
      </w:r>
      <w:r w:rsidR="00730D81">
        <w:rPr>
          <w:bCs/>
        </w:rPr>
        <w:t>, p.</w:t>
      </w:r>
      <w:r w:rsidR="00853F8E">
        <w:rPr>
          <w:bCs/>
        </w:rPr>
        <w:t>1</w:t>
      </w:r>
      <w:r w:rsidR="00730D81">
        <w:rPr>
          <w:bCs/>
        </w:rPr>
        <w:t>)</w:t>
      </w:r>
    </w:p>
    <w:p w14:paraId="41EC66E6" w14:textId="77777777" w:rsidR="001209D7" w:rsidRDefault="001209D7" w:rsidP="001209D7">
      <w:pPr>
        <w:spacing w:line="480" w:lineRule="auto"/>
        <w:ind w:left="1440"/>
      </w:pPr>
    </w:p>
    <w:p w14:paraId="25346B9C" w14:textId="13FC5709" w:rsidR="001209D7" w:rsidRDefault="001209D7" w:rsidP="001209D7">
      <w:pPr>
        <w:spacing w:line="480" w:lineRule="auto"/>
        <w:ind w:left="1440"/>
        <w:rPr>
          <w:b/>
        </w:rPr>
      </w:pPr>
      <w:r>
        <w:rPr>
          <w:b/>
        </w:rPr>
        <w:t>Essential Element:</w:t>
      </w:r>
      <w:r w:rsidR="00E642F5">
        <w:rPr>
          <w:b/>
        </w:rPr>
        <w:t xml:space="preserve"> </w:t>
      </w:r>
      <w:r w:rsidR="007D6CFD" w:rsidRPr="007D6CFD">
        <w:rPr>
          <w:bCs/>
        </w:rPr>
        <w:t>Ethical Research Criteria</w:t>
      </w:r>
    </w:p>
    <w:p w14:paraId="67110248" w14:textId="77777777" w:rsidR="001209D7" w:rsidRDefault="001209D7" w:rsidP="001209D7">
      <w:pPr>
        <w:spacing w:line="480" w:lineRule="auto"/>
        <w:ind w:left="1440"/>
        <w:rPr>
          <w:b/>
        </w:rPr>
      </w:pPr>
    </w:p>
    <w:p w14:paraId="1291705B" w14:textId="667E6274" w:rsidR="001209D7" w:rsidRDefault="001209D7" w:rsidP="001209D7">
      <w:pPr>
        <w:spacing w:line="480" w:lineRule="auto"/>
        <w:ind w:left="1440"/>
        <w:rPr>
          <w:b/>
        </w:rPr>
      </w:pPr>
      <w:r>
        <w:rPr>
          <w:b/>
        </w:rPr>
        <w:t>Additive/Variant Analysis:</w:t>
      </w:r>
      <w:r w:rsidR="00E642F5">
        <w:rPr>
          <w:b/>
        </w:rPr>
        <w:t xml:space="preserve"> </w:t>
      </w:r>
      <w:r w:rsidR="00E642F5">
        <w:rPr>
          <w:bCs/>
        </w:rPr>
        <w:t>Th</w:t>
      </w:r>
      <w:r w:rsidR="00966C69">
        <w:rPr>
          <w:bCs/>
        </w:rPr>
        <w:t>e ethical concerns and treatment of human research subjects in research</w:t>
      </w:r>
      <w:r w:rsidR="00E642F5">
        <w:rPr>
          <w:bCs/>
        </w:rPr>
        <w:t xml:space="preserve"> </w:t>
      </w:r>
      <w:r w:rsidR="00966C69">
        <w:rPr>
          <w:bCs/>
        </w:rPr>
        <w:t>are</w:t>
      </w:r>
      <w:r w:rsidR="00077926">
        <w:rPr>
          <w:bCs/>
        </w:rPr>
        <w:t xml:space="preserve"> additive to my understanding of </w:t>
      </w:r>
      <w:r w:rsidR="00966C69">
        <w:rPr>
          <w:bCs/>
        </w:rPr>
        <w:t>ethical research conduct</w:t>
      </w:r>
      <w:r w:rsidR="00077926">
        <w:rPr>
          <w:bCs/>
        </w:rPr>
        <w:t>.</w:t>
      </w:r>
    </w:p>
    <w:p w14:paraId="7090119F" w14:textId="77777777" w:rsidR="001209D7" w:rsidRDefault="001209D7" w:rsidP="001209D7">
      <w:pPr>
        <w:spacing w:line="480" w:lineRule="auto"/>
        <w:ind w:left="1440"/>
      </w:pPr>
    </w:p>
    <w:p w14:paraId="79ED18B3" w14:textId="548D7015" w:rsidR="003C2972" w:rsidRDefault="001209D7" w:rsidP="003C2972">
      <w:pPr>
        <w:spacing w:line="480" w:lineRule="auto"/>
        <w:ind w:left="1440"/>
        <w:rPr>
          <w:bCs/>
        </w:rPr>
      </w:pPr>
      <w:r>
        <w:rPr>
          <w:b/>
        </w:rPr>
        <w:t>Contextualization:</w:t>
      </w:r>
      <w:r w:rsidR="00E642F5">
        <w:rPr>
          <w:b/>
        </w:rPr>
        <w:t xml:space="preserve"> </w:t>
      </w:r>
      <w:r w:rsidR="001B3744" w:rsidRPr="001B3744">
        <w:rPr>
          <w:bCs/>
        </w:rPr>
        <w:t>The Belmont Report</w:t>
      </w:r>
      <w:r w:rsidR="001B3744">
        <w:rPr>
          <w:bCs/>
        </w:rPr>
        <w:t xml:space="preserve"> by the </w:t>
      </w:r>
      <w:r w:rsidR="001B3744" w:rsidRPr="001B3744">
        <w:rPr>
          <w:bCs/>
        </w:rPr>
        <w:t>National Commission for the Protection of Human Subjects of Biomedical and Behavioral Research</w:t>
      </w:r>
      <w:r w:rsidR="003C2972">
        <w:rPr>
          <w:bCs/>
        </w:rPr>
        <w:t>,</w:t>
      </w:r>
      <w:r w:rsidR="001B3744">
        <w:rPr>
          <w:bCs/>
        </w:rPr>
        <w:t xml:space="preserve"> are </w:t>
      </w:r>
      <w:r w:rsidR="00966C69">
        <w:rPr>
          <w:bCs/>
        </w:rPr>
        <w:t>principles</w:t>
      </w:r>
      <w:r w:rsidR="001B3744">
        <w:rPr>
          <w:bCs/>
        </w:rPr>
        <w:t xml:space="preserve"> set forth to guide researchers in the ethical conduct of dealing with human subjects in research. Participants have rights and ethical status that </w:t>
      </w:r>
      <w:r w:rsidR="00966C69">
        <w:rPr>
          <w:bCs/>
        </w:rPr>
        <w:t>human</w:t>
      </w:r>
      <w:r w:rsidR="001B3744">
        <w:rPr>
          <w:bCs/>
        </w:rPr>
        <w:t xml:space="preserve"> treatment is required for all researchers to follow. In the </w:t>
      </w:r>
      <w:r w:rsidR="00966C69">
        <w:rPr>
          <w:bCs/>
        </w:rPr>
        <w:t>twentieth</w:t>
      </w:r>
      <w:r w:rsidR="001B3744">
        <w:rPr>
          <w:bCs/>
        </w:rPr>
        <w:t xml:space="preserve"> century</w:t>
      </w:r>
      <w:r w:rsidR="00966C69">
        <w:rPr>
          <w:bCs/>
        </w:rPr>
        <w:t>, there were many scientific advances. However, there were some unethical practices that were used, such as in Nazi Germany, where German scientists used humans as scientific subjects with total disregard for human values</w:t>
      </w:r>
      <w:r w:rsidR="001B3744">
        <w:rPr>
          <w:bCs/>
        </w:rPr>
        <w:t>. However, this was not the only place unethical scientific research was being performed, such as in the United States medical research.</w:t>
      </w:r>
      <w:r w:rsidR="00A66348">
        <w:rPr>
          <w:bCs/>
        </w:rPr>
        <w:t xml:space="preserve"> </w:t>
      </w:r>
      <w:r w:rsidR="003C2972" w:rsidRPr="003C2972">
        <w:rPr>
          <w:bCs/>
        </w:rPr>
        <w:t xml:space="preserve">The Belmont </w:t>
      </w:r>
      <w:r w:rsidR="003C2972">
        <w:rPr>
          <w:bCs/>
        </w:rPr>
        <w:t>R</w:t>
      </w:r>
      <w:r w:rsidR="003C2972" w:rsidRPr="003C2972">
        <w:rPr>
          <w:bCs/>
        </w:rPr>
        <w:t>eport</w:t>
      </w:r>
      <w:r w:rsidR="003C2972">
        <w:rPr>
          <w:bCs/>
        </w:rPr>
        <w:t xml:space="preserve"> provides three ethical principles for the researcher to </w:t>
      </w:r>
      <w:proofErr w:type="gramStart"/>
      <w:r w:rsidR="003C2972">
        <w:rPr>
          <w:bCs/>
        </w:rPr>
        <w:t>follow;</w:t>
      </w:r>
      <w:proofErr w:type="gramEnd"/>
      <w:r w:rsidR="003C2972">
        <w:rPr>
          <w:bCs/>
        </w:rPr>
        <w:t xml:space="preserve"> r</w:t>
      </w:r>
      <w:r w:rsidR="003C2972" w:rsidRPr="003C2972">
        <w:rPr>
          <w:bCs/>
        </w:rPr>
        <w:t xml:space="preserve">espect for </w:t>
      </w:r>
      <w:proofErr w:type="gramStart"/>
      <w:r w:rsidR="003C2972" w:rsidRPr="003C2972">
        <w:rPr>
          <w:bCs/>
        </w:rPr>
        <w:t>persons</w:t>
      </w:r>
      <w:proofErr w:type="gramEnd"/>
      <w:r w:rsidR="003C2972">
        <w:rPr>
          <w:bCs/>
        </w:rPr>
        <w:t>, b</w:t>
      </w:r>
      <w:r w:rsidR="003C2972" w:rsidRPr="003C2972">
        <w:rPr>
          <w:bCs/>
        </w:rPr>
        <w:t>eneficence</w:t>
      </w:r>
      <w:r w:rsidR="003C2972">
        <w:rPr>
          <w:bCs/>
        </w:rPr>
        <w:t xml:space="preserve">, and </w:t>
      </w:r>
      <w:r w:rsidR="003C2972" w:rsidRPr="003C2972">
        <w:rPr>
          <w:bCs/>
        </w:rPr>
        <w:t>justice</w:t>
      </w:r>
      <w:r w:rsidR="003C2972">
        <w:rPr>
          <w:bCs/>
        </w:rPr>
        <w:t>. These are then used in the application of informed consent, assessment of risks and benefits, and selection of subjects.</w:t>
      </w:r>
    </w:p>
    <w:p w14:paraId="6ADEFF72" w14:textId="04F1BA84" w:rsidR="00556234" w:rsidRDefault="00556234" w:rsidP="00450F86">
      <w:pPr>
        <w:spacing w:line="480" w:lineRule="auto"/>
        <w:rPr>
          <w:bCs/>
        </w:rPr>
      </w:pPr>
    </w:p>
    <w:p w14:paraId="0E881FD8" w14:textId="6E810103" w:rsidR="007D6CFD" w:rsidRPr="00E940EB" w:rsidRDefault="007D6CFD" w:rsidP="00E940EB">
      <w:pPr>
        <w:spacing w:line="480" w:lineRule="auto"/>
        <w:ind w:hanging="480"/>
        <w:rPr>
          <w:u w:val="single"/>
        </w:rPr>
      </w:pPr>
      <w:r>
        <w:rPr>
          <w:b/>
        </w:rPr>
        <w:t xml:space="preserve">Source Nine: </w:t>
      </w:r>
      <w:r w:rsidR="00E940EB" w:rsidRPr="00E940EB">
        <w:t>Walshe, C., &amp; Brearley, S. (Eds.). (2020). </w:t>
      </w:r>
      <w:r w:rsidR="00E940EB" w:rsidRPr="00E940EB">
        <w:rPr>
          <w:i/>
          <w:iCs/>
        </w:rPr>
        <w:t>Handbook of Theory and Methods in Applied Health Research: Questions, Methods and Choices</w:t>
      </w:r>
      <w:r w:rsidR="00E940EB" w:rsidRPr="00E940EB">
        <w:t>. Edward Elgar Publishing.</w:t>
      </w:r>
    </w:p>
    <w:p w14:paraId="11C364A9" w14:textId="77777777" w:rsidR="00E826D5" w:rsidRDefault="00E826D5" w:rsidP="00556234">
      <w:pPr>
        <w:spacing w:line="480" w:lineRule="auto"/>
        <w:ind w:hanging="480"/>
      </w:pPr>
    </w:p>
    <w:p w14:paraId="45278207" w14:textId="77777777" w:rsidR="001209D7" w:rsidRDefault="001209D7" w:rsidP="001209D7">
      <w:pPr>
        <w:spacing w:line="480" w:lineRule="auto"/>
        <w:ind w:left="720"/>
      </w:pPr>
      <w:r>
        <w:rPr>
          <w:b/>
        </w:rPr>
        <w:t>Comment 12:</w:t>
      </w:r>
    </w:p>
    <w:p w14:paraId="17B419F1" w14:textId="364976DC" w:rsidR="001209D7" w:rsidRPr="00751F7F" w:rsidRDefault="001209D7" w:rsidP="001209D7">
      <w:pPr>
        <w:spacing w:line="480" w:lineRule="auto"/>
        <w:ind w:left="1440"/>
        <w:rPr>
          <w:bCs/>
        </w:rPr>
      </w:pPr>
      <w:r>
        <w:rPr>
          <w:b/>
        </w:rPr>
        <w:lastRenderedPageBreak/>
        <w:t>Quote/Paraphrase:</w:t>
      </w:r>
      <w:r w:rsidR="00BC5519">
        <w:rPr>
          <w:b/>
        </w:rPr>
        <w:t xml:space="preserve"> </w:t>
      </w:r>
      <w:r w:rsidR="00751F7F">
        <w:rPr>
          <w:bCs/>
        </w:rPr>
        <w:t>“</w:t>
      </w:r>
      <w:r w:rsidR="00E6381D">
        <w:rPr>
          <w:bCs/>
        </w:rPr>
        <w:t xml:space="preserve">There is, </w:t>
      </w:r>
      <w:proofErr w:type="gramStart"/>
      <w:r w:rsidR="00E6381D">
        <w:rPr>
          <w:bCs/>
        </w:rPr>
        <w:t>therefore</w:t>
      </w:r>
      <w:proofErr w:type="gramEnd"/>
      <w:r w:rsidR="00E6381D">
        <w:rPr>
          <w:bCs/>
        </w:rPr>
        <w:t xml:space="preserve"> a need to have some understanding of different research designs beforehand. Critical appraisal tools help you to formulate your views and opinions on a piece of research you read about in a structured, more objective manner. The tools can also enable tables to be constructed; assisting with the structure and organization of how the assessments are written up.</w:t>
      </w:r>
      <w:r w:rsidR="009A008F">
        <w:rPr>
          <w:bCs/>
        </w:rPr>
        <w:t>”</w:t>
      </w:r>
      <w:r w:rsidR="00A51FD8" w:rsidRPr="00A51FD8">
        <w:t xml:space="preserve"> </w:t>
      </w:r>
      <w:r w:rsidR="001D69AD">
        <w:rPr>
          <w:bCs/>
        </w:rPr>
        <w:t>(</w:t>
      </w:r>
      <w:r w:rsidR="00BA1AAD">
        <w:rPr>
          <w:bCs/>
        </w:rPr>
        <w:t>Walshe &amp; Brearley</w:t>
      </w:r>
      <w:r w:rsidR="001D69AD">
        <w:rPr>
          <w:bCs/>
        </w:rPr>
        <w:t>, 20</w:t>
      </w:r>
      <w:r w:rsidR="00BA1AAD">
        <w:rPr>
          <w:bCs/>
        </w:rPr>
        <w:t>20</w:t>
      </w:r>
      <w:r w:rsidR="001D69AD">
        <w:rPr>
          <w:bCs/>
        </w:rPr>
        <w:t>, p.</w:t>
      </w:r>
      <w:r w:rsidR="00BA1AAD">
        <w:rPr>
          <w:bCs/>
        </w:rPr>
        <w:t>11</w:t>
      </w:r>
      <w:r w:rsidR="001D69AD">
        <w:rPr>
          <w:bCs/>
        </w:rPr>
        <w:t>).</w:t>
      </w:r>
    </w:p>
    <w:p w14:paraId="7353EC65" w14:textId="385371A2" w:rsidR="001209D7" w:rsidRDefault="001209D7" w:rsidP="001209D7">
      <w:pPr>
        <w:spacing w:line="480" w:lineRule="auto"/>
        <w:ind w:left="1440"/>
      </w:pPr>
    </w:p>
    <w:p w14:paraId="75A0C138" w14:textId="3D215E77" w:rsidR="001209D7" w:rsidRDefault="001209D7" w:rsidP="001209D7">
      <w:pPr>
        <w:spacing w:line="480" w:lineRule="auto"/>
        <w:ind w:left="1440"/>
        <w:rPr>
          <w:b/>
        </w:rPr>
      </w:pPr>
      <w:r>
        <w:rPr>
          <w:b/>
        </w:rPr>
        <w:t>Essential Element:</w:t>
      </w:r>
      <w:r w:rsidR="00E642F5">
        <w:rPr>
          <w:b/>
        </w:rPr>
        <w:t xml:space="preserve"> </w:t>
      </w:r>
      <w:r w:rsidR="00E940EB" w:rsidRPr="00E940EB">
        <w:rPr>
          <w:bCs/>
        </w:rPr>
        <w:t>Literature Review Outline</w:t>
      </w:r>
    </w:p>
    <w:p w14:paraId="33217C27" w14:textId="77777777" w:rsidR="001209D7" w:rsidRDefault="001209D7" w:rsidP="001209D7">
      <w:pPr>
        <w:spacing w:line="480" w:lineRule="auto"/>
        <w:ind w:left="1440"/>
        <w:rPr>
          <w:b/>
        </w:rPr>
      </w:pPr>
    </w:p>
    <w:p w14:paraId="26A4B2EB" w14:textId="5612AFD0" w:rsidR="001209D7" w:rsidRDefault="001209D7" w:rsidP="001209D7">
      <w:pPr>
        <w:spacing w:line="480" w:lineRule="auto"/>
        <w:ind w:left="1440"/>
        <w:rPr>
          <w:b/>
        </w:rPr>
      </w:pPr>
      <w:r>
        <w:rPr>
          <w:b/>
        </w:rPr>
        <w:t>Additive/Variant Analysis:</w:t>
      </w:r>
      <w:r w:rsidR="00E642F5">
        <w:rPr>
          <w:b/>
        </w:rPr>
        <w:t xml:space="preserve"> </w:t>
      </w:r>
      <w:r w:rsidR="00E642F5">
        <w:rPr>
          <w:bCs/>
        </w:rPr>
        <w:t>Th</w:t>
      </w:r>
      <w:r w:rsidR="00220D7E">
        <w:rPr>
          <w:bCs/>
        </w:rPr>
        <w:t>e</w:t>
      </w:r>
      <w:r w:rsidR="00E642F5">
        <w:rPr>
          <w:bCs/>
        </w:rPr>
        <w:t xml:space="preserve"> </w:t>
      </w:r>
      <w:r w:rsidR="005912B0">
        <w:rPr>
          <w:bCs/>
        </w:rPr>
        <w:t xml:space="preserve">concept </w:t>
      </w:r>
      <w:r w:rsidR="00450F86">
        <w:rPr>
          <w:bCs/>
        </w:rPr>
        <w:t>of</w:t>
      </w:r>
      <w:r w:rsidR="00220D7E">
        <w:rPr>
          <w:bCs/>
        </w:rPr>
        <w:t xml:space="preserve"> using tools in your literature review process </w:t>
      </w:r>
      <w:r w:rsidR="00450F86">
        <w:rPr>
          <w:bCs/>
        </w:rPr>
        <w:t xml:space="preserve">is additive to my understanding of </w:t>
      </w:r>
      <w:r w:rsidR="00220D7E">
        <w:rPr>
          <w:bCs/>
        </w:rPr>
        <w:t>the research process</w:t>
      </w:r>
      <w:r w:rsidR="00450F86">
        <w:rPr>
          <w:bCs/>
        </w:rPr>
        <w:t xml:space="preserve">. </w:t>
      </w:r>
    </w:p>
    <w:p w14:paraId="1770B78B" w14:textId="77777777" w:rsidR="001209D7" w:rsidRDefault="001209D7" w:rsidP="001209D7">
      <w:pPr>
        <w:spacing w:line="480" w:lineRule="auto"/>
        <w:ind w:left="1440"/>
      </w:pPr>
    </w:p>
    <w:p w14:paraId="494D3D67" w14:textId="70A9F398" w:rsidR="008D0262" w:rsidRPr="0023772A" w:rsidRDefault="001209D7" w:rsidP="0023772A">
      <w:pPr>
        <w:spacing w:line="480" w:lineRule="auto"/>
        <w:ind w:left="1440"/>
        <w:rPr>
          <w:bCs/>
        </w:rPr>
      </w:pPr>
      <w:r>
        <w:rPr>
          <w:b/>
        </w:rPr>
        <w:t>Contextualization:</w:t>
      </w:r>
      <w:r w:rsidR="00E642F5">
        <w:rPr>
          <w:b/>
        </w:rPr>
        <w:t xml:space="preserve"> </w:t>
      </w:r>
      <w:r w:rsidR="00582E61">
        <w:rPr>
          <w:bCs/>
        </w:rPr>
        <w:t>In this book</w:t>
      </w:r>
      <w:r w:rsidR="00A1670F">
        <w:rPr>
          <w:bCs/>
        </w:rPr>
        <w:t xml:space="preserve"> </w:t>
      </w:r>
      <w:r w:rsidR="00582E61">
        <w:rPr>
          <w:bCs/>
        </w:rPr>
        <w:t xml:space="preserve">they take the reader through the </w:t>
      </w:r>
      <w:r w:rsidR="0023772A">
        <w:rPr>
          <w:bCs/>
        </w:rPr>
        <w:t>healthcare research process</w:t>
      </w:r>
      <w:r w:rsidR="00582E61">
        <w:rPr>
          <w:bCs/>
        </w:rPr>
        <w:t>, including the literature review, which is a vital step in the research process</w:t>
      </w:r>
      <w:r w:rsidR="00BD243D">
        <w:rPr>
          <w:bCs/>
        </w:rPr>
        <w:t xml:space="preserve">. </w:t>
      </w:r>
      <w:r w:rsidR="00582E61">
        <w:rPr>
          <w:bCs/>
        </w:rPr>
        <w:t>In this section</w:t>
      </w:r>
      <w:r w:rsidR="0023772A">
        <w:rPr>
          <w:bCs/>
        </w:rPr>
        <w:t xml:space="preserve">, the authors inform us that there are literature review tools that can be used to help us through the process and organize our literature review, </w:t>
      </w:r>
      <w:proofErr w:type="gramStart"/>
      <w:r w:rsidR="0023772A">
        <w:rPr>
          <w:bCs/>
        </w:rPr>
        <w:t>such tools</w:t>
      </w:r>
      <w:proofErr w:type="gramEnd"/>
      <w:r w:rsidR="0023772A">
        <w:rPr>
          <w:bCs/>
        </w:rPr>
        <w:t xml:space="preserve"> as Zotero</w:t>
      </w:r>
      <w:r w:rsidR="00582E61">
        <w:rPr>
          <w:bCs/>
        </w:rPr>
        <w:t xml:space="preserve"> and many other online tools. </w:t>
      </w:r>
      <w:r w:rsidR="0023772A">
        <w:rPr>
          <w:bCs/>
        </w:rPr>
        <w:t xml:space="preserve">However, you can also use internal tools to keep records of things from the articles, and </w:t>
      </w:r>
      <w:proofErr w:type="gramStart"/>
      <w:r w:rsidR="0023772A">
        <w:rPr>
          <w:bCs/>
        </w:rPr>
        <w:t>an organized</w:t>
      </w:r>
      <w:proofErr w:type="gramEnd"/>
      <w:r w:rsidR="0023772A">
        <w:rPr>
          <w:bCs/>
        </w:rPr>
        <w:t xml:space="preserve"> fashion for quick retrieval, such as </w:t>
      </w:r>
      <w:proofErr w:type="gramStart"/>
      <w:r w:rsidR="0023772A">
        <w:rPr>
          <w:bCs/>
        </w:rPr>
        <w:t>spreadsheet based</w:t>
      </w:r>
      <w:proofErr w:type="gramEnd"/>
      <w:r w:rsidR="0023772A">
        <w:rPr>
          <w:bCs/>
        </w:rPr>
        <w:t xml:space="preserve"> tools. No </w:t>
      </w:r>
      <w:proofErr w:type="gramStart"/>
      <w:r w:rsidR="0023772A">
        <w:rPr>
          <w:bCs/>
        </w:rPr>
        <w:t>matter</w:t>
      </w:r>
      <w:proofErr w:type="gramEnd"/>
      <w:r w:rsidR="0023772A">
        <w:rPr>
          <w:bCs/>
        </w:rPr>
        <w:t xml:space="preserve"> the tool used, the researcher should feel comfortable and easily function within the tool to help organize, summarize, and utilize the products of the </w:t>
      </w:r>
      <w:r w:rsidR="0023772A" w:rsidRPr="0023772A">
        <w:rPr>
          <w:bCs/>
        </w:rPr>
        <w:t>literature review</w:t>
      </w:r>
      <w:r w:rsidR="0023772A">
        <w:rPr>
          <w:bCs/>
        </w:rPr>
        <w:t>.</w:t>
      </w:r>
    </w:p>
    <w:p w14:paraId="737CBEC2" w14:textId="77777777" w:rsidR="008D0262" w:rsidRPr="00AF4008" w:rsidRDefault="008D0262" w:rsidP="0023772A">
      <w:pPr>
        <w:spacing w:line="480" w:lineRule="auto"/>
        <w:rPr>
          <w:b/>
        </w:rPr>
      </w:pPr>
    </w:p>
    <w:p w14:paraId="08E048B9" w14:textId="3A35D386" w:rsidR="003014C3" w:rsidRDefault="00000000" w:rsidP="003014C3">
      <w:pPr>
        <w:spacing w:line="480" w:lineRule="auto"/>
        <w:jc w:val="center"/>
        <w:rPr>
          <w:b/>
        </w:rPr>
      </w:pPr>
      <w:r>
        <w:rPr>
          <w:b/>
        </w:rPr>
        <w:lastRenderedPageBreak/>
        <w:t>Works Cited</w:t>
      </w:r>
      <w:bookmarkStart w:id="16" w:name="_Hlk165119832"/>
    </w:p>
    <w:p w14:paraId="38D3CF1B" w14:textId="7B0BAF26" w:rsidR="008D0262" w:rsidRDefault="008D0262" w:rsidP="008D0262">
      <w:pPr>
        <w:spacing w:line="480" w:lineRule="auto"/>
        <w:ind w:hanging="480"/>
      </w:pPr>
      <w:r w:rsidRPr="00A73109">
        <w:t xml:space="preserve">Benavidez, G. A., Zahnd, W. E., Hung, P., &amp; Eberth, J. M. (2024). Chronic Disease Prevalence in the US: Sociodemographic and Geographic Variations by Zip Code Tabulation Area. </w:t>
      </w:r>
      <w:r w:rsidRPr="00A73109">
        <w:rPr>
          <w:i/>
          <w:iCs/>
        </w:rPr>
        <w:t>Preventing Chronic Disease</w:t>
      </w:r>
      <w:r w:rsidRPr="00A73109">
        <w:t xml:space="preserve">, </w:t>
      </w:r>
      <w:r w:rsidRPr="00A73109">
        <w:rPr>
          <w:i/>
          <w:iCs/>
        </w:rPr>
        <w:t>21</w:t>
      </w:r>
      <w:r w:rsidRPr="00A73109">
        <w:t xml:space="preserve">, 230267. </w:t>
      </w:r>
      <w:hyperlink r:id="rId17" w:history="1">
        <w:r w:rsidRPr="00A73109">
          <w:rPr>
            <w:color w:val="0000FF"/>
            <w:u w:val="single"/>
          </w:rPr>
          <w:t>https://doi.org/10.5888/pcd21.230267</w:t>
        </w:r>
      </w:hyperlink>
    </w:p>
    <w:p w14:paraId="571A0458" w14:textId="3A78E884" w:rsidR="008D0262" w:rsidRPr="008D0262" w:rsidRDefault="008D0262" w:rsidP="008D0262">
      <w:pPr>
        <w:spacing w:line="480" w:lineRule="auto"/>
        <w:ind w:hanging="480"/>
      </w:pPr>
      <w:proofErr w:type="spellStart"/>
      <w:r w:rsidRPr="004312E2">
        <w:t>Delmelle</w:t>
      </w:r>
      <w:proofErr w:type="spellEnd"/>
      <w:r w:rsidRPr="004312E2">
        <w:t xml:space="preserve">, E. M., Desjardins, M. R., Jung, P., Owusu, C., Lan, Y., Hohl, A., &amp; Dony, C. (2022). Uncertainty in geospatial health: Challenges and opportunities ahead. </w:t>
      </w:r>
      <w:r w:rsidRPr="004312E2">
        <w:rPr>
          <w:i/>
          <w:iCs/>
        </w:rPr>
        <w:t>Annals of Epidemiology</w:t>
      </w:r>
      <w:r w:rsidRPr="004312E2">
        <w:t xml:space="preserve">, </w:t>
      </w:r>
      <w:r w:rsidRPr="004312E2">
        <w:rPr>
          <w:i/>
          <w:iCs/>
        </w:rPr>
        <w:t>65</w:t>
      </w:r>
      <w:r w:rsidRPr="004312E2">
        <w:t xml:space="preserve">, 15–30. </w:t>
      </w:r>
      <w:hyperlink r:id="rId18" w:history="1">
        <w:r w:rsidRPr="004312E2">
          <w:rPr>
            <w:color w:val="0000FF"/>
            <w:u w:val="single"/>
          </w:rPr>
          <w:t>https://doi.org/10.1016/j.annepidem.2021.10.002</w:t>
        </w:r>
      </w:hyperlink>
    </w:p>
    <w:p w14:paraId="6F36FD3A" w14:textId="223628E8" w:rsidR="00484925" w:rsidRPr="00484925" w:rsidRDefault="00484925" w:rsidP="00A66B38">
      <w:pPr>
        <w:spacing w:line="480" w:lineRule="auto"/>
        <w:ind w:hanging="480"/>
      </w:pPr>
      <w:bookmarkStart w:id="17" w:name="_Hlk190237707"/>
      <w:r w:rsidRPr="00484925">
        <w:t xml:space="preserve">Embury, J., Tsou, M.-H., Nara, A., &amp; Oren, E. (2022). A </w:t>
      </w:r>
      <w:proofErr w:type="spellStart"/>
      <w:r w:rsidRPr="00484925">
        <w:t>Spatio</w:t>
      </w:r>
      <w:proofErr w:type="spellEnd"/>
      <w:r w:rsidRPr="00484925">
        <w:t xml:space="preserve">-Demographic Perspective on the Role of Social Determinants of Health and Chronic Disease in Determining a Population’s Vulnerability to COVID-19. </w:t>
      </w:r>
      <w:r w:rsidRPr="00484925">
        <w:rPr>
          <w:i/>
          <w:iCs/>
        </w:rPr>
        <w:t>Preventing Chronic Disease</w:t>
      </w:r>
      <w:r w:rsidRPr="00484925">
        <w:t xml:space="preserve">, </w:t>
      </w:r>
      <w:r w:rsidRPr="00484925">
        <w:rPr>
          <w:i/>
          <w:iCs/>
        </w:rPr>
        <w:t>19</w:t>
      </w:r>
      <w:r w:rsidRPr="00484925">
        <w:t xml:space="preserve">, 210414. </w:t>
      </w:r>
      <w:hyperlink r:id="rId19" w:history="1">
        <w:r w:rsidRPr="00484925">
          <w:rPr>
            <w:color w:val="0000FF"/>
            <w:u w:val="single"/>
          </w:rPr>
          <w:t>https://doi.org/10.5888/pcd19.210414</w:t>
        </w:r>
      </w:hyperlink>
      <w:bookmarkEnd w:id="17"/>
    </w:p>
    <w:p w14:paraId="364578C0" w14:textId="1A2032B7" w:rsidR="00A66B38" w:rsidRPr="00A66B38" w:rsidRDefault="00A66B38" w:rsidP="00A73109">
      <w:pPr>
        <w:spacing w:line="480" w:lineRule="auto"/>
        <w:ind w:hanging="480"/>
      </w:pPr>
      <w:bookmarkStart w:id="18" w:name="_Hlk190238987"/>
      <w:proofErr w:type="spellStart"/>
      <w:r w:rsidRPr="00A66B38">
        <w:t>Gobaud</w:t>
      </w:r>
      <w:proofErr w:type="spellEnd"/>
      <w:r w:rsidRPr="00A66B38">
        <w:t xml:space="preserve">, A. N., </w:t>
      </w:r>
      <w:proofErr w:type="spellStart"/>
      <w:r w:rsidRPr="00A66B38">
        <w:t>Mehranbod</w:t>
      </w:r>
      <w:proofErr w:type="spellEnd"/>
      <w:r w:rsidRPr="00A66B38">
        <w:t xml:space="preserve">, C. A., Dong, B., Dodington, J., &amp; Morrison, C. N. (2022). Absolute versus relative socioeconomic disadvantage and homicide: A spatial ecological case–control study of US zip codes. </w:t>
      </w:r>
      <w:r w:rsidRPr="00A66B38">
        <w:rPr>
          <w:i/>
          <w:iCs/>
        </w:rPr>
        <w:t>Injury Epidemiology</w:t>
      </w:r>
      <w:r w:rsidRPr="00A66B38">
        <w:t xml:space="preserve">, </w:t>
      </w:r>
      <w:r w:rsidRPr="00A66B38">
        <w:rPr>
          <w:i/>
          <w:iCs/>
        </w:rPr>
        <w:t>9</w:t>
      </w:r>
      <w:r w:rsidRPr="00A66B38">
        <w:t xml:space="preserve">(1), 7. </w:t>
      </w:r>
      <w:hyperlink r:id="rId20" w:history="1">
        <w:r w:rsidRPr="00A66B38">
          <w:rPr>
            <w:color w:val="0000FF"/>
            <w:u w:val="single"/>
          </w:rPr>
          <w:t>https://doi.org/10.1186/s40621-022-00371-z</w:t>
        </w:r>
      </w:hyperlink>
      <w:bookmarkEnd w:id="18"/>
    </w:p>
    <w:p w14:paraId="63A7CC72" w14:textId="62E645A9" w:rsidR="00131034" w:rsidRPr="00A73109" w:rsidRDefault="00131034" w:rsidP="00A73109">
      <w:pPr>
        <w:spacing w:line="480" w:lineRule="auto"/>
        <w:ind w:hanging="480"/>
      </w:pPr>
      <w:bookmarkStart w:id="19" w:name="_Hlk190240829"/>
      <w:r w:rsidRPr="00131034">
        <w:t xml:space="preserve">Habibi, R., </w:t>
      </w:r>
      <w:proofErr w:type="spellStart"/>
      <w:r w:rsidRPr="00131034">
        <w:t>Alesheikh</w:t>
      </w:r>
      <w:proofErr w:type="spellEnd"/>
      <w:r w:rsidRPr="00131034">
        <w:t xml:space="preserve">, A. A., &amp; Bayat, S. (2022). An event-based model and a map visualization approach for spatiotemporal association relations discovery of diseases diffusion. </w:t>
      </w:r>
      <w:r w:rsidRPr="00131034">
        <w:rPr>
          <w:i/>
          <w:iCs/>
        </w:rPr>
        <w:t>Sustainable Cities and Society</w:t>
      </w:r>
      <w:r w:rsidRPr="00131034">
        <w:t xml:space="preserve">, </w:t>
      </w:r>
      <w:r w:rsidRPr="00131034">
        <w:rPr>
          <w:i/>
          <w:iCs/>
        </w:rPr>
        <w:t>87</w:t>
      </w:r>
      <w:r w:rsidRPr="00131034">
        <w:t xml:space="preserve">, 104187. </w:t>
      </w:r>
      <w:hyperlink r:id="rId21" w:history="1">
        <w:r w:rsidRPr="00131034">
          <w:rPr>
            <w:color w:val="0000FF"/>
            <w:u w:val="single"/>
          </w:rPr>
          <w:t>https://doi.org/10.1016/j.scs.2022.104187</w:t>
        </w:r>
      </w:hyperlink>
      <w:bookmarkEnd w:id="19"/>
    </w:p>
    <w:p w14:paraId="0CE451E3" w14:textId="77777777" w:rsidR="000D2896" w:rsidRDefault="000D2896" w:rsidP="000D2896">
      <w:pPr>
        <w:spacing w:line="480" w:lineRule="auto"/>
        <w:ind w:hanging="480"/>
      </w:pPr>
      <w:r w:rsidRPr="000D2896">
        <w:t xml:space="preserve">Lee, E. K., Donley, G., Ciesielski, T. H., Freedman, D. A., &amp; Cole, M. B. (2023). Spatial availability of federally qualified health centers and disparities in health services utilization in medically underserved areas. </w:t>
      </w:r>
      <w:r w:rsidRPr="000D2896">
        <w:rPr>
          <w:i/>
          <w:iCs/>
        </w:rPr>
        <w:t>Social Science &amp; Medicine</w:t>
      </w:r>
      <w:r w:rsidRPr="000D2896">
        <w:t xml:space="preserve">, </w:t>
      </w:r>
      <w:r w:rsidRPr="000D2896">
        <w:rPr>
          <w:i/>
          <w:iCs/>
        </w:rPr>
        <w:t>328</w:t>
      </w:r>
      <w:r w:rsidRPr="000D2896">
        <w:t xml:space="preserve">, 116009. </w:t>
      </w:r>
      <w:hyperlink r:id="rId22" w:history="1">
        <w:r w:rsidRPr="000D2896">
          <w:rPr>
            <w:color w:val="0000FF"/>
            <w:u w:val="single"/>
          </w:rPr>
          <w:t>https://doi.org/10.1016/j.socscimed.2023.116009</w:t>
        </w:r>
      </w:hyperlink>
    </w:p>
    <w:p w14:paraId="66047644" w14:textId="12CB201B" w:rsidR="008D0262" w:rsidRDefault="008D0262" w:rsidP="008D0262">
      <w:pPr>
        <w:spacing w:line="480" w:lineRule="auto"/>
        <w:ind w:hanging="480"/>
      </w:pPr>
      <w:bookmarkStart w:id="20" w:name="_Hlk190252687"/>
      <w:r w:rsidRPr="00CE13E8">
        <w:lastRenderedPageBreak/>
        <w:t>National Commission for the Protection of Human Subjects of Biomedical and Behavioral Research. (1979). The Belmont Report: Ethical principles and guidelines for the protection of human subjects of research.</w:t>
      </w:r>
      <w:bookmarkEnd w:id="20"/>
    </w:p>
    <w:p w14:paraId="3B425DBA" w14:textId="07F33F0B" w:rsidR="00C72D7E" w:rsidRPr="008D0262" w:rsidRDefault="00770D45" w:rsidP="008D0262">
      <w:pPr>
        <w:spacing w:line="480" w:lineRule="auto"/>
        <w:ind w:hanging="480"/>
      </w:pPr>
      <w:r w:rsidRPr="00770D45">
        <w:t xml:space="preserve">Swales, L., Gooden, A., &amp; </w:t>
      </w:r>
      <w:proofErr w:type="spellStart"/>
      <w:r w:rsidRPr="00770D45">
        <w:t>Thaldar</w:t>
      </w:r>
      <w:proofErr w:type="spellEnd"/>
      <w:r w:rsidRPr="00770D45">
        <w:t xml:space="preserve">, D. (2024). The anatomy of a data transfer agreement for health research. </w:t>
      </w:r>
      <w:r w:rsidRPr="00770D45">
        <w:rPr>
          <w:i/>
          <w:iCs/>
        </w:rPr>
        <w:t>Frontiers in Pharmacology</w:t>
      </w:r>
      <w:r w:rsidRPr="00770D45">
        <w:t xml:space="preserve">, </w:t>
      </w:r>
      <w:r w:rsidRPr="00770D45">
        <w:rPr>
          <w:i/>
          <w:iCs/>
        </w:rPr>
        <w:t>15</w:t>
      </w:r>
      <w:r w:rsidRPr="00770D45">
        <w:t xml:space="preserve">, 1332700. </w:t>
      </w:r>
      <w:hyperlink r:id="rId23" w:history="1">
        <w:r w:rsidRPr="00770D45">
          <w:rPr>
            <w:color w:val="0000FF"/>
            <w:u w:val="single"/>
          </w:rPr>
          <w:t>https://doi.org/10.3389/fphar.2024.1332700</w:t>
        </w:r>
      </w:hyperlink>
    </w:p>
    <w:p w14:paraId="1541C490" w14:textId="6AAAF33D" w:rsidR="00375E89" w:rsidRDefault="00D37E51" w:rsidP="00830DB0">
      <w:pPr>
        <w:spacing w:line="480" w:lineRule="auto"/>
        <w:ind w:hanging="480"/>
      </w:pPr>
      <w:r w:rsidRPr="00353CAC">
        <w:t>Walshe, C., &amp; Brearley, S. (Eds.). (2020). </w:t>
      </w:r>
      <w:r w:rsidRPr="00353CAC">
        <w:rPr>
          <w:i/>
          <w:iCs/>
        </w:rPr>
        <w:t>Handbook of Theory and Methods in Applied Health Research: Questions, Methods and Choices</w:t>
      </w:r>
      <w:r w:rsidRPr="00353CAC">
        <w:t>. Edward Elgar Publishing.</w:t>
      </w:r>
      <w:bookmarkEnd w:id="16"/>
    </w:p>
    <w:p w14:paraId="2FEA468A" w14:textId="77777777" w:rsidR="008D0262" w:rsidRDefault="008D0262" w:rsidP="008D0262">
      <w:pPr>
        <w:spacing w:line="480" w:lineRule="auto"/>
        <w:ind w:hanging="480"/>
      </w:pPr>
      <w:r w:rsidRPr="00FE2052">
        <w:t xml:space="preserve">Zeng, S., Pelzer, K. M., Gibbons, R. D., Peek, M. E., &amp; Parker, W. F. (2022). Association of Zip Code Vaccination Rate With COVID-19 Mortality in Chicago, Illinois. </w:t>
      </w:r>
      <w:r w:rsidRPr="00FE2052">
        <w:rPr>
          <w:i/>
          <w:iCs/>
        </w:rPr>
        <w:t>JAMA Network Open</w:t>
      </w:r>
      <w:r w:rsidRPr="00FE2052">
        <w:t xml:space="preserve">, </w:t>
      </w:r>
      <w:r w:rsidRPr="00FE2052">
        <w:rPr>
          <w:i/>
          <w:iCs/>
        </w:rPr>
        <w:t>5</w:t>
      </w:r>
      <w:r w:rsidRPr="00FE2052">
        <w:t xml:space="preserve">(5), e2214753. </w:t>
      </w:r>
      <w:hyperlink r:id="rId24" w:history="1">
        <w:r w:rsidRPr="00FE2052">
          <w:rPr>
            <w:color w:val="0000FF"/>
            <w:u w:val="single"/>
          </w:rPr>
          <w:t>https://doi.org/10.1001/jamanetworkopen.2022.14753</w:t>
        </w:r>
      </w:hyperlink>
    </w:p>
    <w:p w14:paraId="70881714" w14:textId="77777777" w:rsidR="008D0262" w:rsidRPr="00830DB0" w:rsidRDefault="008D0262" w:rsidP="00830DB0">
      <w:pPr>
        <w:spacing w:line="480" w:lineRule="auto"/>
        <w:ind w:hanging="480"/>
        <w:rPr>
          <w:color w:val="0000FF"/>
          <w:u w:val="single"/>
        </w:rPr>
      </w:pPr>
    </w:p>
    <w:sectPr w:rsidR="008D0262" w:rsidRPr="00830DB0">
      <w:headerReference w:type="default" r:id="rId25"/>
      <w:foot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FA72D" w14:textId="77777777" w:rsidR="008E642A" w:rsidRDefault="008E642A">
      <w:r>
        <w:separator/>
      </w:r>
    </w:p>
  </w:endnote>
  <w:endnote w:type="continuationSeparator" w:id="0">
    <w:p w14:paraId="49534FD2" w14:textId="77777777" w:rsidR="008E642A" w:rsidRDefault="008E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9" w14:textId="77777777" w:rsidR="00520992" w:rsidRDefault="0052099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BDA8A" w14:textId="77777777" w:rsidR="008E642A" w:rsidRDefault="008E642A">
      <w:r>
        <w:separator/>
      </w:r>
    </w:p>
  </w:footnote>
  <w:footnote w:type="continuationSeparator" w:id="0">
    <w:p w14:paraId="7BC0C302" w14:textId="77777777" w:rsidR="008E642A" w:rsidRDefault="008E6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8" w14:textId="6838A8F9" w:rsidR="00520992" w:rsidRDefault="008377D1">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Derrick Snow</w:t>
    </w:r>
    <w:r>
      <w:rPr>
        <w:rFonts w:ascii="Arial" w:eastAsia="Arial" w:hAnsi="Arial" w:cs="Arial"/>
        <w:sz w:val="16"/>
        <w:szCs w:val="16"/>
      </w:rPr>
      <w:t>,</w:t>
    </w:r>
    <w:r>
      <w:rPr>
        <w:rFonts w:ascii="Arial" w:eastAsia="Arial" w:hAnsi="Arial" w:cs="Arial"/>
        <w:color w:val="000000"/>
        <w:sz w:val="16"/>
        <w:szCs w:val="16"/>
      </w:rPr>
      <w:t xml:space="preserve"> </w:t>
    </w:r>
    <w:r w:rsidR="007F7010">
      <w:rPr>
        <w:rFonts w:ascii="Arial" w:eastAsia="Arial" w:hAnsi="Arial" w:cs="Arial"/>
        <w:color w:val="000000"/>
        <w:sz w:val="16"/>
        <w:szCs w:val="16"/>
      </w:rPr>
      <w:t>SR</w:t>
    </w:r>
    <w:r w:rsidR="007F7010" w:rsidRPr="007F7010">
      <w:rPr>
        <w:rFonts w:ascii="Arial" w:eastAsia="Arial" w:hAnsi="Arial" w:cs="Arial"/>
        <w:color w:val="000000"/>
        <w:sz w:val="16"/>
        <w:szCs w:val="16"/>
      </w:rPr>
      <w:t xml:space="preserve"> 9</w:t>
    </w:r>
    <w:r w:rsidR="007F7010">
      <w:rPr>
        <w:rFonts w:ascii="Arial" w:eastAsia="Arial" w:hAnsi="Arial" w:cs="Arial"/>
        <w:color w:val="000000"/>
        <w:sz w:val="16"/>
        <w:szCs w:val="16"/>
      </w:rPr>
      <w:t>58</w:t>
    </w:r>
    <w:r w:rsidR="007F7010" w:rsidRPr="007F7010">
      <w:rPr>
        <w:rFonts w:ascii="Arial" w:eastAsia="Arial" w:hAnsi="Arial" w:cs="Arial"/>
        <w:color w:val="000000"/>
        <w:sz w:val="16"/>
        <w:szCs w:val="16"/>
      </w:rPr>
      <w:t>-</w:t>
    </w:r>
    <w:r w:rsidR="00E27C49">
      <w:rPr>
        <w:rFonts w:ascii="Arial" w:eastAsia="Arial" w:hAnsi="Arial" w:cs="Arial"/>
        <w:color w:val="000000"/>
        <w:sz w:val="16"/>
        <w:szCs w:val="16"/>
      </w:rPr>
      <w:t>6</w:t>
    </w:r>
    <w:r w:rsidR="007F7010" w:rsidRPr="007F7010">
      <w:rPr>
        <w:rFonts w:ascii="Arial" w:eastAsia="Arial" w:hAnsi="Arial" w:cs="Arial"/>
        <w:color w:val="000000"/>
        <w:sz w:val="16"/>
        <w:szCs w:val="16"/>
      </w:rPr>
      <w:t>2</w:t>
    </w:r>
    <w:r>
      <w:rPr>
        <w:rFonts w:ascii="Arial" w:eastAsia="Arial" w:hAnsi="Arial" w:cs="Arial"/>
        <w:color w:val="000000"/>
        <w:sz w:val="16"/>
        <w:szCs w:val="16"/>
      </w:rPr>
      <w:t>,</w:t>
    </w:r>
    <w:r w:rsidR="007F7010" w:rsidRPr="007F7010">
      <w:t xml:space="preserve"> </w:t>
    </w:r>
    <w:r w:rsidR="007F7010" w:rsidRPr="007F7010">
      <w:rPr>
        <w:rFonts w:ascii="Arial" w:eastAsia="Arial" w:hAnsi="Arial" w:cs="Arial"/>
        <w:color w:val="000000"/>
        <w:sz w:val="16"/>
        <w:szCs w:val="16"/>
      </w:rPr>
      <w:t>Research Design and Methodology I</w:t>
    </w:r>
    <w:r w:rsidR="00E27C49">
      <w:rPr>
        <w:rFonts w:ascii="Arial" w:eastAsia="Arial" w:hAnsi="Arial" w:cs="Arial"/>
        <w:color w:val="000000"/>
        <w:sz w:val="16"/>
        <w:szCs w:val="16"/>
      </w:rPr>
      <w:t>I</w:t>
    </w:r>
    <w:r w:rsidR="007F7010" w:rsidRPr="007F7010">
      <w:rPr>
        <w:rFonts w:ascii="Arial" w:eastAsia="Arial" w:hAnsi="Arial" w:cs="Arial"/>
        <w:color w:val="000000"/>
        <w:sz w:val="16"/>
        <w:szCs w:val="16"/>
      </w:rPr>
      <w:t>I</w:t>
    </w:r>
    <w:r w:rsidR="007F7010">
      <w:rPr>
        <w:rFonts w:ascii="Arial" w:eastAsia="Arial" w:hAnsi="Arial" w:cs="Arial"/>
        <w:color w:val="000000"/>
        <w:sz w:val="16"/>
        <w:szCs w:val="16"/>
      </w:rPr>
      <w:t>,</w:t>
    </w:r>
    <w:r>
      <w:rPr>
        <w:rFonts w:ascii="Arial" w:eastAsia="Arial" w:hAnsi="Arial" w:cs="Arial"/>
        <w:color w:val="000000"/>
        <w:sz w:val="16"/>
        <w:szCs w:val="16"/>
      </w:rPr>
      <w:t xml:space="preserve"> Assignment #2, 0</w:t>
    </w:r>
    <w:r w:rsidR="00E27C49">
      <w:rPr>
        <w:rFonts w:ascii="Arial" w:eastAsia="Arial" w:hAnsi="Arial" w:cs="Arial"/>
        <w:color w:val="000000"/>
        <w:sz w:val="16"/>
        <w:szCs w:val="16"/>
      </w:rPr>
      <w:t>2</w:t>
    </w:r>
    <w:r>
      <w:rPr>
        <w:rFonts w:ascii="Arial" w:eastAsia="Arial" w:hAnsi="Arial" w:cs="Arial"/>
        <w:color w:val="000000"/>
        <w:sz w:val="16"/>
        <w:szCs w:val="16"/>
      </w:rPr>
      <w:t>/</w:t>
    </w:r>
    <w:r w:rsidR="00E27C49">
      <w:rPr>
        <w:rFonts w:ascii="Arial" w:eastAsia="Arial" w:hAnsi="Arial" w:cs="Arial"/>
        <w:color w:val="000000"/>
        <w:sz w:val="16"/>
        <w:szCs w:val="16"/>
      </w:rPr>
      <w:t>1</w:t>
    </w:r>
    <w:r w:rsidR="00831AB3">
      <w:rPr>
        <w:rFonts w:ascii="Arial" w:eastAsia="Arial" w:hAnsi="Arial" w:cs="Arial"/>
        <w:color w:val="000000"/>
        <w:sz w:val="16"/>
        <w:szCs w:val="16"/>
      </w:rPr>
      <w:t>7</w:t>
    </w:r>
    <w:r>
      <w:rPr>
        <w:rFonts w:ascii="Arial" w:eastAsia="Arial" w:hAnsi="Arial" w:cs="Arial"/>
        <w:color w:val="000000"/>
        <w:sz w:val="16"/>
        <w:szCs w:val="16"/>
      </w:rPr>
      <w:t>/202</w:t>
    </w:r>
    <w:r w:rsidR="00E27C49">
      <w:rPr>
        <w:rFonts w:ascii="Arial" w:eastAsia="Arial" w:hAnsi="Arial" w:cs="Arial"/>
        <w:color w:val="000000"/>
        <w:sz w:val="16"/>
        <w:szCs w:val="16"/>
      </w:rPr>
      <w:t>5</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E72"/>
    <w:multiLevelType w:val="hybridMultilevel"/>
    <w:tmpl w:val="0CFC9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E6757"/>
    <w:multiLevelType w:val="hybridMultilevel"/>
    <w:tmpl w:val="876001F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46422DA"/>
    <w:multiLevelType w:val="multilevel"/>
    <w:tmpl w:val="6CB0F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9636019">
    <w:abstractNumId w:val="2"/>
  </w:num>
  <w:num w:numId="2" w16cid:durableId="224920739">
    <w:abstractNumId w:val="0"/>
  </w:num>
  <w:num w:numId="3" w16cid:durableId="161704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992"/>
    <w:rsid w:val="00001DC9"/>
    <w:rsid w:val="00004B41"/>
    <w:rsid w:val="000063F0"/>
    <w:rsid w:val="00011CCD"/>
    <w:rsid w:val="00013266"/>
    <w:rsid w:val="000139D0"/>
    <w:rsid w:val="00013F91"/>
    <w:rsid w:val="00015AF5"/>
    <w:rsid w:val="00015EF8"/>
    <w:rsid w:val="000269E9"/>
    <w:rsid w:val="000329A5"/>
    <w:rsid w:val="00035081"/>
    <w:rsid w:val="00037C95"/>
    <w:rsid w:val="00043092"/>
    <w:rsid w:val="00054DBB"/>
    <w:rsid w:val="000672CD"/>
    <w:rsid w:val="00077926"/>
    <w:rsid w:val="000C1776"/>
    <w:rsid w:val="000C4C1A"/>
    <w:rsid w:val="000C6341"/>
    <w:rsid w:val="000C659F"/>
    <w:rsid w:val="000C6ECA"/>
    <w:rsid w:val="000C6F22"/>
    <w:rsid w:val="000D2896"/>
    <w:rsid w:val="000D45E3"/>
    <w:rsid w:val="000E3C26"/>
    <w:rsid w:val="000F4C1D"/>
    <w:rsid w:val="000F781B"/>
    <w:rsid w:val="00102DB0"/>
    <w:rsid w:val="0010468B"/>
    <w:rsid w:val="001048A4"/>
    <w:rsid w:val="0011624A"/>
    <w:rsid w:val="00120362"/>
    <w:rsid w:val="001209D7"/>
    <w:rsid w:val="00120BB4"/>
    <w:rsid w:val="00124360"/>
    <w:rsid w:val="00124DD0"/>
    <w:rsid w:val="00131034"/>
    <w:rsid w:val="00142DA6"/>
    <w:rsid w:val="00143B2C"/>
    <w:rsid w:val="001452D1"/>
    <w:rsid w:val="00152F6F"/>
    <w:rsid w:val="00171403"/>
    <w:rsid w:val="001759D4"/>
    <w:rsid w:val="001768C9"/>
    <w:rsid w:val="00183D59"/>
    <w:rsid w:val="001A1D4A"/>
    <w:rsid w:val="001A2280"/>
    <w:rsid w:val="001A30BD"/>
    <w:rsid w:val="001A54FE"/>
    <w:rsid w:val="001B0615"/>
    <w:rsid w:val="001B3744"/>
    <w:rsid w:val="001C14C4"/>
    <w:rsid w:val="001C23C4"/>
    <w:rsid w:val="001C499E"/>
    <w:rsid w:val="001D5356"/>
    <w:rsid w:val="001D5609"/>
    <w:rsid w:val="001D69AD"/>
    <w:rsid w:val="001E300F"/>
    <w:rsid w:val="001E5BED"/>
    <w:rsid w:val="001F35D4"/>
    <w:rsid w:val="0020027E"/>
    <w:rsid w:val="002037B9"/>
    <w:rsid w:val="00206D0A"/>
    <w:rsid w:val="0021462B"/>
    <w:rsid w:val="002146AC"/>
    <w:rsid w:val="00220D7E"/>
    <w:rsid w:val="00225EF4"/>
    <w:rsid w:val="0023772A"/>
    <w:rsid w:val="00251F09"/>
    <w:rsid w:val="00252A21"/>
    <w:rsid w:val="002557F1"/>
    <w:rsid w:val="00271E7D"/>
    <w:rsid w:val="00282A91"/>
    <w:rsid w:val="00282F09"/>
    <w:rsid w:val="00294647"/>
    <w:rsid w:val="0029636E"/>
    <w:rsid w:val="002A7191"/>
    <w:rsid w:val="002A79D6"/>
    <w:rsid w:val="002B01CB"/>
    <w:rsid w:val="002B20EA"/>
    <w:rsid w:val="002B3962"/>
    <w:rsid w:val="002B4766"/>
    <w:rsid w:val="002C03C8"/>
    <w:rsid w:val="002D09A4"/>
    <w:rsid w:val="002D2498"/>
    <w:rsid w:val="002E2A13"/>
    <w:rsid w:val="002E6145"/>
    <w:rsid w:val="002E61DD"/>
    <w:rsid w:val="002F0DB3"/>
    <w:rsid w:val="002F2F7C"/>
    <w:rsid w:val="00301151"/>
    <w:rsid w:val="003014C3"/>
    <w:rsid w:val="003043BD"/>
    <w:rsid w:val="00312935"/>
    <w:rsid w:val="00320853"/>
    <w:rsid w:val="00322C41"/>
    <w:rsid w:val="0032433D"/>
    <w:rsid w:val="0032797E"/>
    <w:rsid w:val="003301A8"/>
    <w:rsid w:val="00334500"/>
    <w:rsid w:val="0034382D"/>
    <w:rsid w:val="00345AAB"/>
    <w:rsid w:val="003474C2"/>
    <w:rsid w:val="00353CAC"/>
    <w:rsid w:val="00357BEB"/>
    <w:rsid w:val="00362FE4"/>
    <w:rsid w:val="00375E89"/>
    <w:rsid w:val="00376108"/>
    <w:rsid w:val="00395745"/>
    <w:rsid w:val="003A52B3"/>
    <w:rsid w:val="003A7E63"/>
    <w:rsid w:val="003B132E"/>
    <w:rsid w:val="003B24F6"/>
    <w:rsid w:val="003C2972"/>
    <w:rsid w:val="003C3F80"/>
    <w:rsid w:val="003D35F2"/>
    <w:rsid w:val="003E0342"/>
    <w:rsid w:val="003E0BDE"/>
    <w:rsid w:val="003E3BC3"/>
    <w:rsid w:val="003E4F57"/>
    <w:rsid w:val="004000D3"/>
    <w:rsid w:val="004055C1"/>
    <w:rsid w:val="004133B5"/>
    <w:rsid w:val="00423D7E"/>
    <w:rsid w:val="004312E2"/>
    <w:rsid w:val="00435EBA"/>
    <w:rsid w:val="00442E7F"/>
    <w:rsid w:val="00443291"/>
    <w:rsid w:val="00450F86"/>
    <w:rsid w:val="00455145"/>
    <w:rsid w:val="00474D76"/>
    <w:rsid w:val="00484925"/>
    <w:rsid w:val="0049753A"/>
    <w:rsid w:val="004A20AF"/>
    <w:rsid w:val="004A4E34"/>
    <w:rsid w:val="004A6CE4"/>
    <w:rsid w:val="004B5199"/>
    <w:rsid w:val="004B71CC"/>
    <w:rsid w:val="004C1044"/>
    <w:rsid w:val="004C71C5"/>
    <w:rsid w:val="004C78C4"/>
    <w:rsid w:val="004C7D37"/>
    <w:rsid w:val="004D4007"/>
    <w:rsid w:val="00504323"/>
    <w:rsid w:val="00504F23"/>
    <w:rsid w:val="00510F2E"/>
    <w:rsid w:val="00516806"/>
    <w:rsid w:val="00520992"/>
    <w:rsid w:val="005276ED"/>
    <w:rsid w:val="00534638"/>
    <w:rsid w:val="00534E6E"/>
    <w:rsid w:val="005460A4"/>
    <w:rsid w:val="00547E59"/>
    <w:rsid w:val="005510F9"/>
    <w:rsid w:val="00553F1F"/>
    <w:rsid w:val="00556234"/>
    <w:rsid w:val="0056172F"/>
    <w:rsid w:val="00563D75"/>
    <w:rsid w:val="005700CE"/>
    <w:rsid w:val="00582E61"/>
    <w:rsid w:val="00586A44"/>
    <w:rsid w:val="00587133"/>
    <w:rsid w:val="005912B0"/>
    <w:rsid w:val="00592470"/>
    <w:rsid w:val="00594A1B"/>
    <w:rsid w:val="0059550B"/>
    <w:rsid w:val="005A564D"/>
    <w:rsid w:val="005B482E"/>
    <w:rsid w:val="005C00E5"/>
    <w:rsid w:val="005C7503"/>
    <w:rsid w:val="005D20E1"/>
    <w:rsid w:val="005E6B54"/>
    <w:rsid w:val="005F2D8B"/>
    <w:rsid w:val="006005F4"/>
    <w:rsid w:val="0060690F"/>
    <w:rsid w:val="00611BA0"/>
    <w:rsid w:val="00612EBE"/>
    <w:rsid w:val="006221D4"/>
    <w:rsid w:val="006277D3"/>
    <w:rsid w:val="00631787"/>
    <w:rsid w:val="00650CB0"/>
    <w:rsid w:val="0065117F"/>
    <w:rsid w:val="00651567"/>
    <w:rsid w:val="00652431"/>
    <w:rsid w:val="00653450"/>
    <w:rsid w:val="00680973"/>
    <w:rsid w:val="006842AF"/>
    <w:rsid w:val="006923B3"/>
    <w:rsid w:val="006967D5"/>
    <w:rsid w:val="0069715F"/>
    <w:rsid w:val="006B2DFB"/>
    <w:rsid w:val="006C10F2"/>
    <w:rsid w:val="006C13BC"/>
    <w:rsid w:val="006C5BB9"/>
    <w:rsid w:val="006D2A8B"/>
    <w:rsid w:val="006F0E8C"/>
    <w:rsid w:val="006F3635"/>
    <w:rsid w:val="006F4896"/>
    <w:rsid w:val="006F6FBF"/>
    <w:rsid w:val="00703992"/>
    <w:rsid w:val="007045FF"/>
    <w:rsid w:val="00704CC6"/>
    <w:rsid w:val="00720C44"/>
    <w:rsid w:val="0072105A"/>
    <w:rsid w:val="00727D0E"/>
    <w:rsid w:val="00730D81"/>
    <w:rsid w:val="007314CC"/>
    <w:rsid w:val="0073305A"/>
    <w:rsid w:val="00751F7F"/>
    <w:rsid w:val="0075226E"/>
    <w:rsid w:val="00763880"/>
    <w:rsid w:val="00770D45"/>
    <w:rsid w:val="007721C7"/>
    <w:rsid w:val="007732EE"/>
    <w:rsid w:val="007777AC"/>
    <w:rsid w:val="00784CDC"/>
    <w:rsid w:val="00786EA1"/>
    <w:rsid w:val="0079240F"/>
    <w:rsid w:val="00796C06"/>
    <w:rsid w:val="007B34E6"/>
    <w:rsid w:val="007B6600"/>
    <w:rsid w:val="007C2F18"/>
    <w:rsid w:val="007C6D21"/>
    <w:rsid w:val="007D0709"/>
    <w:rsid w:val="007D13DE"/>
    <w:rsid w:val="007D2236"/>
    <w:rsid w:val="007D2B97"/>
    <w:rsid w:val="007D4832"/>
    <w:rsid w:val="007D49E1"/>
    <w:rsid w:val="007D5019"/>
    <w:rsid w:val="007D5DD5"/>
    <w:rsid w:val="007D6CFD"/>
    <w:rsid w:val="007D6EF5"/>
    <w:rsid w:val="007D7789"/>
    <w:rsid w:val="007E0ED1"/>
    <w:rsid w:val="007E5356"/>
    <w:rsid w:val="007F1A08"/>
    <w:rsid w:val="007F3B33"/>
    <w:rsid w:val="007F5FEE"/>
    <w:rsid w:val="007F7010"/>
    <w:rsid w:val="00802EC9"/>
    <w:rsid w:val="0080763D"/>
    <w:rsid w:val="00813206"/>
    <w:rsid w:val="0081359A"/>
    <w:rsid w:val="00820511"/>
    <w:rsid w:val="00821E38"/>
    <w:rsid w:val="00826D2C"/>
    <w:rsid w:val="00830DB0"/>
    <w:rsid w:val="00831AB3"/>
    <w:rsid w:val="00833042"/>
    <w:rsid w:val="00833C53"/>
    <w:rsid w:val="0083577E"/>
    <w:rsid w:val="008377D1"/>
    <w:rsid w:val="0084291D"/>
    <w:rsid w:val="0084609D"/>
    <w:rsid w:val="00853F8E"/>
    <w:rsid w:val="00855BD7"/>
    <w:rsid w:val="00860FA2"/>
    <w:rsid w:val="00867B49"/>
    <w:rsid w:val="0087085E"/>
    <w:rsid w:val="00881E0A"/>
    <w:rsid w:val="00882255"/>
    <w:rsid w:val="00883A3C"/>
    <w:rsid w:val="00886588"/>
    <w:rsid w:val="00891408"/>
    <w:rsid w:val="00893994"/>
    <w:rsid w:val="00893DA7"/>
    <w:rsid w:val="00893F68"/>
    <w:rsid w:val="008A2360"/>
    <w:rsid w:val="008A440A"/>
    <w:rsid w:val="008B2106"/>
    <w:rsid w:val="008B4880"/>
    <w:rsid w:val="008B4C6F"/>
    <w:rsid w:val="008C5B38"/>
    <w:rsid w:val="008D0262"/>
    <w:rsid w:val="008D43F2"/>
    <w:rsid w:val="008D63C1"/>
    <w:rsid w:val="008D7DED"/>
    <w:rsid w:val="008E642A"/>
    <w:rsid w:val="008F4746"/>
    <w:rsid w:val="008F7DF7"/>
    <w:rsid w:val="009017CE"/>
    <w:rsid w:val="009064A1"/>
    <w:rsid w:val="009072A2"/>
    <w:rsid w:val="00907EF0"/>
    <w:rsid w:val="0091189B"/>
    <w:rsid w:val="00911C3D"/>
    <w:rsid w:val="00920297"/>
    <w:rsid w:val="00920F45"/>
    <w:rsid w:val="009210F3"/>
    <w:rsid w:val="00923F2D"/>
    <w:rsid w:val="0093676B"/>
    <w:rsid w:val="00941282"/>
    <w:rsid w:val="009428F1"/>
    <w:rsid w:val="009468DA"/>
    <w:rsid w:val="00947530"/>
    <w:rsid w:val="00950B88"/>
    <w:rsid w:val="0095210B"/>
    <w:rsid w:val="009632BF"/>
    <w:rsid w:val="00964044"/>
    <w:rsid w:val="00965885"/>
    <w:rsid w:val="00966C69"/>
    <w:rsid w:val="00973390"/>
    <w:rsid w:val="00980679"/>
    <w:rsid w:val="009815C9"/>
    <w:rsid w:val="0099137F"/>
    <w:rsid w:val="00993D8A"/>
    <w:rsid w:val="00996654"/>
    <w:rsid w:val="009A008F"/>
    <w:rsid w:val="009A1C57"/>
    <w:rsid w:val="009A5BEE"/>
    <w:rsid w:val="009B0A03"/>
    <w:rsid w:val="009B2C84"/>
    <w:rsid w:val="009B7FA2"/>
    <w:rsid w:val="009C4496"/>
    <w:rsid w:val="009C67C2"/>
    <w:rsid w:val="009D1554"/>
    <w:rsid w:val="009D2BBD"/>
    <w:rsid w:val="009E1B95"/>
    <w:rsid w:val="009E7350"/>
    <w:rsid w:val="009F45A7"/>
    <w:rsid w:val="00A12954"/>
    <w:rsid w:val="00A1670F"/>
    <w:rsid w:val="00A2072B"/>
    <w:rsid w:val="00A34FF9"/>
    <w:rsid w:val="00A365FC"/>
    <w:rsid w:val="00A37E31"/>
    <w:rsid w:val="00A51FD8"/>
    <w:rsid w:val="00A5322E"/>
    <w:rsid w:val="00A66348"/>
    <w:rsid w:val="00A66B38"/>
    <w:rsid w:val="00A710A8"/>
    <w:rsid w:val="00A73109"/>
    <w:rsid w:val="00A73938"/>
    <w:rsid w:val="00A775E5"/>
    <w:rsid w:val="00A823BB"/>
    <w:rsid w:val="00A8348C"/>
    <w:rsid w:val="00A8469A"/>
    <w:rsid w:val="00A87D54"/>
    <w:rsid w:val="00AA124D"/>
    <w:rsid w:val="00AA164F"/>
    <w:rsid w:val="00AA506E"/>
    <w:rsid w:val="00AB4BD3"/>
    <w:rsid w:val="00AC037F"/>
    <w:rsid w:val="00AD5BB6"/>
    <w:rsid w:val="00AD75D0"/>
    <w:rsid w:val="00AE2932"/>
    <w:rsid w:val="00AE75F0"/>
    <w:rsid w:val="00AF0828"/>
    <w:rsid w:val="00AF4008"/>
    <w:rsid w:val="00AF5B04"/>
    <w:rsid w:val="00AF793F"/>
    <w:rsid w:val="00B0230A"/>
    <w:rsid w:val="00B02D6C"/>
    <w:rsid w:val="00B069CC"/>
    <w:rsid w:val="00B116B2"/>
    <w:rsid w:val="00B130D2"/>
    <w:rsid w:val="00B16E42"/>
    <w:rsid w:val="00B200A6"/>
    <w:rsid w:val="00B41D7C"/>
    <w:rsid w:val="00B45975"/>
    <w:rsid w:val="00B46528"/>
    <w:rsid w:val="00B46FC9"/>
    <w:rsid w:val="00B476D0"/>
    <w:rsid w:val="00B5581F"/>
    <w:rsid w:val="00B56524"/>
    <w:rsid w:val="00B565C0"/>
    <w:rsid w:val="00B6105E"/>
    <w:rsid w:val="00B6458E"/>
    <w:rsid w:val="00B700A7"/>
    <w:rsid w:val="00B737FD"/>
    <w:rsid w:val="00B80A38"/>
    <w:rsid w:val="00B81197"/>
    <w:rsid w:val="00B84B7B"/>
    <w:rsid w:val="00B9132B"/>
    <w:rsid w:val="00B930A3"/>
    <w:rsid w:val="00B9684A"/>
    <w:rsid w:val="00BA19CA"/>
    <w:rsid w:val="00BA1AAD"/>
    <w:rsid w:val="00BB4068"/>
    <w:rsid w:val="00BB46B7"/>
    <w:rsid w:val="00BB6C01"/>
    <w:rsid w:val="00BC4396"/>
    <w:rsid w:val="00BC5519"/>
    <w:rsid w:val="00BC5D3A"/>
    <w:rsid w:val="00BC7001"/>
    <w:rsid w:val="00BD0BF6"/>
    <w:rsid w:val="00BD243D"/>
    <w:rsid w:val="00BD648A"/>
    <w:rsid w:val="00BD7276"/>
    <w:rsid w:val="00BE11CB"/>
    <w:rsid w:val="00BE7896"/>
    <w:rsid w:val="00BF1833"/>
    <w:rsid w:val="00BF3BBC"/>
    <w:rsid w:val="00BF51C5"/>
    <w:rsid w:val="00BF7405"/>
    <w:rsid w:val="00BF7EB4"/>
    <w:rsid w:val="00C006A3"/>
    <w:rsid w:val="00C01C77"/>
    <w:rsid w:val="00C05F4E"/>
    <w:rsid w:val="00C069EA"/>
    <w:rsid w:val="00C07795"/>
    <w:rsid w:val="00C11812"/>
    <w:rsid w:val="00C1450C"/>
    <w:rsid w:val="00C239C8"/>
    <w:rsid w:val="00C26375"/>
    <w:rsid w:val="00C36722"/>
    <w:rsid w:val="00C445C9"/>
    <w:rsid w:val="00C44E23"/>
    <w:rsid w:val="00C62AE9"/>
    <w:rsid w:val="00C72D7E"/>
    <w:rsid w:val="00C73F46"/>
    <w:rsid w:val="00C755F6"/>
    <w:rsid w:val="00C80DEC"/>
    <w:rsid w:val="00C81AC1"/>
    <w:rsid w:val="00C83A63"/>
    <w:rsid w:val="00C8590F"/>
    <w:rsid w:val="00C9715F"/>
    <w:rsid w:val="00CB0A04"/>
    <w:rsid w:val="00CB15AC"/>
    <w:rsid w:val="00CB1C4D"/>
    <w:rsid w:val="00CB3855"/>
    <w:rsid w:val="00CB7F05"/>
    <w:rsid w:val="00CD1D25"/>
    <w:rsid w:val="00CD4AC3"/>
    <w:rsid w:val="00CD70AE"/>
    <w:rsid w:val="00CE13E8"/>
    <w:rsid w:val="00CE2B41"/>
    <w:rsid w:val="00CE7889"/>
    <w:rsid w:val="00D10BC3"/>
    <w:rsid w:val="00D16384"/>
    <w:rsid w:val="00D21742"/>
    <w:rsid w:val="00D31211"/>
    <w:rsid w:val="00D35F80"/>
    <w:rsid w:val="00D37E51"/>
    <w:rsid w:val="00D41A54"/>
    <w:rsid w:val="00D502A6"/>
    <w:rsid w:val="00D5669A"/>
    <w:rsid w:val="00D56CC6"/>
    <w:rsid w:val="00D57827"/>
    <w:rsid w:val="00D57C63"/>
    <w:rsid w:val="00D6007E"/>
    <w:rsid w:val="00D61D40"/>
    <w:rsid w:val="00D64F2C"/>
    <w:rsid w:val="00D70474"/>
    <w:rsid w:val="00D74D85"/>
    <w:rsid w:val="00D82FC2"/>
    <w:rsid w:val="00D941BB"/>
    <w:rsid w:val="00DA186B"/>
    <w:rsid w:val="00DA5CD4"/>
    <w:rsid w:val="00DA7340"/>
    <w:rsid w:val="00DB38F5"/>
    <w:rsid w:val="00DB6FB6"/>
    <w:rsid w:val="00DC03D2"/>
    <w:rsid w:val="00DC431C"/>
    <w:rsid w:val="00DD4A57"/>
    <w:rsid w:val="00DE218A"/>
    <w:rsid w:val="00DE4C5C"/>
    <w:rsid w:val="00DE6CB6"/>
    <w:rsid w:val="00DF3E4D"/>
    <w:rsid w:val="00DF3F84"/>
    <w:rsid w:val="00E0322A"/>
    <w:rsid w:val="00E07F11"/>
    <w:rsid w:val="00E17783"/>
    <w:rsid w:val="00E2650B"/>
    <w:rsid w:val="00E27C49"/>
    <w:rsid w:val="00E32E27"/>
    <w:rsid w:val="00E33BBB"/>
    <w:rsid w:val="00E34410"/>
    <w:rsid w:val="00E41804"/>
    <w:rsid w:val="00E4529B"/>
    <w:rsid w:val="00E54DAB"/>
    <w:rsid w:val="00E55867"/>
    <w:rsid w:val="00E57808"/>
    <w:rsid w:val="00E6381D"/>
    <w:rsid w:val="00E642F5"/>
    <w:rsid w:val="00E64F1B"/>
    <w:rsid w:val="00E656E2"/>
    <w:rsid w:val="00E66899"/>
    <w:rsid w:val="00E759D2"/>
    <w:rsid w:val="00E826D5"/>
    <w:rsid w:val="00E8396E"/>
    <w:rsid w:val="00E83AB6"/>
    <w:rsid w:val="00E940EB"/>
    <w:rsid w:val="00EA3397"/>
    <w:rsid w:val="00EB2AE0"/>
    <w:rsid w:val="00EC26DE"/>
    <w:rsid w:val="00EC5D5F"/>
    <w:rsid w:val="00EC73D1"/>
    <w:rsid w:val="00ED280A"/>
    <w:rsid w:val="00ED46EB"/>
    <w:rsid w:val="00EE5405"/>
    <w:rsid w:val="00F02D0E"/>
    <w:rsid w:val="00F05799"/>
    <w:rsid w:val="00F24D23"/>
    <w:rsid w:val="00F315B1"/>
    <w:rsid w:val="00F3199A"/>
    <w:rsid w:val="00F321AB"/>
    <w:rsid w:val="00F32C6F"/>
    <w:rsid w:val="00F379DD"/>
    <w:rsid w:val="00F45EF6"/>
    <w:rsid w:val="00F518E4"/>
    <w:rsid w:val="00F5556A"/>
    <w:rsid w:val="00F633BF"/>
    <w:rsid w:val="00F636A5"/>
    <w:rsid w:val="00F650C6"/>
    <w:rsid w:val="00F66978"/>
    <w:rsid w:val="00F66FAC"/>
    <w:rsid w:val="00F67E5A"/>
    <w:rsid w:val="00F70024"/>
    <w:rsid w:val="00F72131"/>
    <w:rsid w:val="00F72584"/>
    <w:rsid w:val="00F72DC2"/>
    <w:rsid w:val="00F730B0"/>
    <w:rsid w:val="00F7753A"/>
    <w:rsid w:val="00F77CEF"/>
    <w:rsid w:val="00F82406"/>
    <w:rsid w:val="00F82A78"/>
    <w:rsid w:val="00F85D7A"/>
    <w:rsid w:val="00F86B4C"/>
    <w:rsid w:val="00F92376"/>
    <w:rsid w:val="00F95E2C"/>
    <w:rsid w:val="00F97287"/>
    <w:rsid w:val="00F972D1"/>
    <w:rsid w:val="00FA230D"/>
    <w:rsid w:val="00FA533D"/>
    <w:rsid w:val="00FA5D52"/>
    <w:rsid w:val="00FA7259"/>
    <w:rsid w:val="00FB12E1"/>
    <w:rsid w:val="00FB18B4"/>
    <w:rsid w:val="00FC04EA"/>
    <w:rsid w:val="00FC27C4"/>
    <w:rsid w:val="00FC439D"/>
    <w:rsid w:val="00FC7084"/>
    <w:rsid w:val="00FC7449"/>
    <w:rsid w:val="00FE1212"/>
    <w:rsid w:val="00FE2052"/>
    <w:rsid w:val="00FE26D2"/>
    <w:rsid w:val="00FF30A0"/>
    <w:rsid w:val="00FF3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E3B62"/>
  <w15:docId w15:val="{EDDBEFAD-1DA7-4852-B580-FD600CD6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4960">
      <w:bodyDiv w:val="1"/>
      <w:marLeft w:val="0"/>
      <w:marRight w:val="0"/>
      <w:marTop w:val="0"/>
      <w:marBottom w:val="0"/>
      <w:divBdr>
        <w:top w:val="none" w:sz="0" w:space="0" w:color="auto"/>
        <w:left w:val="none" w:sz="0" w:space="0" w:color="auto"/>
        <w:bottom w:val="none" w:sz="0" w:space="0" w:color="auto"/>
        <w:right w:val="none" w:sz="0" w:space="0" w:color="auto"/>
      </w:divBdr>
      <w:divsChild>
        <w:div w:id="1112016326">
          <w:marLeft w:val="480"/>
          <w:marRight w:val="0"/>
          <w:marTop w:val="0"/>
          <w:marBottom w:val="0"/>
          <w:divBdr>
            <w:top w:val="none" w:sz="0" w:space="0" w:color="auto"/>
            <w:left w:val="none" w:sz="0" w:space="0" w:color="auto"/>
            <w:bottom w:val="none" w:sz="0" w:space="0" w:color="auto"/>
            <w:right w:val="none" w:sz="0" w:space="0" w:color="auto"/>
          </w:divBdr>
          <w:divsChild>
            <w:div w:id="1338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13116">
      <w:bodyDiv w:val="1"/>
      <w:marLeft w:val="0"/>
      <w:marRight w:val="0"/>
      <w:marTop w:val="0"/>
      <w:marBottom w:val="0"/>
      <w:divBdr>
        <w:top w:val="none" w:sz="0" w:space="0" w:color="auto"/>
        <w:left w:val="none" w:sz="0" w:space="0" w:color="auto"/>
        <w:bottom w:val="none" w:sz="0" w:space="0" w:color="auto"/>
        <w:right w:val="none" w:sz="0" w:space="0" w:color="auto"/>
      </w:divBdr>
      <w:divsChild>
        <w:div w:id="1672290844">
          <w:marLeft w:val="480"/>
          <w:marRight w:val="0"/>
          <w:marTop w:val="0"/>
          <w:marBottom w:val="0"/>
          <w:divBdr>
            <w:top w:val="none" w:sz="0" w:space="0" w:color="auto"/>
            <w:left w:val="none" w:sz="0" w:space="0" w:color="auto"/>
            <w:bottom w:val="none" w:sz="0" w:space="0" w:color="auto"/>
            <w:right w:val="none" w:sz="0" w:space="0" w:color="auto"/>
          </w:divBdr>
          <w:divsChild>
            <w:div w:id="2330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016">
      <w:bodyDiv w:val="1"/>
      <w:marLeft w:val="0"/>
      <w:marRight w:val="0"/>
      <w:marTop w:val="0"/>
      <w:marBottom w:val="0"/>
      <w:divBdr>
        <w:top w:val="none" w:sz="0" w:space="0" w:color="auto"/>
        <w:left w:val="none" w:sz="0" w:space="0" w:color="auto"/>
        <w:bottom w:val="none" w:sz="0" w:space="0" w:color="auto"/>
        <w:right w:val="none" w:sz="0" w:space="0" w:color="auto"/>
      </w:divBdr>
      <w:divsChild>
        <w:div w:id="144664867">
          <w:marLeft w:val="480"/>
          <w:marRight w:val="0"/>
          <w:marTop w:val="0"/>
          <w:marBottom w:val="0"/>
          <w:divBdr>
            <w:top w:val="none" w:sz="0" w:space="0" w:color="auto"/>
            <w:left w:val="none" w:sz="0" w:space="0" w:color="auto"/>
            <w:bottom w:val="none" w:sz="0" w:space="0" w:color="auto"/>
            <w:right w:val="none" w:sz="0" w:space="0" w:color="auto"/>
          </w:divBdr>
          <w:divsChild>
            <w:div w:id="6585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9897">
      <w:bodyDiv w:val="1"/>
      <w:marLeft w:val="0"/>
      <w:marRight w:val="0"/>
      <w:marTop w:val="0"/>
      <w:marBottom w:val="0"/>
      <w:divBdr>
        <w:top w:val="none" w:sz="0" w:space="0" w:color="auto"/>
        <w:left w:val="none" w:sz="0" w:space="0" w:color="auto"/>
        <w:bottom w:val="none" w:sz="0" w:space="0" w:color="auto"/>
        <w:right w:val="none" w:sz="0" w:space="0" w:color="auto"/>
      </w:divBdr>
      <w:divsChild>
        <w:div w:id="1228682541">
          <w:marLeft w:val="480"/>
          <w:marRight w:val="0"/>
          <w:marTop w:val="0"/>
          <w:marBottom w:val="0"/>
          <w:divBdr>
            <w:top w:val="none" w:sz="0" w:space="0" w:color="auto"/>
            <w:left w:val="none" w:sz="0" w:space="0" w:color="auto"/>
            <w:bottom w:val="none" w:sz="0" w:space="0" w:color="auto"/>
            <w:right w:val="none" w:sz="0" w:space="0" w:color="auto"/>
          </w:divBdr>
          <w:divsChild>
            <w:div w:id="2914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55475">
      <w:bodyDiv w:val="1"/>
      <w:marLeft w:val="0"/>
      <w:marRight w:val="0"/>
      <w:marTop w:val="0"/>
      <w:marBottom w:val="0"/>
      <w:divBdr>
        <w:top w:val="none" w:sz="0" w:space="0" w:color="auto"/>
        <w:left w:val="none" w:sz="0" w:space="0" w:color="auto"/>
        <w:bottom w:val="none" w:sz="0" w:space="0" w:color="auto"/>
        <w:right w:val="none" w:sz="0" w:space="0" w:color="auto"/>
      </w:divBdr>
      <w:divsChild>
        <w:div w:id="1411075862">
          <w:marLeft w:val="480"/>
          <w:marRight w:val="0"/>
          <w:marTop w:val="0"/>
          <w:marBottom w:val="0"/>
          <w:divBdr>
            <w:top w:val="none" w:sz="0" w:space="0" w:color="auto"/>
            <w:left w:val="none" w:sz="0" w:space="0" w:color="auto"/>
            <w:bottom w:val="none" w:sz="0" w:space="0" w:color="auto"/>
            <w:right w:val="none" w:sz="0" w:space="0" w:color="auto"/>
          </w:divBdr>
          <w:divsChild>
            <w:div w:id="166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572">
      <w:bodyDiv w:val="1"/>
      <w:marLeft w:val="0"/>
      <w:marRight w:val="0"/>
      <w:marTop w:val="0"/>
      <w:marBottom w:val="0"/>
      <w:divBdr>
        <w:top w:val="none" w:sz="0" w:space="0" w:color="auto"/>
        <w:left w:val="none" w:sz="0" w:space="0" w:color="auto"/>
        <w:bottom w:val="none" w:sz="0" w:space="0" w:color="auto"/>
        <w:right w:val="none" w:sz="0" w:space="0" w:color="auto"/>
      </w:divBdr>
      <w:divsChild>
        <w:div w:id="775520252">
          <w:marLeft w:val="480"/>
          <w:marRight w:val="0"/>
          <w:marTop w:val="0"/>
          <w:marBottom w:val="0"/>
          <w:divBdr>
            <w:top w:val="none" w:sz="0" w:space="0" w:color="auto"/>
            <w:left w:val="none" w:sz="0" w:space="0" w:color="auto"/>
            <w:bottom w:val="none" w:sz="0" w:space="0" w:color="auto"/>
            <w:right w:val="none" w:sz="0" w:space="0" w:color="auto"/>
          </w:divBdr>
          <w:divsChild>
            <w:div w:id="1349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9143">
      <w:bodyDiv w:val="1"/>
      <w:marLeft w:val="0"/>
      <w:marRight w:val="0"/>
      <w:marTop w:val="0"/>
      <w:marBottom w:val="0"/>
      <w:divBdr>
        <w:top w:val="none" w:sz="0" w:space="0" w:color="auto"/>
        <w:left w:val="none" w:sz="0" w:space="0" w:color="auto"/>
        <w:bottom w:val="none" w:sz="0" w:space="0" w:color="auto"/>
        <w:right w:val="none" w:sz="0" w:space="0" w:color="auto"/>
      </w:divBdr>
      <w:divsChild>
        <w:div w:id="496381619">
          <w:marLeft w:val="480"/>
          <w:marRight w:val="0"/>
          <w:marTop w:val="0"/>
          <w:marBottom w:val="0"/>
          <w:divBdr>
            <w:top w:val="none" w:sz="0" w:space="0" w:color="auto"/>
            <w:left w:val="none" w:sz="0" w:space="0" w:color="auto"/>
            <w:bottom w:val="none" w:sz="0" w:space="0" w:color="auto"/>
            <w:right w:val="none" w:sz="0" w:space="0" w:color="auto"/>
          </w:divBdr>
          <w:divsChild>
            <w:div w:id="4570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5889">
      <w:bodyDiv w:val="1"/>
      <w:marLeft w:val="0"/>
      <w:marRight w:val="0"/>
      <w:marTop w:val="0"/>
      <w:marBottom w:val="0"/>
      <w:divBdr>
        <w:top w:val="none" w:sz="0" w:space="0" w:color="auto"/>
        <w:left w:val="none" w:sz="0" w:space="0" w:color="auto"/>
        <w:bottom w:val="none" w:sz="0" w:space="0" w:color="auto"/>
        <w:right w:val="none" w:sz="0" w:space="0" w:color="auto"/>
      </w:divBdr>
      <w:divsChild>
        <w:div w:id="377899474">
          <w:marLeft w:val="480"/>
          <w:marRight w:val="0"/>
          <w:marTop w:val="0"/>
          <w:marBottom w:val="0"/>
          <w:divBdr>
            <w:top w:val="none" w:sz="0" w:space="0" w:color="auto"/>
            <w:left w:val="none" w:sz="0" w:space="0" w:color="auto"/>
            <w:bottom w:val="none" w:sz="0" w:space="0" w:color="auto"/>
            <w:right w:val="none" w:sz="0" w:space="0" w:color="auto"/>
          </w:divBdr>
          <w:divsChild>
            <w:div w:id="6376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39205">
      <w:bodyDiv w:val="1"/>
      <w:marLeft w:val="0"/>
      <w:marRight w:val="0"/>
      <w:marTop w:val="0"/>
      <w:marBottom w:val="0"/>
      <w:divBdr>
        <w:top w:val="none" w:sz="0" w:space="0" w:color="auto"/>
        <w:left w:val="none" w:sz="0" w:space="0" w:color="auto"/>
        <w:bottom w:val="none" w:sz="0" w:space="0" w:color="auto"/>
        <w:right w:val="none" w:sz="0" w:space="0" w:color="auto"/>
      </w:divBdr>
      <w:divsChild>
        <w:div w:id="1866942727">
          <w:marLeft w:val="480"/>
          <w:marRight w:val="0"/>
          <w:marTop w:val="0"/>
          <w:marBottom w:val="0"/>
          <w:divBdr>
            <w:top w:val="none" w:sz="0" w:space="0" w:color="auto"/>
            <w:left w:val="none" w:sz="0" w:space="0" w:color="auto"/>
            <w:bottom w:val="none" w:sz="0" w:space="0" w:color="auto"/>
            <w:right w:val="none" w:sz="0" w:space="0" w:color="auto"/>
          </w:divBdr>
          <w:divsChild>
            <w:div w:id="15458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1875">
      <w:bodyDiv w:val="1"/>
      <w:marLeft w:val="0"/>
      <w:marRight w:val="0"/>
      <w:marTop w:val="0"/>
      <w:marBottom w:val="0"/>
      <w:divBdr>
        <w:top w:val="none" w:sz="0" w:space="0" w:color="auto"/>
        <w:left w:val="none" w:sz="0" w:space="0" w:color="auto"/>
        <w:bottom w:val="none" w:sz="0" w:space="0" w:color="auto"/>
        <w:right w:val="none" w:sz="0" w:space="0" w:color="auto"/>
      </w:divBdr>
      <w:divsChild>
        <w:div w:id="1827360311">
          <w:marLeft w:val="480"/>
          <w:marRight w:val="0"/>
          <w:marTop w:val="0"/>
          <w:marBottom w:val="0"/>
          <w:divBdr>
            <w:top w:val="none" w:sz="0" w:space="0" w:color="auto"/>
            <w:left w:val="none" w:sz="0" w:space="0" w:color="auto"/>
            <w:bottom w:val="none" w:sz="0" w:space="0" w:color="auto"/>
            <w:right w:val="none" w:sz="0" w:space="0" w:color="auto"/>
          </w:divBdr>
          <w:divsChild>
            <w:div w:id="12248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5904">
      <w:bodyDiv w:val="1"/>
      <w:marLeft w:val="0"/>
      <w:marRight w:val="0"/>
      <w:marTop w:val="0"/>
      <w:marBottom w:val="0"/>
      <w:divBdr>
        <w:top w:val="none" w:sz="0" w:space="0" w:color="auto"/>
        <w:left w:val="none" w:sz="0" w:space="0" w:color="auto"/>
        <w:bottom w:val="none" w:sz="0" w:space="0" w:color="auto"/>
        <w:right w:val="none" w:sz="0" w:space="0" w:color="auto"/>
      </w:divBdr>
      <w:divsChild>
        <w:div w:id="893925738">
          <w:marLeft w:val="480"/>
          <w:marRight w:val="0"/>
          <w:marTop w:val="0"/>
          <w:marBottom w:val="0"/>
          <w:divBdr>
            <w:top w:val="none" w:sz="0" w:space="0" w:color="auto"/>
            <w:left w:val="none" w:sz="0" w:space="0" w:color="auto"/>
            <w:bottom w:val="none" w:sz="0" w:space="0" w:color="auto"/>
            <w:right w:val="none" w:sz="0" w:space="0" w:color="auto"/>
          </w:divBdr>
          <w:divsChild>
            <w:div w:id="2146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3199">
      <w:bodyDiv w:val="1"/>
      <w:marLeft w:val="0"/>
      <w:marRight w:val="0"/>
      <w:marTop w:val="0"/>
      <w:marBottom w:val="0"/>
      <w:divBdr>
        <w:top w:val="none" w:sz="0" w:space="0" w:color="auto"/>
        <w:left w:val="none" w:sz="0" w:space="0" w:color="auto"/>
        <w:bottom w:val="none" w:sz="0" w:space="0" w:color="auto"/>
        <w:right w:val="none" w:sz="0" w:space="0" w:color="auto"/>
      </w:divBdr>
      <w:divsChild>
        <w:div w:id="1685857674">
          <w:marLeft w:val="480"/>
          <w:marRight w:val="0"/>
          <w:marTop w:val="0"/>
          <w:marBottom w:val="0"/>
          <w:divBdr>
            <w:top w:val="none" w:sz="0" w:space="0" w:color="auto"/>
            <w:left w:val="none" w:sz="0" w:space="0" w:color="auto"/>
            <w:bottom w:val="none" w:sz="0" w:space="0" w:color="auto"/>
            <w:right w:val="none" w:sz="0" w:space="0" w:color="auto"/>
          </w:divBdr>
          <w:divsChild>
            <w:div w:id="5200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50430">
      <w:bodyDiv w:val="1"/>
      <w:marLeft w:val="0"/>
      <w:marRight w:val="0"/>
      <w:marTop w:val="0"/>
      <w:marBottom w:val="0"/>
      <w:divBdr>
        <w:top w:val="none" w:sz="0" w:space="0" w:color="auto"/>
        <w:left w:val="none" w:sz="0" w:space="0" w:color="auto"/>
        <w:bottom w:val="none" w:sz="0" w:space="0" w:color="auto"/>
        <w:right w:val="none" w:sz="0" w:space="0" w:color="auto"/>
      </w:divBdr>
      <w:divsChild>
        <w:div w:id="1744721457">
          <w:marLeft w:val="480"/>
          <w:marRight w:val="0"/>
          <w:marTop w:val="0"/>
          <w:marBottom w:val="0"/>
          <w:divBdr>
            <w:top w:val="none" w:sz="0" w:space="0" w:color="auto"/>
            <w:left w:val="none" w:sz="0" w:space="0" w:color="auto"/>
            <w:bottom w:val="none" w:sz="0" w:space="0" w:color="auto"/>
            <w:right w:val="none" w:sz="0" w:space="0" w:color="auto"/>
          </w:divBdr>
          <w:divsChild>
            <w:div w:id="858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0489">
      <w:bodyDiv w:val="1"/>
      <w:marLeft w:val="0"/>
      <w:marRight w:val="0"/>
      <w:marTop w:val="0"/>
      <w:marBottom w:val="0"/>
      <w:divBdr>
        <w:top w:val="none" w:sz="0" w:space="0" w:color="auto"/>
        <w:left w:val="none" w:sz="0" w:space="0" w:color="auto"/>
        <w:bottom w:val="none" w:sz="0" w:space="0" w:color="auto"/>
        <w:right w:val="none" w:sz="0" w:space="0" w:color="auto"/>
      </w:divBdr>
      <w:divsChild>
        <w:div w:id="2005081071">
          <w:marLeft w:val="480"/>
          <w:marRight w:val="0"/>
          <w:marTop w:val="0"/>
          <w:marBottom w:val="0"/>
          <w:divBdr>
            <w:top w:val="none" w:sz="0" w:space="0" w:color="auto"/>
            <w:left w:val="none" w:sz="0" w:space="0" w:color="auto"/>
            <w:bottom w:val="none" w:sz="0" w:space="0" w:color="auto"/>
            <w:right w:val="none" w:sz="0" w:space="0" w:color="auto"/>
          </w:divBdr>
          <w:divsChild>
            <w:div w:id="9428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3562">
      <w:bodyDiv w:val="1"/>
      <w:marLeft w:val="0"/>
      <w:marRight w:val="0"/>
      <w:marTop w:val="0"/>
      <w:marBottom w:val="0"/>
      <w:divBdr>
        <w:top w:val="none" w:sz="0" w:space="0" w:color="auto"/>
        <w:left w:val="none" w:sz="0" w:space="0" w:color="auto"/>
        <w:bottom w:val="none" w:sz="0" w:space="0" w:color="auto"/>
        <w:right w:val="none" w:sz="0" w:space="0" w:color="auto"/>
      </w:divBdr>
      <w:divsChild>
        <w:div w:id="632365283">
          <w:marLeft w:val="480"/>
          <w:marRight w:val="0"/>
          <w:marTop w:val="0"/>
          <w:marBottom w:val="0"/>
          <w:divBdr>
            <w:top w:val="none" w:sz="0" w:space="0" w:color="auto"/>
            <w:left w:val="none" w:sz="0" w:space="0" w:color="auto"/>
            <w:bottom w:val="none" w:sz="0" w:space="0" w:color="auto"/>
            <w:right w:val="none" w:sz="0" w:space="0" w:color="auto"/>
          </w:divBdr>
          <w:divsChild>
            <w:div w:id="3554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5607">
      <w:bodyDiv w:val="1"/>
      <w:marLeft w:val="0"/>
      <w:marRight w:val="0"/>
      <w:marTop w:val="0"/>
      <w:marBottom w:val="0"/>
      <w:divBdr>
        <w:top w:val="none" w:sz="0" w:space="0" w:color="auto"/>
        <w:left w:val="none" w:sz="0" w:space="0" w:color="auto"/>
        <w:bottom w:val="none" w:sz="0" w:space="0" w:color="auto"/>
        <w:right w:val="none" w:sz="0" w:space="0" w:color="auto"/>
      </w:divBdr>
      <w:divsChild>
        <w:div w:id="344329949">
          <w:marLeft w:val="480"/>
          <w:marRight w:val="0"/>
          <w:marTop w:val="0"/>
          <w:marBottom w:val="0"/>
          <w:divBdr>
            <w:top w:val="none" w:sz="0" w:space="0" w:color="auto"/>
            <w:left w:val="none" w:sz="0" w:space="0" w:color="auto"/>
            <w:bottom w:val="none" w:sz="0" w:space="0" w:color="auto"/>
            <w:right w:val="none" w:sz="0" w:space="0" w:color="auto"/>
          </w:divBdr>
          <w:divsChild>
            <w:div w:id="2224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7098">
      <w:bodyDiv w:val="1"/>
      <w:marLeft w:val="0"/>
      <w:marRight w:val="0"/>
      <w:marTop w:val="0"/>
      <w:marBottom w:val="0"/>
      <w:divBdr>
        <w:top w:val="none" w:sz="0" w:space="0" w:color="auto"/>
        <w:left w:val="none" w:sz="0" w:space="0" w:color="auto"/>
        <w:bottom w:val="none" w:sz="0" w:space="0" w:color="auto"/>
        <w:right w:val="none" w:sz="0" w:space="0" w:color="auto"/>
      </w:divBdr>
      <w:divsChild>
        <w:div w:id="1374041727">
          <w:marLeft w:val="480"/>
          <w:marRight w:val="0"/>
          <w:marTop w:val="0"/>
          <w:marBottom w:val="0"/>
          <w:divBdr>
            <w:top w:val="none" w:sz="0" w:space="0" w:color="auto"/>
            <w:left w:val="none" w:sz="0" w:space="0" w:color="auto"/>
            <w:bottom w:val="none" w:sz="0" w:space="0" w:color="auto"/>
            <w:right w:val="none" w:sz="0" w:space="0" w:color="auto"/>
          </w:divBdr>
          <w:divsChild>
            <w:div w:id="575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30639">
      <w:bodyDiv w:val="1"/>
      <w:marLeft w:val="0"/>
      <w:marRight w:val="0"/>
      <w:marTop w:val="0"/>
      <w:marBottom w:val="0"/>
      <w:divBdr>
        <w:top w:val="none" w:sz="0" w:space="0" w:color="auto"/>
        <w:left w:val="none" w:sz="0" w:space="0" w:color="auto"/>
        <w:bottom w:val="none" w:sz="0" w:space="0" w:color="auto"/>
        <w:right w:val="none" w:sz="0" w:space="0" w:color="auto"/>
      </w:divBdr>
      <w:divsChild>
        <w:div w:id="1431120317">
          <w:marLeft w:val="480"/>
          <w:marRight w:val="0"/>
          <w:marTop w:val="0"/>
          <w:marBottom w:val="0"/>
          <w:divBdr>
            <w:top w:val="none" w:sz="0" w:space="0" w:color="auto"/>
            <w:left w:val="none" w:sz="0" w:space="0" w:color="auto"/>
            <w:bottom w:val="none" w:sz="0" w:space="0" w:color="auto"/>
            <w:right w:val="none" w:sz="0" w:space="0" w:color="auto"/>
          </w:divBdr>
          <w:divsChild>
            <w:div w:id="5686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6197">
      <w:bodyDiv w:val="1"/>
      <w:marLeft w:val="0"/>
      <w:marRight w:val="0"/>
      <w:marTop w:val="0"/>
      <w:marBottom w:val="0"/>
      <w:divBdr>
        <w:top w:val="none" w:sz="0" w:space="0" w:color="auto"/>
        <w:left w:val="none" w:sz="0" w:space="0" w:color="auto"/>
        <w:bottom w:val="none" w:sz="0" w:space="0" w:color="auto"/>
        <w:right w:val="none" w:sz="0" w:space="0" w:color="auto"/>
      </w:divBdr>
      <w:divsChild>
        <w:div w:id="2067414269">
          <w:marLeft w:val="480"/>
          <w:marRight w:val="0"/>
          <w:marTop w:val="0"/>
          <w:marBottom w:val="0"/>
          <w:divBdr>
            <w:top w:val="none" w:sz="0" w:space="0" w:color="auto"/>
            <w:left w:val="none" w:sz="0" w:space="0" w:color="auto"/>
            <w:bottom w:val="none" w:sz="0" w:space="0" w:color="auto"/>
            <w:right w:val="none" w:sz="0" w:space="0" w:color="auto"/>
          </w:divBdr>
          <w:divsChild>
            <w:div w:id="21024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7714">
      <w:bodyDiv w:val="1"/>
      <w:marLeft w:val="0"/>
      <w:marRight w:val="0"/>
      <w:marTop w:val="0"/>
      <w:marBottom w:val="0"/>
      <w:divBdr>
        <w:top w:val="none" w:sz="0" w:space="0" w:color="auto"/>
        <w:left w:val="none" w:sz="0" w:space="0" w:color="auto"/>
        <w:bottom w:val="none" w:sz="0" w:space="0" w:color="auto"/>
        <w:right w:val="none" w:sz="0" w:space="0" w:color="auto"/>
      </w:divBdr>
      <w:divsChild>
        <w:div w:id="1512717037">
          <w:marLeft w:val="480"/>
          <w:marRight w:val="0"/>
          <w:marTop w:val="0"/>
          <w:marBottom w:val="0"/>
          <w:divBdr>
            <w:top w:val="none" w:sz="0" w:space="0" w:color="auto"/>
            <w:left w:val="none" w:sz="0" w:space="0" w:color="auto"/>
            <w:bottom w:val="none" w:sz="0" w:space="0" w:color="auto"/>
            <w:right w:val="none" w:sz="0" w:space="0" w:color="auto"/>
          </w:divBdr>
          <w:divsChild>
            <w:div w:id="595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8307">
      <w:bodyDiv w:val="1"/>
      <w:marLeft w:val="0"/>
      <w:marRight w:val="0"/>
      <w:marTop w:val="0"/>
      <w:marBottom w:val="0"/>
      <w:divBdr>
        <w:top w:val="none" w:sz="0" w:space="0" w:color="auto"/>
        <w:left w:val="none" w:sz="0" w:space="0" w:color="auto"/>
        <w:bottom w:val="none" w:sz="0" w:space="0" w:color="auto"/>
        <w:right w:val="none" w:sz="0" w:space="0" w:color="auto"/>
      </w:divBdr>
      <w:divsChild>
        <w:div w:id="285235274">
          <w:marLeft w:val="480"/>
          <w:marRight w:val="0"/>
          <w:marTop w:val="0"/>
          <w:marBottom w:val="0"/>
          <w:divBdr>
            <w:top w:val="none" w:sz="0" w:space="0" w:color="auto"/>
            <w:left w:val="none" w:sz="0" w:space="0" w:color="auto"/>
            <w:bottom w:val="none" w:sz="0" w:space="0" w:color="auto"/>
            <w:right w:val="none" w:sz="0" w:space="0" w:color="auto"/>
          </w:divBdr>
          <w:divsChild>
            <w:div w:id="20252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36670">
      <w:bodyDiv w:val="1"/>
      <w:marLeft w:val="0"/>
      <w:marRight w:val="0"/>
      <w:marTop w:val="0"/>
      <w:marBottom w:val="0"/>
      <w:divBdr>
        <w:top w:val="none" w:sz="0" w:space="0" w:color="auto"/>
        <w:left w:val="none" w:sz="0" w:space="0" w:color="auto"/>
        <w:bottom w:val="none" w:sz="0" w:space="0" w:color="auto"/>
        <w:right w:val="none" w:sz="0" w:space="0" w:color="auto"/>
      </w:divBdr>
      <w:divsChild>
        <w:div w:id="361711946">
          <w:marLeft w:val="480"/>
          <w:marRight w:val="0"/>
          <w:marTop w:val="0"/>
          <w:marBottom w:val="0"/>
          <w:divBdr>
            <w:top w:val="none" w:sz="0" w:space="0" w:color="auto"/>
            <w:left w:val="none" w:sz="0" w:space="0" w:color="auto"/>
            <w:bottom w:val="none" w:sz="0" w:space="0" w:color="auto"/>
            <w:right w:val="none" w:sz="0" w:space="0" w:color="auto"/>
          </w:divBdr>
          <w:divsChild>
            <w:div w:id="6472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2941">
      <w:bodyDiv w:val="1"/>
      <w:marLeft w:val="0"/>
      <w:marRight w:val="0"/>
      <w:marTop w:val="0"/>
      <w:marBottom w:val="0"/>
      <w:divBdr>
        <w:top w:val="none" w:sz="0" w:space="0" w:color="auto"/>
        <w:left w:val="none" w:sz="0" w:space="0" w:color="auto"/>
        <w:bottom w:val="none" w:sz="0" w:space="0" w:color="auto"/>
        <w:right w:val="none" w:sz="0" w:space="0" w:color="auto"/>
      </w:divBdr>
      <w:divsChild>
        <w:div w:id="1861770738">
          <w:marLeft w:val="480"/>
          <w:marRight w:val="0"/>
          <w:marTop w:val="0"/>
          <w:marBottom w:val="0"/>
          <w:divBdr>
            <w:top w:val="none" w:sz="0" w:space="0" w:color="auto"/>
            <w:left w:val="none" w:sz="0" w:space="0" w:color="auto"/>
            <w:bottom w:val="none" w:sz="0" w:space="0" w:color="auto"/>
            <w:right w:val="none" w:sz="0" w:space="0" w:color="auto"/>
          </w:divBdr>
          <w:divsChild>
            <w:div w:id="12321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61343">
      <w:bodyDiv w:val="1"/>
      <w:marLeft w:val="0"/>
      <w:marRight w:val="0"/>
      <w:marTop w:val="0"/>
      <w:marBottom w:val="0"/>
      <w:divBdr>
        <w:top w:val="none" w:sz="0" w:space="0" w:color="auto"/>
        <w:left w:val="none" w:sz="0" w:space="0" w:color="auto"/>
        <w:bottom w:val="none" w:sz="0" w:space="0" w:color="auto"/>
        <w:right w:val="none" w:sz="0" w:space="0" w:color="auto"/>
      </w:divBdr>
      <w:divsChild>
        <w:div w:id="475689126">
          <w:marLeft w:val="480"/>
          <w:marRight w:val="0"/>
          <w:marTop w:val="0"/>
          <w:marBottom w:val="0"/>
          <w:divBdr>
            <w:top w:val="none" w:sz="0" w:space="0" w:color="auto"/>
            <w:left w:val="none" w:sz="0" w:space="0" w:color="auto"/>
            <w:bottom w:val="none" w:sz="0" w:space="0" w:color="auto"/>
            <w:right w:val="none" w:sz="0" w:space="0" w:color="auto"/>
          </w:divBdr>
          <w:divsChild>
            <w:div w:id="18031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0735">
      <w:bodyDiv w:val="1"/>
      <w:marLeft w:val="0"/>
      <w:marRight w:val="0"/>
      <w:marTop w:val="0"/>
      <w:marBottom w:val="0"/>
      <w:divBdr>
        <w:top w:val="none" w:sz="0" w:space="0" w:color="auto"/>
        <w:left w:val="none" w:sz="0" w:space="0" w:color="auto"/>
        <w:bottom w:val="none" w:sz="0" w:space="0" w:color="auto"/>
        <w:right w:val="none" w:sz="0" w:space="0" w:color="auto"/>
      </w:divBdr>
      <w:divsChild>
        <w:div w:id="1781147479">
          <w:marLeft w:val="480"/>
          <w:marRight w:val="0"/>
          <w:marTop w:val="0"/>
          <w:marBottom w:val="0"/>
          <w:divBdr>
            <w:top w:val="none" w:sz="0" w:space="0" w:color="auto"/>
            <w:left w:val="none" w:sz="0" w:space="0" w:color="auto"/>
            <w:bottom w:val="none" w:sz="0" w:space="0" w:color="auto"/>
            <w:right w:val="none" w:sz="0" w:space="0" w:color="auto"/>
          </w:divBdr>
          <w:divsChild>
            <w:div w:id="18122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4899">
      <w:bodyDiv w:val="1"/>
      <w:marLeft w:val="0"/>
      <w:marRight w:val="0"/>
      <w:marTop w:val="0"/>
      <w:marBottom w:val="0"/>
      <w:divBdr>
        <w:top w:val="none" w:sz="0" w:space="0" w:color="auto"/>
        <w:left w:val="none" w:sz="0" w:space="0" w:color="auto"/>
        <w:bottom w:val="none" w:sz="0" w:space="0" w:color="auto"/>
        <w:right w:val="none" w:sz="0" w:space="0" w:color="auto"/>
      </w:divBdr>
      <w:divsChild>
        <w:div w:id="2142338953">
          <w:marLeft w:val="480"/>
          <w:marRight w:val="0"/>
          <w:marTop w:val="0"/>
          <w:marBottom w:val="0"/>
          <w:divBdr>
            <w:top w:val="none" w:sz="0" w:space="0" w:color="auto"/>
            <w:left w:val="none" w:sz="0" w:space="0" w:color="auto"/>
            <w:bottom w:val="none" w:sz="0" w:space="0" w:color="auto"/>
            <w:right w:val="none" w:sz="0" w:space="0" w:color="auto"/>
          </w:divBdr>
          <w:divsChild>
            <w:div w:id="13472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5198">
      <w:bodyDiv w:val="1"/>
      <w:marLeft w:val="0"/>
      <w:marRight w:val="0"/>
      <w:marTop w:val="0"/>
      <w:marBottom w:val="0"/>
      <w:divBdr>
        <w:top w:val="none" w:sz="0" w:space="0" w:color="auto"/>
        <w:left w:val="none" w:sz="0" w:space="0" w:color="auto"/>
        <w:bottom w:val="none" w:sz="0" w:space="0" w:color="auto"/>
        <w:right w:val="none" w:sz="0" w:space="0" w:color="auto"/>
      </w:divBdr>
      <w:divsChild>
        <w:div w:id="1935089842">
          <w:marLeft w:val="480"/>
          <w:marRight w:val="0"/>
          <w:marTop w:val="0"/>
          <w:marBottom w:val="0"/>
          <w:divBdr>
            <w:top w:val="none" w:sz="0" w:space="0" w:color="auto"/>
            <w:left w:val="none" w:sz="0" w:space="0" w:color="auto"/>
            <w:bottom w:val="none" w:sz="0" w:space="0" w:color="auto"/>
            <w:right w:val="none" w:sz="0" w:space="0" w:color="auto"/>
          </w:divBdr>
          <w:divsChild>
            <w:div w:id="827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461">
      <w:bodyDiv w:val="1"/>
      <w:marLeft w:val="0"/>
      <w:marRight w:val="0"/>
      <w:marTop w:val="0"/>
      <w:marBottom w:val="0"/>
      <w:divBdr>
        <w:top w:val="none" w:sz="0" w:space="0" w:color="auto"/>
        <w:left w:val="none" w:sz="0" w:space="0" w:color="auto"/>
        <w:bottom w:val="none" w:sz="0" w:space="0" w:color="auto"/>
        <w:right w:val="none" w:sz="0" w:space="0" w:color="auto"/>
      </w:divBdr>
      <w:divsChild>
        <w:div w:id="617027141">
          <w:marLeft w:val="480"/>
          <w:marRight w:val="0"/>
          <w:marTop w:val="0"/>
          <w:marBottom w:val="0"/>
          <w:divBdr>
            <w:top w:val="none" w:sz="0" w:space="0" w:color="auto"/>
            <w:left w:val="none" w:sz="0" w:space="0" w:color="auto"/>
            <w:bottom w:val="none" w:sz="0" w:space="0" w:color="auto"/>
            <w:right w:val="none" w:sz="0" w:space="0" w:color="auto"/>
          </w:divBdr>
          <w:divsChild>
            <w:div w:id="20614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316">
      <w:bodyDiv w:val="1"/>
      <w:marLeft w:val="0"/>
      <w:marRight w:val="0"/>
      <w:marTop w:val="0"/>
      <w:marBottom w:val="0"/>
      <w:divBdr>
        <w:top w:val="none" w:sz="0" w:space="0" w:color="auto"/>
        <w:left w:val="none" w:sz="0" w:space="0" w:color="auto"/>
        <w:bottom w:val="none" w:sz="0" w:space="0" w:color="auto"/>
        <w:right w:val="none" w:sz="0" w:space="0" w:color="auto"/>
      </w:divBdr>
      <w:divsChild>
        <w:div w:id="337585333">
          <w:marLeft w:val="480"/>
          <w:marRight w:val="0"/>
          <w:marTop w:val="0"/>
          <w:marBottom w:val="0"/>
          <w:divBdr>
            <w:top w:val="none" w:sz="0" w:space="0" w:color="auto"/>
            <w:left w:val="none" w:sz="0" w:space="0" w:color="auto"/>
            <w:bottom w:val="none" w:sz="0" w:space="0" w:color="auto"/>
            <w:right w:val="none" w:sz="0" w:space="0" w:color="auto"/>
          </w:divBdr>
          <w:divsChild>
            <w:div w:id="20252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0566">
      <w:bodyDiv w:val="1"/>
      <w:marLeft w:val="0"/>
      <w:marRight w:val="0"/>
      <w:marTop w:val="0"/>
      <w:marBottom w:val="0"/>
      <w:divBdr>
        <w:top w:val="none" w:sz="0" w:space="0" w:color="auto"/>
        <w:left w:val="none" w:sz="0" w:space="0" w:color="auto"/>
        <w:bottom w:val="none" w:sz="0" w:space="0" w:color="auto"/>
        <w:right w:val="none" w:sz="0" w:space="0" w:color="auto"/>
      </w:divBdr>
      <w:divsChild>
        <w:div w:id="633683024">
          <w:marLeft w:val="480"/>
          <w:marRight w:val="0"/>
          <w:marTop w:val="0"/>
          <w:marBottom w:val="0"/>
          <w:divBdr>
            <w:top w:val="none" w:sz="0" w:space="0" w:color="auto"/>
            <w:left w:val="none" w:sz="0" w:space="0" w:color="auto"/>
            <w:bottom w:val="none" w:sz="0" w:space="0" w:color="auto"/>
            <w:right w:val="none" w:sz="0" w:space="0" w:color="auto"/>
          </w:divBdr>
          <w:divsChild>
            <w:div w:id="1126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122">
      <w:bodyDiv w:val="1"/>
      <w:marLeft w:val="0"/>
      <w:marRight w:val="0"/>
      <w:marTop w:val="0"/>
      <w:marBottom w:val="0"/>
      <w:divBdr>
        <w:top w:val="none" w:sz="0" w:space="0" w:color="auto"/>
        <w:left w:val="none" w:sz="0" w:space="0" w:color="auto"/>
        <w:bottom w:val="none" w:sz="0" w:space="0" w:color="auto"/>
        <w:right w:val="none" w:sz="0" w:space="0" w:color="auto"/>
      </w:divBdr>
      <w:divsChild>
        <w:div w:id="607278458">
          <w:marLeft w:val="480"/>
          <w:marRight w:val="0"/>
          <w:marTop w:val="0"/>
          <w:marBottom w:val="0"/>
          <w:divBdr>
            <w:top w:val="none" w:sz="0" w:space="0" w:color="auto"/>
            <w:left w:val="none" w:sz="0" w:space="0" w:color="auto"/>
            <w:bottom w:val="none" w:sz="0" w:space="0" w:color="auto"/>
            <w:right w:val="none" w:sz="0" w:space="0" w:color="auto"/>
          </w:divBdr>
          <w:divsChild>
            <w:div w:id="21084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44339">
      <w:bodyDiv w:val="1"/>
      <w:marLeft w:val="0"/>
      <w:marRight w:val="0"/>
      <w:marTop w:val="0"/>
      <w:marBottom w:val="0"/>
      <w:divBdr>
        <w:top w:val="none" w:sz="0" w:space="0" w:color="auto"/>
        <w:left w:val="none" w:sz="0" w:space="0" w:color="auto"/>
        <w:bottom w:val="none" w:sz="0" w:space="0" w:color="auto"/>
        <w:right w:val="none" w:sz="0" w:space="0" w:color="auto"/>
      </w:divBdr>
      <w:divsChild>
        <w:div w:id="77868798">
          <w:marLeft w:val="480"/>
          <w:marRight w:val="0"/>
          <w:marTop w:val="0"/>
          <w:marBottom w:val="0"/>
          <w:divBdr>
            <w:top w:val="none" w:sz="0" w:space="0" w:color="auto"/>
            <w:left w:val="none" w:sz="0" w:space="0" w:color="auto"/>
            <w:bottom w:val="none" w:sz="0" w:space="0" w:color="auto"/>
            <w:right w:val="none" w:sz="0" w:space="0" w:color="auto"/>
          </w:divBdr>
          <w:divsChild>
            <w:div w:id="2036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46079">
      <w:bodyDiv w:val="1"/>
      <w:marLeft w:val="0"/>
      <w:marRight w:val="0"/>
      <w:marTop w:val="0"/>
      <w:marBottom w:val="0"/>
      <w:divBdr>
        <w:top w:val="none" w:sz="0" w:space="0" w:color="auto"/>
        <w:left w:val="none" w:sz="0" w:space="0" w:color="auto"/>
        <w:bottom w:val="none" w:sz="0" w:space="0" w:color="auto"/>
        <w:right w:val="none" w:sz="0" w:space="0" w:color="auto"/>
      </w:divBdr>
      <w:divsChild>
        <w:div w:id="1252816133">
          <w:marLeft w:val="480"/>
          <w:marRight w:val="0"/>
          <w:marTop w:val="0"/>
          <w:marBottom w:val="0"/>
          <w:divBdr>
            <w:top w:val="none" w:sz="0" w:space="0" w:color="auto"/>
            <w:left w:val="none" w:sz="0" w:space="0" w:color="auto"/>
            <w:bottom w:val="none" w:sz="0" w:space="0" w:color="auto"/>
            <w:right w:val="none" w:sz="0" w:space="0" w:color="auto"/>
          </w:divBdr>
          <w:divsChild>
            <w:div w:id="16457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3044">
      <w:bodyDiv w:val="1"/>
      <w:marLeft w:val="0"/>
      <w:marRight w:val="0"/>
      <w:marTop w:val="0"/>
      <w:marBottom w:val="0"/>
      <w:divBdr>
        <w:top w:val="none" w:sz="0" w:space="0" w:color="auto"/>
        <w:left w:val="none" w:sz="0" w:space="0" w:color="auto"/>
        <w:bottom w:val="none" w:sz="0" w:space="0" w:color="auto"/>
        <w:right w:val="none" w:sz="0" w:space="0" w:color="auto"/>
      </w:divBdr>
      <w:divsChild>
        <w:div w:id="1540818413">
          <w:marLeft w:val="480"/>
          <w:marRight w:val="0"/>
          <w:marTop w:val="0"/>
          <w:marBottom w:val="0"/>
          <w:divBdr>
            <w:top w:val="none" w:sz="0" w:space="0" w:color="auto"/>
            <w:left w:val="none" w:sz="0" w:space="0" w:color="auto"/>
            <w:bottom w:val="none" w:sz="0" w:space="0" w:color="auto"/>
            <w:right w:val="none" w:sz="0" w:space="0" w:color="auto"/>
          </w:divBdr>
          <w:divsChild>
            <w:div w:id="12704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90932">
      <w:bodyDiv w:val="1"/>
      <w:marLeft w:val="0"/>
      <w:marRight w:val="0"/>
      <w:marTop w:val="0"/>
      <w:marBottom w:val="0"/>
      <w:divBdr>
        <w:top w:val="none" w:sz="0" w:space="0" w:color="auto"/>
        <w:left w:val="none" w:sz="0" w:space="0" w:color="auto"/>
        <w:bottom w:val="none" w:sz="0" w:space="0" w:color="auto"/>
        <w:right w:val="none" w:sz="0" w:space="0" w:color="auto"/>
      </w:divBdr>
      <w:divsChild>
        <w:div w:id="384649227">
          <w:marLeft w:val="480"/>
          <w:marRight w:val="0"/>
          <w:marTop w:val="0"/>
          <w:marBottom w:val="0"/>
          <w:divBdr>
            <w:top w:val="none" w:sz="0" w:space="0" w:color="auto"/>
            <w:left w:val="none" w:sz="0" w:space="0" w:color="auto"/>
            <w:bottom w:val="none" w:sz="0" w:space="0" w:color="auto"/>
            <w:right w:val="none" w:sz="0" w:space="0" w:color="auto"/>
          </w:divBdr>
          <w:divsChild>
            <w:div w:id="1739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5200">
      <w:bodyDiv w:val="1"/>
      <w:marLeft w:val="0"/>
      <w:marRight w:val="0"/>
      <w:marTop w:val="0"/>
      <w:marBottom w:val="0"/>
      <w:divBdr>
        <w:top w:val="none" w:sz="0" w:space="0" w:color="auto"/>
        <w:left w:val="none" w:sz="0" w:space="0" w:color="auto"/>
        <w:bottom w:val="none" w:sz="0" w:space="0" w:color="auto"/>
        <w:right w:val="none" w:sz="0" w:space="0" w:color="auto"/>
      </w:divBdr>
      <w:divsChild>
        <w:div w:id="1811436182">
          <w:marLeft w:val="480"/>
          <w:marRight w:val="0"/>
          <w:marTop w:val="0"/>
          <w:marBottom w:val="0"/>
          <w:divBdr>
            <w:top w:val="none" w:sz="0" w:space="0" w:color="auto"/>
            <w:left w:val="none" w:sz="0" w:space="0" w:color="auto"/>
            <w:bottom w:val="none" w:sz="0" w:space="0" w:color="auto"/>
            <w:right w:val="none" w:sz="0" w:space="0" w:color="auto"/>
          </w:divBdr>
          <w:divsChild>
            <w:div w:id="402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788">
      <w:bodyDiv w:val="1"/>
      <w:marLeft w:val="0"/>
      <w:marRight w:val="0"/>
      <w:marTop w:val="0"/>
      <w:marBottom w:val="0"/>
      <w:divBdr>
        <w:top w:val="none" w:sz="0" w:space="0" w:color="auto"/>
        <w:left w:val="none" w:sz="0" w:space="0" w:color="auto"/>
        <w:bottom w:val="none" w:sz="0" w:space="0" w:color="auto"/>
        <w:right w:val="none" w:sz="0" w:space="0" w:color="auto"/>
      </w:divBdr>
      <w:divsChild>
        <w:div w:id="1124039978">
          <w:marLeft w:val="480"/>
          <w:marRight w:val="0"/>
          <w:marTop w:val="0"/>
          <w:marBottom w:val="0"/>
          <w:divBdr>
            <w:top w:val="none" w:sz="0" w:space="0" w:color="auto"/>
            <w:left w:val="none" w:sz="0" w:space="0" w:color="auto"/>
            <w:bottom w:val="none" w:sz="0" w:space="0" w:color="auto"/>
            <w:right w:val="none" w:sz="0" w:space="0" w:color="auto"/>
          </w:divBdr>
          <w:divsChild>
            <w:div w:id="17372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2343">
      <w:bodyDiv w:val="1"/>
      <w:marLeft w:val="0"/>
      <w:marRight w:val="0"/>
      <w:marTop w:val="0"/>
      <w:marBottom w:val="0"/>
      <w:divBdr>
        <w:top w:val="none" w:sz="0" w:space="0" w:color="auto"/>
        <w:left w:val="none" w:sz="0" w:space="0" w:color="auto"/>
        <w:bottom w:val="none" w:sz="0" w:space="0" w:color="auto"/>
        <w:right w:val="none" w:sz="0" w:space="0" w:color="auto"/>
      </w:divBdr>
      <w:divsChild>
        <w:div w:id="726950341">
          <w:marLeft w:val="480"/>
          <w:marRight w:val="0"/>
          <w:marTop w:val="0"/>
          <w:marBottom w:val="0"/>
          <w:divBdr>
            <w:top w:val="none" w:sz="0" w:space="0" w:color="auto"/>
            <w:left w:val="none" w:sz="0" w:space="0" w:color="auto"/>
            <w:bottom w:val="none" w:sz="0" w:space="0" w:color="auto"/>
            <w:right w:val="none" w:sz="0" w:space="0" w:color="auto"/>
          </w:divBdr>
          <w:divsChild>
            <w:div w:id="2267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4849">
      <w:bodyDiv w:val="1"/>
      <w:marLeft w:val="0"/>
      <w:marRight w:val="0"/>
      <w:marTop w:val="0"/>
      <w:marBottom w:val="0"/>
      <w:divBdr>
        <w:top w:val="none" w:sz="0" w:space="0" w:color="auto"/>
        <w:left w:val="none" w:sz="0" w:space="0" w:color="auto"/>
        <w:bottom w:val="none" w:sz="0" w:space="0" w:color="auto"/>
        <w:right w:val="none" w:sz="0" w:space="0" w:color="auto"/>
      </w:divBdr>
      <w:divsChild>
        <w:div w:id="1830098228">
          <w:marLeft w:val="480"/>
          <w:marRight w:val="0"/>
          <w:marTop w:val="0"/>
          <w:marBottom w:val="0"/>
          <w:divBdr>
            <w:top w:val="none" w:sz="0" w:space="0" w:color="auto"/>
            <w:left w:val="none" w:sz="0" w:space="0" w:color="auto"/>
            <w:bottom w:val="none" w:sz="0" w:space="0" w:color="auto"/>
            <w:right w:val="none" w:sz="0" w:space="0" w:color="auto"/>
          </w:divBdr>
          <w:divsChild>
            <w:div w:id="11555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0212">
      <w:bodyDiv w:val="1"/>
      <w:marLeft w:val="0"/>
      <w:marRight w:val="0"/>
      <w:marTop w:val="0"/>
      <w:marBottom w:val="0"/>
      <w:divBdr>
        <w:top w:val="none" w:sz="0" w:space="0" w:color="auto"/>
        <w:left w:val="none" w:sz="0" w:space="0" w:color="auto"/>
        <w:bottom w:val="none" w:sz="0" w:space="0" w:color="auto"/>
        <w:right w:val="none" w:sz="0" w:space="0" w:color="auto"/>
      </w:divBdr>
      <w:divsChild>
        <w:div w:id="445467046">
          <w:marLeft w:val="480"/>
          <w:marRight w:val="0"/>
          <w:marTop w:val="0"/>
          <w:marBottom w:val="0"/>
          <w:divBdr>
            <w:top w:val="none" w:sz="0" w:space="0" w:color="auto"/>
            <w:left w:val="none" w:sz="0" w:space="0" w:color="auto"/>
            <w:bottom w:val="none" w:sz="0" w:space="0" w:color="auto"/>
            <w:right w:val="none" w:sz="0" w:space="0" w:color="auto"/>
          </w:divBdr>
          <w:divsChild>
            <w:div w:id="8909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7607">
      <w:bodyDiv w:val="1"/>
      <w:marLeft w:val="0"/>
      <w:marRight w:val="0"/>
      <w:marTop w:val="0"/>
      <w:marBottom w:val="0"/>
      <w:divBdr>
        <w:top w:val="none" w:sz="0" w:space="0" w:color="auto"/>
        <w:left w:val="none" w:sz="0" w:space="0" w:color="auto"/>
        <w:bottom w:val="none" w:sz="0" w:space="0" w:color="auto"/>
        <w:right w:val="none" w:sz="0" w:space="0" w:color="auto"/>
      </w:divBdr>
      <w:divsChild>
        <w:div w:id="582420103">
          <w:marLeft w:val="480"/>
          <w:marRight w:val="0"/>
          <w:marTop w:val="0"/>
          <w:marBottom w:val="0"/>
          <w:divBdr>
            <w:top w:val="none" w:sz="0" w:space="0" w:color="auto"/>
            <w:left w:val="none" w:sz="0" w:space="0" w:color="auto"/>
            <w:bottom w:val="none" w:sz="0" w:space="0" w:color="auto"/>
            <w:right w:val="none" w:sz="0" w:space="0" w:color="auto"/>
          </w:divBdr>
          <w:divsChild>
            <w:div w:id="8879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20802">
      <w:bodyDiv w:val="1"/>
      <w:marLeft w:val="0"/>
      <w:marRight w:val="0"/>
      <w:marTop w:val="0"/>
      <w:marBottom w:val="0"/>
      <w:divBdr>
        <w:top w:val="none" w:sz="0" w:space="0" w:color="auto"/>
        <w:left w:val="none" w:sz="0" w:space="0" w:color="auto"/>
        <w:bottom w:val="none" w:sz="0" w:space="0" w:color="auto"/>
        <w:right w:val="none" w:sz="0" w:space="0" w:color="auto"/>
      </w:divBdr>
      <w:divsChild>
        <w:div w:id="1805656800">
          <w:marLeft w:val="480"/>
          <w:marRight w:val="0"/>
          <w:marTop w:val="0"/>
          <w:marBottom w:val="0"/>
          <w:divBdr>
            <w:top w:val="none" w:sz="0" w:space="0" w:color="auto"/>
            <w:left w:val="none" w:sz="0" w:space="0" w:color="auto"/>
            <w:bottom w:val="none" w:sz="0" w:space="0" w:color="auto"/>
            <w:right w:val="none" w:sz="0" w:space="0" w:color="auto"/>
          </w:divBdr>
          <w:divsChild>
            <w:div w:id="1805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2784">
      <w:bodyDiv w:val="1"/>
      <w:marLeft w:val="0"/>
      <w:marRight w:val="0"/>
      <w:marTop w:val="0"/>
      <w:marBottom w:val="0"/>
      <w:divBdr>
        <w:top w:val="none" w:sz="0" w:space="0" w:color="auto"/>
        <w:left w:val="none" w:sz="0" w:space="0" w:color="auto"/>
        <w:bottom w:val="none" w:sz="0" w:space="0" w:color="auto"/>
        <w:right w:val="none" w:sz="0" w:space="0" w:color="auto"/>
      </w:divBdr>
      <w:divsChild>
        <w:div w:id="1575050767">
          <w:marLeft w:val="480"/>
          <w:marRight w:val="0"/>
          <w:marTop w:val="0"/>
          <w:marBottom w:val="0"/>
          <w:divBdr>
            <w:top w:val="none" w:sz="0" w:space="0" w:color="auto"/>
            <w:left w:val="none" w:sz="0" w:space="0" w:color="auto"/>
            <w:bottom w:val="none" w:sz="0" w:space="0" w:color="auto"/>
            <w:right w:val="none" w:sz="0" w:space="0" w:color="auto"/>
          </w:divBdr>
          <w:divsChild>
            <w:div w:id="3838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19808">
      <w:bodyDiv w:val="1"/>
      <w:marLeft w:val="0"/>
      <w:marRight w:val="0"/>
      <w:marTop w:val="0"/>
      <w:marBottom w:val="0"/>
      <w:divBdr>
        <w:top w:val="none" w:sz="0" w:space="0" w:color="auto"/>
        <w:left w:val="none" w:sz="0" w:space="0" w:color="auto"/>
        <w:bottom w:val="none" w:sz="0" w:space="0" w:color="auto"/>
        <w:right w:val="none" w:sz="0" w:space="0" w:color="auto"/>
      </w:divBdr>
      <w:divsChild>
        <w:div w:id="722678187">
          <w:marLeft w:val="480"/>
          <w:marRight w:val="0"/>
          <w:marTop w:val="0"/>
          <w:marBottom w:val="0"/>
          <w:divBdr>
            <w:top w:val="none" w:sz="0" w:space="0" w:color="auto"/>
            <w:left w:val="none" w:sz="0" w:space="0" w:color="auto"/>
            <w:bottom w:val="none" w:sz="0" w:space="0" w:color="auto"/>
            <w:right w:val="none" w:sz="0" w:space="0" w:color="auto"/>
          </w:divBdr>
          <w:divsChild>
            <w:div w:id="12711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7420">
      <w:bodyDiv w:val="1"/>
      <w:marLeft w:val="0"/>
      <w:marRight w:val="0"/>
      <w:marTop w:val="0"/>
      <w:marBottom w:val="0"/>
      <w:divBdr>
        <w:top w:val="none" w:sz="0" w:space="0" w:color="auto"/>
        <w:left w:val="none" w:sz="0" w:space="0" w:color="auto"/>
        <w:bottom w:val="none" w:sz="0" w:space="0" w:color="auto"/>
        <w:right w:val="none" w:sz="0" w:space="0" w:color="auto"/>
      </w:divBdr>
      <w:divsChild>
        <w:div w:id="1410272624">
          <w:marLeft w:val="480"/>
          <w:marRight w:val="0"/>
          <w:marTop w:val="0"/>
          <w:marBottom w:val="0"/>
          <w:divBdr>
            <w:top w:val="none" w:sz="0" w:space="0" w:color="auto"/>
            <w:left w:val="none" w:sz="0" w:space="0" w:color="auto"/>
            <w:bottom w:val="none" w:sz="0" w:space="0" w:color="auto"/>
            <w:right w:val="none" w:sz="0" w:space="0" w:color="auto"/>
          </w:divBdr>
          <w:divsChild>
            <w:div w:id="19898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36832">
      <w:bodyDiv w:val="1"/>
      <w:marLeft w:val="0"/>
      <w:marRight w:val="0"/>
      <w:marTop w:val="0"/>
      <w:marBottom w:val="0"/>
      <w:divBdr>
        <w:top w:val="none" w:sz="0" w:space="0" w:color="auto"/>
        <w:left w:val="none" w:sz="0" w:space="0" w:color="auto"/>
        <w:bottom w:val="none" w:sz="0" w:space="0" w:color="auto"/>
        <w:right w:val="none" w:sz="0" w:space="0" w:color="auto"/>
      </w:divBdr>
      <w:divsChild>
        <w:div w:id="807163877">
          <w:marLeft w:val="480"/>
          <w:marRight w:val="0"/>
          <w:marTop w:val="0"/>
          <w:marBottom w:val="0"/>
          <w:divBdr>
            <w:top w:val="none" w:sz="0" w:space="0" w:color="auto"/>
            <w:left w:val="none" w:sz="0" w:space="0" w:color="auto"/>
            <w:bottom w:val="none" w:sz="0" w:space="0" w:color="auto"/>
            <w:right w:val="none" w:sz="0" w:space="0" w:color="auto"/>
          </w:divBdr>
          <w:divsChild>
            <w:div w:id="8890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5888/pcd21.230267" TargetMode="External"/><Relationship Id="rId18" Type="http://schemas.openxmlformats.org/officeDocument/2006/relationships/hyperlink" Target="https://doi.org/10.1016/j.annepidem.2021.10.002"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doi.org/10.1016/j.scs.2022.104187" TargetMode="External"/><Relationship Id="rId7" Type="http://schemas.openxmlformats.org/officeDocument/2006/relationships/footnotes" Target="footnotes.xml"/><Relationship Id="rId12" Type="http://schemas.openxmlformats.org/officeDocument/2006/relationships/hyperlink" Target="https://doi.org/10.1001/jamanetworkopen.2022.14753" TargetMode="External"/><Relationship Id="rId17" Type="http://schemas.openxmlformats.org/officeDocument/2006/relationships/hyperlink" Target="https://doi.org/10.5888/pcd21.230267"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3389/fphar.2024.1332700" TargetMode="External"/><Relationship Id="rId20" Type="http://schemas.openxmlformats.org/officeDocument/2006/relationships/hyperlink" Target="https://doi.org/10.1186/s40621-022-00371-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scs.2022.104187" TargetMode="External"/><Relationship Id="rId24" Type="http://schemas.openxmlformats.org/officeDocument/2006/relationships/hyperlink" Target="https://doi.org/10.1001/jamanetworkopen.2022.14753" TargetMode="External"/><Relationship Id="rId5" Type="http://schemas.openxmlformats.org/officeDocument/2006/relationships/settings" Target="settings.xml"/><Relationship Id="rId15" Type="http://schemas.openxmlformats.org/officeDocument/2006/relationships/hyperlink" Target="https://doi.org/10.1016/j.annepidem.2021.10.002" TargetMode="External"/><Relationship Id="rId23" Type="http://schemas.openxmlformats.org/officeDocument/2006/relationships/hyperlink" Target="https://doi.org/10.3389/fphar.2024.1332700" TargetMode="External"/><Relationship Id="rId28" Type="http://schemas.openxmlformats.org/officeDocument/2006/relationships/theme" Target="theme/theme1.xml"/><Relationship Id="rId10" Type="http://schemas.openxmlformats.org/officeDocument/2006/relationships/hyperlink" Target="https://doi.org/10.1186/s40621-022-00371-z" TargetMode="External"/><Relationship Id="rId19" Type="http://schemas.openxmlformats.org/officeDocument/2006/relationships/hyperlink" Target="https://doi.org/10.5888/pcd19.210414" TargetMode="External"/><Relationship Id="rId4" Type="http://schemas.openxmlformats.org/officeDocument/2006/relationships/styles" Target="styles.xml"/><Relationship Id="rId9" Type="http://schemas.openxmlformats.org/officeDocument/2006/relationships/hyperlink" Target="https://doi.org/10.5888/pcd19.210414" TargetMode="External"/><Relationship Id="rId14" Type="http://schemas.openxmlformats.org/officeDocument/2006/relationships/hyperlink" Target="https://doi.org/10.1016/j.socscimed.2023.116009" TargetMode="External"/><Relationship Id="rId22" Type="http://schemas.openxmlformats.org/officeDocument/2006/relationships/hyperlink" Target="https://doi.org/10.1016/j.socscimed.2023.11600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549D9C85-1A67-4118-BC56-1F967427898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15125</TotalTime>
  <Pages>22</Pages>
  <Words>7037</Words>
  <Characters>39831</Characters>
  <Application>Microsoft Office Word</Application>
  <DocSecurity>0</DocSecurity>
  <Lines>829</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Derrick Snow</cp:lastModifiedBy>
  <cp:revision>352</cp:revision>
  <dcterms:created xsi:type="dcterms:W3CDTF">2024-02-07T18:52:00Z</dcterms:created>
  <dcterms:modified xsi:type="dcterms:W3CDTF">2025-02-17T22:20:00Z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1d44196a7f99298753e1fea7b06089fe24fce8150d33fd69f2679c67813f399e</vt:lpwstr>
  </property>
  <property fmtid="{D5CDD505-2E9C-101B-9397-08002B2CF9AE}" pid="3" name="ZOTERO_PREF_1">
    <vt:lpwstr>&lt;data data-version="3" zotero-version="6.0.36"&gt;&lt;session id="iKjqPecW"/&gt;&lt;style id="http://www.zotero.org/styles/apa" locale="en-US" hasBibliography="1" bibliographyStyleHasBeenSet="0"/&gt;&lt;prefs&gt;&lt;pref name="fieldType" value="Field"/&gt;&lt;/prefs&gt;&lt;/data&gt;</vt:lpwstr>
  </property>
</Properties>
</file>