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1"/>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s>
        <w:spacing w:after="0" w:before="0" w:line="480" w:lineRule="auto"/>
        <w:ind w:left="720" w:right="0" w:hanging="720"/>
        <w:jc w:val="left"/>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s>
        <w:spacing w:after="0" w:before="0" w:line="480" w:lineRule="auto"/>
        <w:ind w:left="0" w:right="0" w:firstLine="720"/>
        <w:jc w:val="center"/>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s>
        <w:spacing w:after="0" w:before="0" w:line="480" w:lineRule="auto"/>
        <w:ind w:left="0" w:right="0" w:firstLine="720"/>
        <w:jc w:val="center"/>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s>
        <w:spacing w:after="0" w:before="0" w:line="480" w:lineRule="auto"/>
        <w:ind w:left="0" w:right="0" w:firstLine="720"/>
        <w:jc w:val="center"/>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s>
        <w:spacing w:after="0" w:before="0" w:line="480" w:lineRule="auto"/>
        <w:ind w:left="0" w:right="0" w:firstLine="720"/>
        <w:jc w:val="center"/>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s>
        <w:spacing w:after="0" w:before="0" w:line="480" w:lineRule="auto"/>
        <w:ind w:left="0" w:right="0" w:firstLine="720"/>
        <w:jc w:val="center"/>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8640"/>
          <w:tab w:val="right" w:leader="none" w:pos="8640"/>
          <w:tab w:val="right" w:leader="none" w:pos="8640"/>
        </w:tabs>
        <w:spacing w:after="0" w:before="0" w:line="480" w:lineRule="auto"/>
        <w:ind w:left="0" w:right="0" w:firstLine="72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8">
      <w:pPr>
        <w:tabs>
          <w:tab w:val="right" w:leader="none" w:pos="8640"/>
          <w:tab w:val="right" w:leader="none" w:pos="8640"/>
          <w:tab w:val="right" w:leader="none" w:pos="8640"/>
        </w:tabs>
        <w:ind w:firstLine="0"/>
        <w:jc w:val="center"/>
        <w:rPr/>
      </w:pPr>
      <w:r w:rsidDel="00000000" w:rsidR="00000000" w:rsidRPr="00000000">
        <w:rPr>
          <w:rtl w:val="0"/>
        </w:rPr>
        <w:t xml:space="preserve">PHI 923-32: Contextualization for Social Change</w:t>
      </w:r>
    </w:p>
    <w:p w:rsidR="00000000" w:rsidDel="00000000" w:rsidP="00000000" w:rsidRDefault="00000000" w:rsidRPr="00000000" w14:paraId="00000009">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0A">
      <w:pPr>
        <w:tabs>
          <w:tab w:val="right" w:leader="none" w:pos="8640"/>
          <w:tab w:val="right" w:leader="none" w:pos="8640"/>
          <w:tab w:val="right" w:leader="none" w:pos="8640"/>
        </w:tabs>
        <w:ind w:firstLine="0"/>
        <w:jc w:val="center"/>
        <w:rPr>
          <w:b w:val="1"/>
        </w:rPr>
      </w:pPr>
      <w:r w:rsidDel="00000000" w:rsidR="00000000" w:rsidRPr="00000000">
        <w:rPr>
          <w:b w:val="1"/>
          <w:rtl w:val="0"/>
        </w:rPr>
        <w:t xml:space="preserve">Course Essential Elements: Approaches to Contextualization for Social Change</w:t>
      </w:r>
    </w:p>
    <w:p w:rsidR="00000000" w:rsidDel="00000000" w:rsidP="00000000" w:rsidRDefault="00000000" w:rsidRPr="00000000" w14:paraId="0000000B">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0C">
      <w:pPr>
        <w:tabs>
          <w:tab w:val="right" w:leader="none" w:pos="8640"/>
          <w:tab w:val="right" w:leader="none" w:pos="8640"/>
          <w:tab w:val="right" w:leader="none" w:pos="8640"/>
        </w:tabs>
        <w:ind w:firstLine="0"/>
        <w:jc w:val="center"/>
        <w:rPr/>
      </w:pPr>
      <w:r w:rsidDel="00000000" w:rsidR="00000000" w:rsidRPr="00000000">
        <w:rPr>
          <w:rtl w:val="0"/>
        </w:rPr>
        <w:t xml:space="preserve">Semaj Zachary</w:t>
      </w:r>
    </w:p>
    <w:p w:rsidR="00000000" w:rsidDel="00000000" w:rsidP="00000000" w:rsidRDefault="00000000" w:rsidRPr="00000000" w14:paraId="0000000D">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0E">
      <w:pPr>
        <w:tabs>
          <w:tab w:val="right" w:leader="none" w:pos="8640"/>
          <w:tab w:val="right" w:leader="none" w:pos="8640"/>
          <w:tab w:val="right" w:leader="none" w:pos="8640"/>
        </w:tabs>
        <w:ind w:firstLine="0"/>
        <w:jc w:val="center"/>
        <w:rPr/>
      </w:pPr>
      <w:r w:rsidDel="00000000" w:rsidR="00000000" w:rsidRPr="00000000">
        <w:rPr>
          <w:rtl w:val="0"/>
        </w:rPr>
        <w:t xml:space="preserve">Omega Graduate School</w:t>
      </w:r>
    </w:p>
    <w:p w:rsidR="00000000" w:rsidDel="00000000" w:rsidP="00000000" w:rsidRDefault="00000000" w:rsidRPr="00000000" w14:paraId="0000000F">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10">
      <w:pPr>
        <w:tabs>
          <w:tab w:val="right" w:leader="none" w:pos="8640"/>
          <w:tab w:val="right" w:leader="none" w:pos="8640"/>
          <w:tab w:val="right" w:leader="none" w:pos="8640"/>
        </w:tabs>
        <w:ind w:firstLine="0"/>
        <w:jc w:val="center"/>
        <w:rPr/>
      </w:pPr>
      <w:r w:rsidDel="00000000" w:rsidR="00000000" w:rsidRPr="00000000">
        <w:rPr>
          <w:rtl w:val="0"/>
        </w:rPr>
        <w:t xml:space="preserve">April 6, 2025</w:t>
      </w:r>
    </w:p>
    <w:p w:rsidR="00000000" w:rsidDel="00000000" w:rsidP="00000000" w:rsidRDefault="00000000" w:rsidRPr="00000000" w14:paraId="00000011">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12">
      <w:pPr>
        <w:tabs>
          <w:tab w:val="right" w:leader="none" w:pos="8640"/>
          <w:tab w:val="right" w:leader="none" w:pos="8640"/>
          <w:tab w:val="right" w:leader="none" w:pos="8640"/>
        </w:tabs>
        <w:ind w:firstLine="0"/>
        <w:jc w:val="center"/>
        <w:rPr/>
      </w:pPr>
      <w:r w:rsidDel="00000000" w:rsidR="00000000" w:rsidRPr="00000000">
        <w:rPr>
          <w:rtl w:val="0"/>
        </w:rPr>
        <w:t xml:space="preserve">Professor</w:t>
      </w:r>
    </w:p>
    <w:p w:rsidR="00000000" w:rsidDel="00000000" w:rsidP="00000000" w:rsidRDefault="00000000" w:rsidRPr="00000000" w14:paraId="00000013">
      <w:pPr>
        <w:tabs>
          <w:tab w:val="right" w:leader="none" w:pos="8640"/>
          <w:tab w:val="right" w:leader="none" w:pos="8640"/>
          <w:tab w:val="right" w:leader="none" w:pos="8640"/>
        </w:tabs>
        <w:ind w:firstLine="0"/>
        <w:jc w:val="center"/>
        <w:rPr/>
      </w:pPr>
      <w:r w:rsidDel="00000000" w:rsidR="00000000" w:rsidRPr="00000000">
        <w:rPr>
          <w:rtl w:val="0"/>
        </w:rPr>
      </w:r>
    </w:p>
    <w:p w:rsidR="00000000" w:rsidDel="00000000" w:rsidP="00000000" w:rsidRDefault="00000000" w:rsidRPr="00000000" w14:paraId="00000014">
      <w:pPr>
        <w:tabs>
          <w:tab w:val="right" w:leader="none" w:pos="8640"/>
          <w:tab w:val="right" w:leader="none" w:pos="8640"/>
          <w:tab w:val="right" w:leader="none" w:pos="8640"/>
        </w:tabs>
        <w:ind w:firstLine="0"/>
        <w:jc w:val="center"/>
        <w:rPr/>
      </w:pPr>
      <w:r w:rsidDel="00000000" w:rsidR="00000000" w:rsidRPr="00000000">
        <w:rPr>
          <w:rtl w:val="0"/>
        </w:rPr>
        <w:t xml:space="preserve">Mr. David Moser</w:t>
      </w:r>
      <w:r w:rsidDel="00000000" w:rsidR="00000000" w:rsidRPr="00000000">
        <w:br w:type="page"/>
      </w:r>
      <w:r w:rsidDel="00000000" w:rsidR="00000000" w:rsidRPr="00000000">
        <w:rPr>
          <w:rtl w:val="0"/>
        </w:rPr>
      </w:r>
    </w:p>
    <w:p w:rsidR="00000000" w:rsidDel="00000000" w:rsidP="00000000" w:rsidRDefault="00000000" w:rsidRPr="00000000" w14:paraId="00000015">
      <w:pPr>
        <w:tabs>
          <w:tab w:val="right" w:leader="none" w:pos="8640"/>
          <w:tab w:val="right" w:leader="none" w:pos="8640"/>
          <w:tab w:val="right" w:leader="none" w:pos="8640"/>
        </w:tabs>
        <w:jc w:val="center"/>
        <w:rPr>
          <w:b w:val="1"/>
        </w:rPr>
      </w:pPr>
      <w:r w:rsidDel="00000000" w:rsidR="00000000" w:rsidRPr="00000000">
        <w:rPr>
          <w:b w:val="1"/>
          <w:rtl w:val="0"/>
        </w:rPr>
        <w:t xml:space="preserve">Approaches to Contextualization for Social Change</w:t>
      </w:r>
    </w:p>
    <w:p w:rsidR="00000000" w:rsidDel="00000000" w:rsidP="00000000" w:rsidRDefault="00000000" w:rsidRPr="00000000" w14:paraId="00000016">
      <w:pPr>
        <w:tabs>
          <w:tab w:val="right" w:leader="none" w:pos="8640"/>
          <w:tab w:val="right" w:leader="none" w:pos="8640"/>
          <w:tab w:val="right" w:leader="none" w:pos="8640"/>
        </w:tabs>
        <w:rPr/>
      </w:pPr>
      <w:r w:rsidDel="00000000" w:rsidR="00000000" w:rsidRPr="00000000">
        <w:rPr>
          <w:rtl w:val="0"/>
        </w:rPr>
        <w:t xml:space="preserve">Contextualization is more than translating ideas, it’s about embedding the gospel within cultural realities to inspire meaningful transformation. As Stephen B. Bevans (2002) reminds us, effective contextualization holds fast to the core of the Christian message while creatively engaging cultural forms to make that message come alive in people’s lives.</w:t>
      </w:r>
    </w:p>
    <w:p w:rsidR="00000000" w:rsidDel="00000000" w:rsidP="00000000" w:rsidRDefault="00000000" w:rsidRPr="00000000" w14:paraId="00000017">
      <w:pPr>
        <w:tabs>
          <w:tab w:val="right" w:leader="none" w:pos="8640"/>
          <w:tab w:val="right" w:leader="none" w:pos="8640"/>
          <w:tab w:val="right" w:leader="none" w:pos="8640"/>
        </w:tabs>
        <w:rPr/>
      </w:pPr>
      <w:r w:rsidDel="00000000" w:rsidR="00000000" w:rsidRPr="00000000">
        <w:rPr>
          <w:rtl w:val="0"/>
        </w:rPr>
        <w:t xml:space="preserve">Justiani Liem (2023) outlines six contextualization models, each offering distinct pathways to social impact. The Accommodation Model weaves indigenous symbols into worship and community practices, such as incorporating local music in church gatherings to validate cultural identity and foster belonging. This can motivate marginalized groups, empowering them to address systemic injustices from within their traditions.</w:t>
      </w:r>
    </w:p>
    <w:p w:rsidR="00000000" w:rsidDel="00000000" w:rsidP="00000000" w:rsidRDefault="00000000" w:rsidRPr="00000000" w14:paraId="00000018">
      <w:pPr>
        <w:tabs>
          <w:tab w:val="right" w:leader="none" w:pos="8640"/>
          <w:tab w:val="right" w:leader="none" w:pos="8640"/>
          <w:tab w:val="right" w:leader="none" w:pos="8640"/>
        </w:tabs>
        <w:rPr/>
      </w:pPr>
      <w:r w:rsidDel="00000000" w:rsidR="00000000" w:rsidRPr="00000000">
        <w:rPr>
          <w:rtl w:val="0"/>
        </w:rPr>
        <w:t xml:space="preserve">The Adaptation Model reframes biblical metaphors in culturally familiar terms. For example, likening Christ’s “living water” to a region’s sacred spring can spark environmental stewardship initiatives, motivating communities to protect vital resources as an act of faith. By speaking the local language of symbols, adaptation bridges spiritual truths and social action.</w:t>
      </w:r>
    </w:p>
    <w:p w:rsidR="00000000" w:rsidDel="00000000" w:rsidP="00000000" w:rsidRDefault="00000000" w:rsidRPr="00000000" w14:paraId="00000019">
      <w:pPr>
        <w:tabs>
          <w:tab w:val="right" w:leader="none" w:pos="8640"/>
          <w:tab w:val="right" w:leader="none" w:pos="8640"/>
          <w:tab w:val="right" w:leader="none" w:pos="8640"/>
        </w:tabs>
        <w:rPr/>
      </w:pPr>
      <w:r w:rsidDel="00000000" w:rsidR="00000000" w:rsidRPr="00000000">
        <w:rPr>
          <w:rtl w:val="0"/>
        </w:rPr>
        <w:t xml:space="preserve">In the Transformation Model, Christ’s renewal of individuals becomes the seed for cultural renewal. When transformed, believers champion education or economic development, they initiate grassroots movements that reshape societal structures. This model envisions holistic change: personal faith naturally overflows into community uplift.</w:t>
      </w:r>
    </w:p>
    <w:p w:rsidR="00000000" w:rsidDel="00000000" w:rsidP="00000000" w:rsidRDefault="00000000" w:rsidRPr="00000000" w14:paraId="0000001A">
      <w:pPr>
        <w:tabs>
          <w:tab w:val="right" w:leader="none" w:pos="8640"/>
          <w:tab w:val="right" w:leader="none" w:pos="8640"/>
          <w:tab w:val="right" w:leader="none" w:pos="8640"/>
        </w:tabs>
        <w:rPr/>
      </w:pPr>
      <w:r w:rsidDel="00000000" w:rsidR="00000000" w:rsidRPr="00000000">
        <w:rPr>
          <w:rtl w:val="0"/>
        </w:rPr>
        <w:t xml:space="preserve">The Dialectical Model invites a two‑way dialogue: Scripture critiques cultural norms, and culture illuminates new dimensions of biblical insight. This dynamic exchange can reveal fresh strategies for peacemaking or public health campaigns rooted in local narratives.</w:t>
      </w:r>
    </w:p>
    <w:p w:rsidR="00000000" w:rsidDel="00000000" w:rsidP="00000000" w:rsidRDefault="00000000" w:rsidRPr="00000000" w14:paraId="0000001B">
      <w:pPr>
        <w:tabs>
          <w:tab w:val="right" w:leader="none" w:pos="8640"/>
          <w:tab w:val="right" w:leader="none" w:pos="8640"/>
          <w:tab w:val="right" w:leader="none" w:pos="8640"/>
        </w:tabs>
        <w:rPr/>
      </w:pPr>
      <w:r w:rsidDel="00000000" w:rsidR="00000000" w:rsidRPr="00000000">
        <w:rPr>
          <w:rtl w:val="0"/>
        </w:rPr>
        <w:t xml:space="preserve">Finally, the Transcendental Model centers on personal encounters with God, which often ignite social passion. When individuals experience deep spiritual renewal, they frequently mobilize around causes like anti‑human trafficking or poverty alleviation, seeing social change as an expression of their faith journey.</w:t>
      </w:r>
    </w:p>
    <w:p w:rsidR="00000000" w:rsidDel="00000000" w:rsidP="00000000" w:rsidRDefault="00000000" w:rsidRPr="00000000" w14:paraId="0000001C">
      <w:pPr>
        <w:tabs>
          <w:tab w:val="right" w:leader="none" w:pos="8640"/>
          <w:tab w:val="right" w:leader="none" w:pos="8640"/>
          <w:tab w:val="right" w:leader="none" w:pos="8640"/>
        </w:tabs>
        <w:rPr/>
      </w:pPr>
      <w:r w:rsidDel="00000000" w:rsidR="00000000" w:rsidRPr="00000000">
        <w:rPr>
          <w:rtl w:val="0"/>
        </w:rPr>
        <w:t xml:space="preserve">In this class, we will learn to tailor contextualization strategies that honor cultural richness and drive constructive social change. Thoughtful application ensures that the gospel remains both true to its roots and powerfully relevant to every group of people.</w:t>
      </w:r>
      <w:r w:rsidDel="00000000" w:rsidR="00000000" w:rsidRPr="00000000">
        <w:br w:type="page"/>
      </w:r>
      <w:r w:rsidDel="00000000" w:rsidR="00000000" w:rsidRPr="00000000">
        <w:rPr>
          <w:rtl w:val="0"/>
        </w:rPr>
      </w:r>
    </w:p>
    <w:p w:rsidR="00000000" w:rsidDel="00000000" w:rsidP="00000000" w:rsidRDefault="00000000" w:rsidRPr="00000000" w14:paraId="0000001D">
      <w:pPr>
        <w:tabs>
          <w:tab w:val="right" w:leader="none" w:pos="8640"/>
          <w:tab w:val="right" w:leader="none" w:pos="8640"/>
          <w:tab w:val="right" w:leader="none" w:pos="8640"/>
        </w:tabs>
        <w:ind w:left="0" w:firstLine="0"/>
        <w:jc w:val="center"/>
        <w:rPr>
          <w:b w:val="1"/>
        </w:rPr>
      </w:pPr>
      <w:r w:rsidDel="00000000" w:rsidR="00000000" w:rsidRPr="00000000">
        <w:rPr>
          <w:b w:val="1"/>
          <w:rtl w:val="0"/>
        </w:rPr>
        <w:t xml:space="preserve">Works Cited</w:t>
      </w:r>
    </w:p>
    <w:p w:rsidR="00000000" w:rsidDel="00000000" w:rsidP="00000000" w:rsidRDefault="00000000" w:rsidRPr="00000000" w14:paraId="0000001E">
      <w:pPr>
        <w:tabs>
          <w:tab w:val="right" w:leader="none" w:pos="8640"/>
          <w:tab w:val="right" w:leader="none" w:pos="8640"/>
          <w:tab w:val="right" w:leader="none" w:pos="8640"/>
        </w:tabs>
        <w:ind w:left="0" w:firstLine="0"/>
        <w:jc w:val="center"/>
        <w:rPr>
          <w:b w:val="1"/>
        </w:rPr>
      </w:pPr>
      <w:r w:rsidDel="00000000" w:rsidR="00000000" w:rsidRPr="00000000">
        <w:rPr>
          <w:rtl w:val="0"/>
        </w:rPr>
      </w:r>
    </w:p>
    <w:p w:rsidR="00000000" w:rsidDel="00000000" w:rsidP="00000000" w:rsidRDefault="00000000" w:rsidRPr="00000000" w14:paraId="0000001F">
      <w:pPr>
        <w:tabs>
          <w:tab w:val="right" w:leader="none" w:pos="8640"/>
          <w:tab w:val="right" w:leader="none" w:pos="8640"/>
          <w:tab w:val="right" w:leader="none" w:pos="8640"/>
        </w:tabs>
        <w:ind w:left="720" w:hanging="720"/>
        <w:rPr/>
      </w:pPr>
      <w:r w:rsidDel="00000000" w:rsidR="00000000" w:rsidRPr="00000000">
        <w:rPr>
          <w:rtl w:val="0"/>
        </w:rPr>
        <w:t xml:space="preserve">Bevans, S. B. (2002). Models of contextual theology. Orbis Books.</w:t>
      </w:r>
    </w:p>
    <w:p w:rsidR="00000000" w:rsidDel="00000000" w:rsidP="00000000" w:rsidRDefault="00000000" w:rsidRPr="00000000" w14:paraId="00000020">
      <w:pPr>
        <w:tabs>
          <w:tab w:val="right" w:leader="none" w:pos="8640"/>
          <w:tab w:val="right" w:leader="none" w:pos="8640"/>
          <w:tab w:val="right" w:leader="none" w:pos="8640"/>
        </w:tabs>
        <w:ind w:left="720" w:hanging="720"/>
        <w:rPr/>
      </w:pPr>
      <w:r w:rsidDel="00000000" w:rsidR="00000000" w:rsidRPr="00000000">
        <w:rPr>
          <w:rtl w:val="0"/>
        </w:rPr>
        <w:t xml:space="preserve">Liem, J. (2023). Contextual theology approaches: Urgency to multiculturalism &amp; pluralism. American Journal of Multidisciplinary Research &amp; Development, 5(7), 51–62.</w:t>
      </w:r>
    </w:p>
    <w:p w:rsidR="00000000" w:rsidDel="00000000" w:rsidP="00000000" w:rsidRDefault="00000000" w:rsidRPr="00000000" w14:paraId="00000021">
      <w:pPr>
        <w:tabs>
          <w:tab w:val="right" w:leader="none" w:pos="8640"/>
          <w:tab w:val="right" w:leader="none" w:pos="8640"/>
          <w:tab w:val="right" w:leader="none" w:pos="8640"/>
        </w:tabs>
        <w:rPr/>
      </w:pPr>
      <w:r w:rsidDel="00000000" w:rsidR="00000000" w:rsidRPr="00000000">
        <w:rPr>
          <w:rtl w:val="0"/>
        </w:rPr>
      </w:r>
    </w:p>
    <w:p w:rsidR="00000000" w:rsidDel="00000000" w:rsidP="00000000" w:rsidRDefault="00000000" w:rsidRPr="00000000" w14:paraId="00000022">
      <w:pPr>
        <w:tabs>
          <w:tab w:val="right" w:leader="none" w:pos="8640"/>
          <w:tab w:val="right" w:leader="none" w:pos="8640"/>
          <w:tab w:val="right" w:leader="none" w:pos="8640"/>
        </w:tabs>
        <w:ind w:firstLine="0"/>
        <w:rPr/>
      </w:pPr>
      <w:r w:rsidDel="00000000" w:rsidR="00000000" w:rsidRPr="00000000">
        <w:rPr>
          <w:rtl w:val="0"/>
        </w:rPr>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 w:name="Time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3">
    <w:pPr>
      <w:tabs>
        <w:tab w:val="right" w:leader="none" w:pos="8640"/>
        <w:tab w:val="right" w:leader="none" w:pos="8640"/>
        <w:tab w:val="right" w:leader="none" w:pos="9360"/>
      </w:tabs>
      <w:ind w:firstLine="0"/>
      <w:jc w:val="center"/>
      <w:rPr>
        <w:rFonts w:ascii="Times" w:cs="Times" w:eastAsia="Times" w:hAnsi="Times"/>
        <w:i w:val="0"/>
        <w:smallCaps w:val="0"/>
        <w:strike w:val="0"/>
        <w:color w:val="000000"/>
        <w:sz w:val="16"/>
        <w:szCs w:val="16"/>
        <w:u w:val="none"/>
        <w:shd w:fill="auto" w:val="clear"/>
        <w:vertAlign w:val="baseline"/>
      </w:rPr>
    </w:pPr>
    <w:r w:rsidDel="00000000" w:rsidR="00000000" w:rsidRPr="00000000">
      <w:rPr>
        <w:rFonts w:ascii="Times" w:cs="Times" w:eastAsia="Times" w:hAnsi="Times"/>
        <w:sz w:val="20"/>
        <w:szCs w:val="20"/>
        <w:rtl w:val="0"/>
      </w:rPr>
      <w:t xml:space="preserve">Semaj Zachary, PHI 923-32: Contextualization for Social Change, Assignment 1, 4/6/2025</w:t>
      <w:tab/>
      <w:t xml:space="preserve">   </w:t>
    </w:r>
    <w:r w:rsidDel="00000000" w:rsidR="00000000" w:rsidRPr="00000000">
      <w:rPr>
        <w:rFonts w:ascii="Times" w:cs="Times" w:eastAsia="Times" w:hAnsi="Times"/>
        <w:sz w:val="16"/>
        <w:szCs w:val="16"/>
        <w:rtl w:val="0"/>
      </w:rPr>
      <w:t xml:space="preserve">                          </w:t>
    </w:r>
    <w:r w:rsidDel="00000000" w:rsidR="00000000" w:rsidRPr="00000000">
      <w:rPr>
        <w:rFonts w:ascii="Times" w:cs="Times" w:eastAsia="Times" w:hAnsi="Times"/>
        <w:sz w:val="18"/>
        <w:szCs w:val="18"/>
        <w:rtl w:val="0"/>
      </w:rPr>
      <w:t xml:space="preserve">           </w:t>
    </w:r>
    <w:r w:rsidDel="00000000" w:rsidR="00000000" w:rsidRPr="00000000">
      <w:rPr>
        <w:rFonts w:ascii="Times" w:cs="Times" w:eastAsia="Times" w:hAnsi="Times"/>
        <w:sz w:val="18"/>
        <w:szCs w:val="18"/>
      </w:rPr>
      <w:fldChar w:fldCharType="begin"/>
      <w:instrText xml:space="preserve">PAGE</w:instrText>
      <w:fldChar w:fldCharType="separate"/>
      <w:fldChar w:fldCharType="end"/>
    </w:r>
    <w:r w:rsidDel="00000000" w:rsidR="00000000" w:rsidRPr="00000000">
      <w:rPr>
        <w:rFonts w:ascii="Times" w:cs="Times" w:eastAsia="Times" w:hAnsi="Times"/>
        <w:i w:val="0"/>
        <w:smallCaps w:val="0"/>
        <w:strike w:val="0"/>
        <w:color w:val="000000"/>
        <w:sz w:val="16"/>
        <w:szCs w:val="16"/>
        <w:u w:val="none"/>
        <w:shd w:fill="auto" w:val="clear"/>
        <w:vertAlign w:val="baseline"/>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tabs>
          <w:tab w:val="right" w:leader="none" w:pos="8640"/>
        </w:tabs>
        <w:spacing w:line="480" w:lineRule="auto"/>
        <w:ind w:firstLine="72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firstLine="0"/>
      <w:jc w:val="center"/>
    </w:pPr>
    <w:rPr>
      <w:b w:val="1"/>
    </w:rPr>
  </w:style>
  <w:style w:type="paragraph" w:styleId="Heading2">
    <w:name w:val="heading 2"/>
    <w:basedOn w:val="Normal"/>
    <w:next w:val="Normal"/>
    <w:pPr>
      <w:widowControl w:val="0"/>
      <w:ind w:firstLine="0"/>
      <w:jc w:val="left"/>
    </w:pPr>
    <w:rPr>
      <w:b w:val="1"/>
      <w:i w:val="0"/>
    </w:rPr>
  </w:style>
  <w:style w:type="paragraph" w:styleId="Heading3">
    <w:name w:val="heading 3"/>
    <w:basedOn w:val="Normal"/>
    <w:next w:val="Normal"/>
    <w:pPr>
      <w:keepNext w:val="1"/>
      <w:spacing w:after="60" w:before="240" w:lineRule="auto"/>
    </w:pPr>
    <w:rPr>
      <w:rFonts w:ascii="Arial" w:cs="Arial" w:eastAsia="Arial" w:hAnsi="Arial"/>
      <w:b w:val="1"/>
      <w:sz w:val="26"/>
      <w:szCs w:val="26"/>
    </w:rPr>
  </w:style>
  <w:style w:type="paragraph" w:styleId="Heading4">
    <w:name w:val="heading 4"/>
    <w:basedOn w:val="Normal"/>
    <w:next w:val="Normal"/>
    <w:pPr>
      <w:keepNext w:val="1"/>
      <w:spacing w:after="60" w:before="240" w:lineRule="auto"/>
    </w:pPr>
    <w:rPr>
      <w:b w:val="1"/>
      <w:sz w:val="28"/>
      <w:szCs w:val="28"/>
    </w:rPr>
  </w:style>
  <w:style w:type="paragraph" w:styleId="Heading5">
    <w:name w:val="heading 5"/>
    <w:basedOn w:val="Normal"/>
    <w:next w:val="Normal"/>
    <w:pPr>
      <w:spacing w:after="60" w:before="240" w:lineRule="auto"/>
    </w:pPr>
    <w:rPr>
      <w:b w:val="1"/>
      <w:i w:val="1"/>
      <w:sz w:val="26"/>
      <w:szCs w:val="26"/>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ind w:firstLine="0"/>
      <w:jc w:val="center"/>
    </w:pP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