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15C6" w:rsidRDefault="007B15C6">
      <w:pPr>
        <w:pBdr>
          <w:top w:val="nil"/>
          <w:left w:val="nil"/>
          <w:bottom w:val="nil"/>
          <w:right w:val="nil"/>
          <w:between w:val="nil"/>
        </w:pBdr>
        <w:rPr>
          <w:color w:val="000000"/>
        </w:rPr>
      </w:pPr>
      <w:bookmarkStart w:id="0" w:name="_heading=h.gjdgxs" w:colFirst="0" w:colLast="0"/>
      <w:bookmarkEnd w:id="0"/>
    </w:p>
    <w:p w14:paraId="00000002" w14:textId="77777777" w:rsidR="007B15C6" w:rsidRDefault="007B15C6">
      <w:pPr>
        <w:rPr>
          <w:b/>
        </w:rPr>
      </w:pPr>
    </w:p>
    <w:p w14:paraId="00000003" w14:textId="77777777" w:rsidR="007B15C6" w:rsidRDefault="007B15C6">
      <w:pPr>
        <w:rPr>
          <w:b/>
        </w:rPr>
      </w:pPr>
    </w:p>
    <w:p w14:paraId="00000004" w14:textId="77777777" w:rsidR="007B15C6" w:rsidRDefault="007B15C6">
      <w:pPr>
        <w:rPr>
          <w:b/>
        </w:rPr>
      </w:pPr>
    </w:p>
    <w:p w14:paraId="00000005" w14:textId="77777777" w:rsidR="007B15C6" w:rsidRDefault="007B15C6">
      <w:pPr>
        <w:rPr>
          <w:b/>
        </w:rPr>
      </w:pPr>
    </w:p>
    <w:p w14:paraId="00000006" w14:textId="77777777" w:rsidR="007B15C6" w:rsidRDefault="007B15C6">
      <w:pPr>
        <w:rPr>
          <w:b/>
        </w:rPr>
      </w:pPr>
    </w:p>
    <w:p w14:paraId="00000007" w14:textId="77777777" w:rsidR="007B15C6" w:rsidRDefault="007B15C6">
      <w:pPr>
        <w:rPr>
          <w:b/>
        </w:rPr>
      </w:pPr>
    </w:p>
    <w:p w14:paraId="00000008" w14:textId="77777777" w:rsidR="007B15C6" w:rsidRDefault="007B15C6">
      <w:pPr>
        <w:rPr>
          <w:b/>
        </w:rPr>
      </w:pPr>
    </w:p>
    <w:p w14:paraId="00000009" w14:textId="77777777" w:rsidR="007B15C6" w:rsidRDefault="007B15C6">
      <w:pPr>
        <w:rPr>
          <w:b/>
        </w:rPr>
      </w:pPr>
    </w:p>
    <w:p w14:paraId="0000000A" w14:textId="77777777" w:rsidR="007B15C6" w:rsidRDefault="007B15C6">
      <w:pPr>
        <w:rPr>
          <w:b/>
        </w:rPr>
      </w:pPr>
    </w:p>
    <w:p w14:paraId="0000000B" w14:textId="77777777" w:rsidR="007B15C6" w:rsidRDefault="007B15C6">
      <w:pPr>
        <w:rPr>
          <w:b/>
        </w:rPr>
      </w:pPr>
    </w:p>
    <w:p w14:paraId="0000000C" w14:textId="77777777" w:rsidR="007B15C6" w:rsidRDefault="007B15C6">
      <w:pPr>
        <w:rPr>
          <w:b/>
        </w:rPr>
      </w:pPr>
    </w:p>
    <w:p w14:paraId="0000000D" w14:textId="77777777" w:rsidR="007B15C6" w:rsidRDefault="007B15C6">
      <w:pPr>
        <w:rPr>
          <w:b/>
        </w:rPr>
      </w:pPr>
    </w:p>
    <w:p w14:paraId="0000000E" w14:textId="77777777" w:rsidR="007B15C6" w:rsidRDefault="00000000">
      <w:pPr>
        <w:jc w:val="center"/>
      </w:pPr>
      <w:r>
        <w:t>PHI 943-12 Orthodoxy and Orthopraxis</w:t>
      </w:r>
    </w:p>
    <w:p w14:paraId="0000000F" w14:textId="77777777" w:rsidR="007B15C6" w:rsidRDefault="007B15C6">
      <w:pPr>
        <w:jc w:val="center"/>
      </w:pPr>
    </w:p>
    <w:p w14:paraId="00000010" w14:textId="77777777" w:rsidR="007B15C6" w:rsidRDefault="00000000">
      <w:pPr>
        <w:jc w:val="center"/>
      </w:pPr>
      <w:r>
        <w:t>C. Brian Diggs</w:t>
      </w:r>
    </w:p>
    <w:p w14:paraId="00000011" w14:textId="77777777" w:rsidR="007B15C6" w:rsidRDefault="007B15C6">
      <w:pPr>
        <w:jc w:val="center"/>
      </w:pPr>
    </w:p>
    <w:p w14:paraId="00000012" w14:textId="77777777" w:rsidR="007B15C6" w:rsidRDefault="00000000">
      <w:pPr>
        <w:jc w:val="center"/>
      </w:pPr>
      <w:r>
        <w:t>Omega Graduate School</w:t>
      </w:r>
    </w:p>
    <w:p w14:paraId="00000013" w14:textId="77777777" w:rsidR="007B15C6" w:rsidRDefault="007B15C6">
      <w:pPr>
        <w:jc w:val="center"/>
      </w:pPr>
    </w:p>
    <w:p w14:paraId="00000014" w14:textId="77777777" w:rsidR="007B15C6" w:rsidRDefault="00000000">
      <w:pPr>
        <w:jc w:val="center"/>
      </w:pPr>
      <w:r>
        <w:t>Date: April 6, 2025</w:t>
      </w:r>
    </w:p>
    <w:p w14:paraId="00000015" w14:textId="77777777" w:rsidR="007B15C6" w:rsidRDefault="007B15C6">
      <w:pPr>
        <w:jc w:val="center"/>
      </w:pPr>
    </w:p>
    <w:p w14:paraId="00000016" w14:textId="77777777" w:rsidR="007B15C6" w:rsidRDefault="007B15C6">
      <w:pPr>
        <w:jc w:val="center"/>
      </w:pPr>
    </w:p>
    <w:p w14:paraId="00000017" w14:textId="77777777" w:rsidR="007B15C6" w:rsidRDefault="007B15C6">
      <w:pPr>
        <w:jc w:val="center"/>
      </w:pPr>
    </w:p>
    <w:p w14:paraId="00000018" w14:textId="77777777" w:rsidR="007B15C6" w:rsidRDefault="007B15C6">
      <w:pPr>
        <w:jc w:val="center"/>
      </w:pPr>
    </w:p>
    <w:p w14:paraId="00000019" w14:textId="77777777" w:rsidR="007B15C6" w:rsidRDefault="007B15C6">
      <w:pPr>
        <w:jc w:val="center"/>
      </w:pPr>
    </w:p>
    <w:p w14:paraId="0000001A" w14:textId="77777777" w:rsidR="007B15C6" w:rsidRDefault="00000000">
      <w:pPr>
        <w:jc w:val="center"/>
      </w:pPr>
      <w:r>
        <w:t>Professor</w:t>
      </w:r>
    </w:p>
    <w:p w14:paraId="0000001B" w14:textId="77777777" w:rsidR="007B15C6" w:rsidRDefault="007B15C6">
      <w:pPr>
        <w:jc w:val="center"/>
      </w:pPr>
    </w:p>
    <w:p w14:paraId="0000001C" w14:textId="77777777" w:rsidR="007B15C6" w:rsidRDefault="007B15C6">
      <w:pPr>
        <w:jc w:val="center"/>
      </w:pPr>
    </w:p>
    <w:p w14:paraId="0000001D" w14:textId="446BF9F0" w:rsidR="007B15C6" w:rsidRDefault="00047528">
      <w:pPr>
        <w:jc w:val="center"/>
      </w:pPr>
      <w:r>
        <w:t>David Ward</w:t>
      </w:r>
      <w:r w:rsidR="00000000">
        <w:t xml:space="preserve">, Ph.D., </w:t>
      </w:r>
      <w:r>
        <w:t>Th.M.</w:t>
      </w:r>
    </w:p>
    <w:p w14:paraId="0000001E" w14:textId="77777777" w:rsidR="007B15C6" w:rsidRDefault="00000000">
      <w:pPr>
        <w:jc w:val="center"/>
        <w:rPr>
          <w:b/>
        </w:rPr>
      </w:pPr>
      <w:r>
        <w:br w:type="page"/>
      </w:r>
    </w:p>
    <w:p w14:paraId="0000001F" w14:textId="77777777" w:rsidR="007B15C6" w:rsidRDefault="00000000">
      <w:pPr>
        <w:spacing w:line="480" w:lineRule="auto"/>
        <w:rPr>
          <w:b/>
        </w:rPr>
      </w:pPr>
      <w:r>
        <w:rPr>
          <w:b/>
        </w:rPr>
        <w:lastRenderedPageBreak/>
        <w:t xml:space="preserve">Assignment #1 – Core Essential Elements </w:t>
      </w:r>
    </w:p>
    <w:p w14:paraId="00000020" w14:textId="77777777" w:rsidR="007B15C6" w:rsidRDefault="00000000">
      <w:pPr>
        <w:spacing w:line="480" w:lineRule="auto"/>
        <w:rPr>
          <w:b/>
        </w:rPr>
      </w:pPr>
      <w:r>
        <w:rPr>
          <w:b/>
        </w:rPr>
        <w:t>1. Select One (1) Core Essential Element from the Syllabus Outline:</w:t>
      </w:r>
    </w:p>
    <w:p w14:paraId="00000021" w14:textId="77777777" w:rsidR="007B15C6" w:rsidRDefault="00000000">
      <w:pPr>
        <w:spacing w:line="480" w:lineRule="auto"/>
        <w:ind w:firstLine="720"/>
      </w:pPr>
      <w:r>
        <w:t xml:space="preserve"> a. Create a 350-word original discussion paper (with cited sources) during the week of the residency. Be prepared to discuss and engage with other students during the live sessions. Post this document in DIAL. </w:t>
      </w:r>
    </w:p>
    <w:p w14:paraId="00000022" w14:textId="77777777" w:rsidR="007B15C6" w:rsidRDefault="00000000">
      <w:pPr>
        <w:spacing w:line="480" w:lineRule="auto"/>
        <w:ind w:firstLine="720"/>
      </w:pPr>
      <w:r>
        <w:t>b. The professor will check for content quality and word-count requirements. The grade assigned will be Credit or No Credit (CR/NC).</w:t>
      </w:r>
    </w:p>
    <w:p w14:paraId="00000023" w14:textId="77777777" w:rsidR="007B15C6" w:rsidRDefault="007B15C6">
      <w:pPr>
        <w:spacing w:line="480" w:lineRule="auto"/>
        <w:rPr>
          <w:b/>
        </w:rPr>
      </w:pPr>
    </w:p>
    <w:p w14:paraId="00000024" w14:textId="77777777" w:rsidR="007B15C6" w:rsidRDefault="007B15C6">
      <w:pPr>
        <w:spacing w:line="480" w:lineRule="auto"/>
        <w:rPr>
          <w:b/>
        </w:rPr>
      </w:pPr>
    </w:p>
    <w:p w14:paraId="00000025" w14:textId="77777777" w:rsidR="007B15C6" w:rsidRDefault="007B15C6">
      <w:pPr>
        <w:spacing w:line="480" w:lineRule="auto"/>
        <w:rPr>
          <w:b/>
        </w:rPr>
      </w:pPr>
    </w:p>
    <w:p w14:paraId="00000026" w14:textId="77777777" w:rsidR="007B15C6" w:rsidRDefault="007B15C6">
      <w:pPr>
        <w:spacing w:line="480" w:lineRule="auto"/>
        <w:rPr>
          <w:b/>
        </w:rPr>
      </w:pPr>
    </w:p>
    <w:p w14:paraId="00000027" w14:textId="77777777" w:rsidR="007B15C6" w:rsidRDefault="007B15C6">
      <w:pPr>
        <w:spacing w:line="480" w:lineRule="auto"/>
        <w:rPr>
          <w:b/>
        </w:rPr>
      </w:pPr>
    </w:p>
    <w:p w14:paraId="00000028" w14:textId="77777777" w:rsidR="007B15C6" w:rsidRDefault="007B15C6">
      <w:pPr>
        <w:spacing w:line="480" w:lineRule="auto"/>
        <w:rPr>
          <w:b/>
        </w:rPr>
      </w:pPr>
    </w:p>
    <w:p w14:paraId="00000029" w14:textId="77777777" w:rsidR="007B15C6" w:rsidRDefault="007B15C6">
      <w:pPr>
        <w:spacing w:line="480" w:lineRule="auto"/>
        <w:rPr>
          <w:b/>
        </w:rPr>
      </w:pPr>
    </w:p>
    <w:p w14:paraId="0000002A" w14:textId="77777777" w:rsidR="007B15C6" w:rsidRDefault="007B15C6">
      <w:pPr>
        <w:spacing w:line="480" w:lineRule="auto"/>
        <w:rPr>
          <w:b/>
        </w:rPr>
      </w:pPr>
    </w:p>
    <w:p w14:paraId="0000002B" w14:textId="77777777" w:rsidR="007B15C6" w:rsidRDefault="007B15C6">
      <w:pPr>
        <w:spacing w:line="480" w:lineRule="auto"/>
        <w:rPr>
          <w:b/>
        </w:rPr>
      </w:pPr>
    </w:p>
    <w:p w14:paraId="0000002C" w14:textId="77777777" w:rsidR="007B15C6" w:rsidRDefault="007B15C6">
      <w:pPr>
        <w:spacing w:line="480" w:lineRule="auto"/>
        <w:rPr>
          <w:b/>
        </w:rPr>
      </w:pPr>
    </w:p>
    <w:p w14:paraId="0000002D" w14:textId="77777777" w:rsidR="007B15C6" w:rsidRDefault="007B15C6">
      <w:pPr>
        <w:spacing w:line="480" w:lineRule="auto"/>
        <w:rPr>
          <w:b/>
        </w:rPr>
      </w:pPr>
    </w:p>
    <w:p w14:paraId="0000002E" w14:textId="77777777" w:rsidR="007B15C6" w:rsidRDefault="007B15C6">
      <w:pPr>
        <w:spacing w:line="480" w:lineRule="auto"/>
        <w:rPr>
          <w:b/>
        </w:rPr>
      </w:pPr>
    </w:p>
    <w:p w14:paraId="0000002F" w14:textId="77777777" w:rsidR="007B15C6" w:rsidRDefault="007B15C6">
      <w:pPr>
        <w:spacing w:line="480" w:lineRule="auto"/>
        <w:rPr>
          <w:b/>
        </w:rPr>
      </w:pPr>
    </w:p>
    <w:p w14:paraId="00000030" w14:textId="77777777" w:rsidR="007B15C6" w:rsidRDefault="007B15C6">
      <w:pPr>
        <w:spacing w:line="480" w:lineRule="auto"/>
        <w:rPr>
          <w:b/>
        </w:rPr>
      </w:pPr>
    </w:p>
    <w:p w14:paraId="00000031" w14:textId="77777777" w:rsidR="007B15C6" w:rsidRDefault="007B15C6">
      <w:pPr>
        <w:spacing w:line="480" w:lineRule="auto"/>
        <w:rPr>
          <w:b/>
        </w:rPr>
      </w:pPr>
    </w:p>
    <w:p w14:paraId="00000032" w14:textId="77777777" w:rsidR="007B15C6" w:rsidRDefault="007B15C6">
      <w:pPr>
        <w:spacing w:line="480" w:lineRule="auto"/>
        <w:rPr>
          <w:b/>
        </w:rPr>
      </w:pPr>
    </w:p>
    <w:p w14:paraId="00000033" w14:textId="6B79B6B1" w:rsidR="007B15C6" w:rsidRDefault="00000000">
      <w:pPr>
        <w:shd w:val="clear" w:color="auto" w:fill="FFFFFF"/>
        <w:spacing w:line="480" w:lineRule="auto"/>
        <w:ind w:firstLine="720"/>
        <w:rPr>
          <w:highlight w:val="white"/>
        </w:rPr>
      </w:pPr>
      <w:r>
        <w:rPr>
          <w:highlight w:val="white"/>
        </w:rPr>
        <w:t xml:space="preserve">As I matriculated through Cores #1 and #2 here at Omega Graduate School, I have gained a greater understanding of the importance of faith reflection for Christian scholarship, which involves applying faith and academic pursuits.  Integrating my faith into my studies has opened my eyes and challenged me </w:t>
      </w:r>
      <w:r w:rsidR="00047528">
        <w:rPr>
          <w:highlight w:val="white"/>
        </w:rPr>
        <w:t>with</w:t>
      </w:r>
      <w:r>
        <w:rPr>
          <w:highlight w:val="white"/>
        </w:rPr>
        <w:t xml:space="preserve"> the importance of using my faith in my career.  It has also allowed me to reflect on the world view versus my faith-based view of my career, which is often in conflict. My faith can be understood as my ethos, which shapes how I process the world around me when my career is based on man’s law.  Christian theology attempts to understand and summarize what God has revealed. Revelation comes to us through the world, Scripture, and His Son, Jesus Christ. Christians engage in theology utilizing Scripture, tradition, reason, and experience, prioritizing Scripture (Keathley, 2023).</w:t>
      </w:r>
    </w:p>
    <w:p w14:paraId="00000034" w14:textId="77777777" w:rsidR="007B15C6" w:rsidRDefault="00000000">
      <w:pPr>
        <w:shd w:val="clear" w:color="auto" w:fill="FFFFFF"/>
        <w:spacing w:line="480" w:lineRule="auto"/>
        <w:ind w:firstLine="720"/>
        <w:rPr>
          <w:highlight w:val="white"/>
        </w:rPr>
      </w:pPr>
      <w:r>
        <w:rPr>
          <w:highlight w:val="white"/>
        </w:rPr>
        <w:t>Applying my faith to my studies has given me a new perspective on my profession.  As police officers, we are indoctrinated into completing our duties according to the letter of the law, and the world view in policing is equated to right and wrong.  Faith-reflection for Christian scholarship has provided me with a new view that naturally incorporates orthopathy, which stresses the significance of having emotions consistent with my beliefs and practices, and orthopraxis, which highlights the significance of living by my faith through actions that reflect my core beliefs.</w:t>
      </w:r>
    </w:p>
    <w:p w14:paraId="00000035" w14:textId="5CA44DC0" w:rsidR="007B15C6" w:rsidRDefault="00000000">
      <w:pPr>
        <w:shd w:val="clear" w:color="auto" w:fill="FFFFFF"/>
        <w:spacing w:line="480" w:lineRule="auto"/>
        <w:ind w:firstLine="720"/>
        <w:rPr>
          <w:highlight w:val="white"/>
        </w:rPr>
      </w:pPr>
      <w:r>
        <w:rPr>
          <w:highlight w:val="white"/>
        </w:rPr>
        <w:t xml:space="preserve">As the leader of my bureau, I understand that law enforcement's sociological importance lies in its ability to create relationships that allow officers and community members to shape enforcement measures within neighborhoods. Leadership is a position that has a very central role in law </w:t>
      </w:r>
      <w:r w:rsidR="00047528">
        <w:rPr>
          <w:highlight w:val="white"/>
        </w:rPr>
        <w:t>enforcement.</w:t>
      </w:r>
      <w:r>
        <w:rPr>
          <w:highlight w:val="white"/>
        </w:rPr>
        <w:t xml:space="preserve"> Without a true leader, many problems will arise. Leadership is rarely included in the curriculum of theological colleges, and widely accepted theories on relational leadership often lack a solid foundation in coherent theology and empirical research (Asep Afaradi, 2023). Holistic leadership is an emerging concept that combines orthodoxy, orthopraxis, and orthopathy to inform effective leadership practices (Asep Afaradi, 2023). Applying orthopraxis and orthopathy to my leadership toolbox will allow me to have emotional integrity, which equates to spiritual health that will demonstrate service and ethical behavior to those under my command.</w:t>
      </w:r>
    </w:p>
    <w:p w14:paraId="00000036" w14:textId="77777777" w:rsidR="007B15C6" w:rsidRDefault="007B15C6">
      <w:pPr>
        <w:shd w:val="clear" w:color="auto" w:fill="FFFFFF"/>
        <w:spacing w:line="480" w:lineRule="auto"/>
        <w:ind w:firstLine="720"/>
        <w:rPr>
          <w:highlight w:val="white"/>
        </w:rPr>
      </w:pPr>
    </w:p>
    <w:p w14:paraId="00000037" w14:textId="77777777" w:rsidR="007B15C6" w:rsidRDefault="007B15C6">
      <w:pPr>
        <w:shd w:val="clear" w:color="auto" w:fill="FFFFFF"/>
        <w:spacing w:line="480" w:lineRule="auto"/>
        <w:ind w:firstLine="720"/>
        <w:rPr>
          <w:highlight w:val="white"/>
        </w:rPr>
      </w:pPr>
    </w:p>
    <w:p w14:paraId="00000038" w14:textId="77777777" w:rsidR="007B15C6" w:rsidRDefault="007B15C6">
      <w:pPr>
        <w:shd w:val="clear" w:color="auto" w:fill="FFFFFF"/>
        <w:spacing w:line="480" w:lineRule="auto"/>
        <w:ind w:firstLine="720"/>
        <w:rPr>
          <w:highlight w:val="white"/>
        </w:rPr>
      </w:pPr>
    </w:p>
    <w:p w14:paraId="00000039" w14:textId="77777777" w:rsidR="007B15C6" w:rsidRDefault="007B15C6">
      <w:pPr>
        <w:shd w:val="clear" w:color="auto" w:fill="FFFFFF"/>
        <w:spacing w:line="480" w:lineRule="auto"/>
        <w:ind w:firstLine="720"/>
        <w:rPr>
          <w:highlight w:val="white"/>
        </w:rPr>
      </w:pPr>
    </w:p>
    <w:p w14:paraId="0000003A" w14:textId="77777777" w:rsidR="007B15C6" w:rsidRDefault="007B15C6">
      <w:pPr>
        <w:shd w:val="clear" w:color="auto" w:fill="FFFFFF"/>
        <w:spacing w:line="480" w:lineRule="auto"/>
        <w:ind w:firstLine="720"/>
        <w:rPr>
          <w:highlight w:val="white"/>
        </w:rPr>
      </w:pPr>
    </w:p>
    <w:p w14:paraId="0000003B" w14:textId="77777777" w:rsidR="007B15C6" w:rsidRDefault="007B15C6">
      <w:pPr>
        <w:shd w:val="clear" w:color="auto" w:fill="FFFFFF"/>
        <w:spacing w:line="480" w:lineRule="auto"/>
        <w:ind w:firstLine="720"/>
        <w:rPr>
          <w:highlight w:val="white"/>
        </w:rPr>
      </w:pPr>
    </w:p>
    <w:p w14:paraId="0000003C" w14:textId="77777777" w:rsidR="007B15C6" w:rsidRDefault="007B15C6">
      <w:pPr>
        <w:shd w:val="clear" w:color="auto" w:fill="FFFFFF"/>
        <w:spacing w:line="480" w:lineRule="auto"/>
        <w:ind w:firstLine="720"/>
        <w:rPr>
          <w:highlight w:val="white"/>
        </w:rPr>
      </w:pPr>
    </w:p>
    <w:p w14:paraId="0000003D" w14:textId="77777777" w:rsidR="007B15C6" w:rsidRDefault="007B15C6">
      <w:pPr>
        <w:shd w:val="clear" w:color="auto" w:fill="FFFFFF"/>
        <w:spacing w:line="480" w:lineRule="auto"/>
        <w:ind w:firstLine="720"/>
        <w:rPr>
          <w:highlight w:val="white"/>
        </w:rPr>
      </w:pPr>
    </w:p>
    <w:p w14:paraId="0000003E" w14:textId="77777777" w:rsidR="007B15C6" w:rsidRDefault="007B15C6">
      <w:pPr>
        <w:shd w:val="clear" w:color="auto" w:fill="FFFFFF"/>
        <w:spacing w:line="480" w:lineRule="auto"/>
        <w:ind w:firstLine="720"/>
        <w:rPr>
          <w:highlight w:val="white"/>
        </w:rPr>
      </w:pPr>
    </w:p>
    <w:p w14:paraId="0000003F"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0"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1"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2"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3"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4"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5"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6"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7" w14:textId="77777777" w:rsidR="007B15C6" w:rsidRDefault="007B15C6">
      <w:pPr>
        <w:shd w:val="clear" w:color="auto" w:fill="FFFFFF"/>
        <w:spacing w:line="480" w:lineRule="auto"/>
        <w:ind w:firstLine="720"/>
        <w:rPr>
          <w:rFonts w:ascii="Arial" w:eastAsia="Arial" w:hAnsi="Arial" w:cs="Arial"/>
          <w:color w:val="222222"/>
          <w:highlight w:val="white"/>
        </w:rPr>
      </w:pPr>
    </w:p>
    <w:p w14:paraId="0000004B" w14:textId="77777777" w:rsidR="007B15C6" w:rsidRPr="00047528" w:rsidRDefault="00000000">
      <w:pPr>
        <w:pStyle w:val="Heading1"/>
        <w:keepNext w:val="0"/>
        <w:keepLines w:val="0"/>
        <w:shd w:val="clear" w:color="auto" w:fill="FFFFFF"/>
        <w:spacing w:after="0" w:line="480" w:lineRule="auto"/>
        <w:ind w:left="0" w:firstLine="720"/>
        <w:rPr>
          <w:rFonts w:ascii="Times New Roman" w:hAnsi="Times New Roman" w:cs="Times New Roman"/>
          <w:color w:val="222222"/>
          <w:sz w:val="24"/>
          <w:szCs w:val="24"/>
          <w:highlight w:val="white"/>
        </w:rPr>
      </w:pPr>
      <w:bookmarkStart w:id="1" w:name="_heading=h.mtdk8tqnmhll" w:colFirst="0" w:colLast="0"/>
      <w:bookmarkEnd w:id="1"/>
      <w:r w:rsidRPr="00047528">
        <w:rPr>
          <w:rFonts w:ascii="Times New Roman" w:hAnsi="Times New Roman" w:cs="Times New Roman"/>
          <w:color w:val="222222"/>
          <w:sz w:val="24"/>
          <w:szCs w:val="24"/>
          <w:highlight w:val="white"/>
        </w:rPr>
        <w:t>References</w:t>
      </w:r>
    </w:p>
    <w:p w14:paraId="59D8602A" w14:textId="6FB4450C" w:rsidR="00047528"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 xml:space="preserve">Asep Afaradi. (2023). Holistic Christian Leadership: The Combination of </w:t>
      </w:r>
    </w:p>
    <w:p w14:paraId="0000004C" w14:textId="3AC40F70" w:rsidR="007B15C6" w:rsidRPr="00047528" w:rsidRDefault="00047528">
      <w:pPr>
        <w:shd w:val="clear" w:color="auto" w:fill="FFFFFF"/>
        <w:spacing w:line="480" w:lineRule="auto"/>
        <w:ind w:left="720"/>
        <w:rPr>
          <w:rFonts w:eastAsia="Arial"/>
          <w:color w:val="222222"/>
          <w:highlight w:val="white"/>
        </w:rPr>
      </w:pPr>
      <w:r w:rsidRPr="00047528">
        <w:rPr>
          <w:rFonts w:eastAsia="Arial"/>
          <w:color w:val="222222"/>
          <w:highlight w:val="white"/>
        </w:rPr>
        <w:tab/>
      </w:r>
      <w:r w:rsidR="00000000" w:rsidRPr="00047528">
        <w:rPr>
          <w:rFonts w:eastAsia="Arial"/>
          <w:color w:val="222222"/>
          <w:highlight w:val="white"/>
        </w:rPr>
        <w:t xml:space="preserve">Orthodoxy, Orthopraxis and Orthopathy. </w:t>
      </w:r>
      <w:r w:rsidR="00000000" w:rsidRPr="00047528">
        <w:rPr>
          <w:rFonts w:eastAsia="Arial"/>
          <w:i/>
          <w:color w:val="222222"/>
          <w:highlight w:val="white"/>
        </w:rPr>
        <w:t xml:space="preserve">Pharos Journal of </w:t>
      </w:r>
      <w:r w:rsidRPr="00047528">
        <w:rPr>
          <w:rFonts w:eastAsia="Arial"/>
          <w:i/>
          <w:color w:val="222222"/>
          <w:highlight w:val="white"/>
        </w:rPr>
        <w:tab/>
      </w:r>
      <w:r w:rsidRPr="00047528">
        <w:rPr>
          <w:rFonts w:eastAsia="Arial"/>
          <w:i/>
          <w:color w:val="222222"/>
          <w:highlight w:val="white"/>
        </w:rPr>
        <w:tab/>
      </w:r>
      <w:r w:rsidRPr="00047528">
        <w:rPr>
          <w:rFonts w:eastAsia="Arial"/>
          <w:i/>
          <w:color w:val="222222"/>
          <w:highlight w:val="white"/>
        </w:rPr>
        <w:tab/>
      </w:r>
      <w:r w:rsidR="00000000" w:rsidRPr="00047528">
        <w:rPr>
          <w:rFonts w:eastAsia="Arial"/>
          <w:i/>
          <w:color w:val="222222"/>
          <w:highlight w:val="white"/>
        </w:rPr>
        <w:t>Theology</w:t>
      </w:r>
      <w:r w:rsidR="00000000" w:rsidRPr="00047528">
        <w:rPr>
          <w:rFonts w:eastAsia="Arial"/>
          <w:color w:val="222222"/>
          <w:highlight w:val="white"/>
        </w:rPr>
        <w:t xml:space="preserve">, </w:t>
      </w:r>
      <w:r w:rsidR="00000000" w:rsidRPr="00047528">
        <w:rPr>
          <w:rFonts w:eastAsia="Arial"/>
          <w:i/>
          <w:color w:val="222222"/>
          <w:highlight w:val="white"/>
        </w:rPr>
        <w:t>104</w:t>
      </w:r>
      <w:r w:rsidR="00000000" w:rsidRPr="00047528">
        <w:rPr>
          <w:rFonts w:eastAsia="Arial"/>
          <w:color w:val="222222"/>
          <w:highlight w:val="white"/>
        </w:rPr>
        <w:t>(104(4)). https://doi.org/10.46222/pharosjot.104.413</w:t>
      </w:r>
    </w:p>
    <w:p w14:paraId="5C622C88" w14:textId="57CC7BBE" w:rsidR="00047528"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Demmrich, S., Ağılkaya-Şahin, Z., &amp; Şenel, A. (2024). Love Thy Neighbor:</w:t>
      </w:r>
    </w:p>
    <w:p w14:paraId="0000004D" w14:textId="2F1AF2E2" w:rsidR="007B15C6" w:rsidRPr="00047528" w:rsidRDefault="00047528">
      <w:pPr>
        <w:shd w:val="clear" w:color="auto" w:fill="FFFFFF"/>
        <w:spacing w:line="480" w:lineRule="auto"/>
        <w:ind w:left="720"/>
        <w:rPr>
          <w:rFonts w:eastAsia="Arial"/>
          <w:color w:val="222222"/>
          <w:highlight w:val="white"/>
        </w:rPr>
      </w:pPr>
      <w:r w:rsidRPr="00047528">
        <w:rPr>
          <w:rFonts w:eastAsia="Arial"/>
          <w:color w:val="222222"/>
          <w:highlight w:val="white"/>
        </w:rPr>
        <w:tab/>
      </w:r>
      <w:r w:rsidR="00000000" w:rsidRPr="00047528">
        <w:rPr>
          <w:rFonts w:eastAsia="Arial"/>
          <w:color w:val="222222"/>
          <w:highlight w:val="white"/>
        </w:rPr>
        <w:t xml:space="preserve"> Exploring Religious and Social Openness among Prospective </w:t>
      </w:r>
      <w:r w:rsidRPr="00047528">
        <w:rPr>
          <w:rFonts w:eastAsia="Arial"/>
          <w:color w:val="222222"/>
          <w:highlight w:val="white"/>
        </w:rPr>
        <w:tab/>
      </w:r>
      <w:r w:rsidRPr="00047528">
        <w:rPr>
          <w:rFonts w:eastAsia="Arial"/>
          <w:color w:val="222222"/>
          <w:highlight w:val="white"/>
        </w:rPr>
        <w:tab/>
      </w:r>
      <w:r w:rsidRPr="00047528">
        <w:rPr>
          <w:rFonts w:eastAsia="Arial"/>
          <w:color w:val="222222"/>
          <w:highlight w:val="white"/>
        </w:rPr>
        <w:tab/>
      </w:r>
      <w:r w:rsidR="00000000" w:rsidRPr="00047528">
        <w:rPr>
          <w:rFonts w:eastAsia="Arial"/>
          <w:color w:val="222222"/>
          <w:highlight w:val="white"/>
        </w:rPr>
        <w:t xml:space="preserve">Theologians in Germany and Turkey. </w:t>
      </w:r>
      <w:r w:rsidR="00000000" w:rsidRPr="00047528">
        <w:rPr>
          <w:rFonts w:eastAsia="Arial"/>
          <w:i/>
          <w:color w:val="222222"/>
          <w:highlight w:val="white"/>
        </w:rPr>
        <w:t>Religions</w:t>
      </w:r>
      <w:r w:rsidR="00000000" w:rsidRPr="00047528">
        <w:rPr>
          <w:rFonts w:eastAsia="Arial"/>
          <w:color w:val="222222"/>
          <w:highlight w:val="white"/>
        </w:rPr>
        <w:t xml:space="preserve">, </w:t>
      </w:r>
      <w:r w:rsidR="00000000" w:rsidRPr="00047528">
        <w:rPr>
          <w:rFonts w:eastAsia="Arial"/>
          <w:i/>
          <w:color w:val="222222"/>
          <w:highlight w:val="white"/>
        </w:rPr>
        <w:t>15</w:t>
      </w:r>
      <w:r w:rsidR="00000000" w:rsidRPr="00047528">
        <w:rPr>
          <w:rFonts w:eastAsia="Arial"/>
          <w:color w:val="222222"/>
          <w:highlight w:val="white"/>
        </w:rPr>
        <w:t xml:space="preserve">(3), 260. </w:t>
      </w:r>
      <w:r w:rsidRPr="00047528">
        <w:rPr>
          <w:rFonts w:eastAsia="Arial"/>
          <w:color w:val="222222"/>
          <w:highlight w:val="white"/>
        </w:rPr>
        <w:tab/>
      </w:r>
      <w:r w:rsidRPr="00047528">
        <w:rPr>
          <w:rFonts w:eastAsia="Arial"/>
          <w:color w:val="222222"/>
          <w:highlight w:val="white"/>
        </w:rPr>
        <w:tab/>
      </w:r>
      <w:r w:rsidRPr="00047528">
        <w:rPr>
          <w:rFonts w:eastAsia="Arial"/>
          <w:color w:val="222222"/>
          <w:highlight w:val="white"/>
        </w:rPr>
        <w:tab/>
      </w:r>
      <w:r w:rsidRPr="00047528">
        <w:rPr>
          <w:rFonts w:eastAsia="Arial"/>
          <w:color w:val="222222"/>
          <w:highlight w:val="white"/>
        </w:rPr>
        <w:tab/>
      </w:r>
      <w:r w:rsidR="00000000" w:rsidRPr="00047528">
        <w:rPr>
          <w:rFonts w:eastAsia="Arial"/>
          <w:color w:val="222222"/>
          <w:highlight w:val="white"/>
        </w:rPr>
        <w:t>https://doi.org/10.3390/rel15030260</w:t>
      </w:r>
    </w:p>
    <w:p w14:paraId="55D18058" w14:textId="5FD78625" w:rsidR="00047528"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 xml:space="preserve">Keathley, K. (2023). The Ethics of Integrating Faith and Science. </w:t>
      </w:r>
      <w:r w:rsidRPr="00047528">
        <w:rPr>
          <w:rFonts w:eastAsia="Arial"/>
          <w:i/>
          <w:color w:val="222222"/>
          <w:highlight w:val="white"/>
        </w:rPr>
        <w:t>Religions</w:t>
      </w:r>
      <w:r w:rsidRPr="00047528">
        <w:rPr>
          <w:rFonts w:eastAsia="Arial"/>
          <w:color w:val="222222"/>
          <w:highlight w:val="white"/>
        </w:rPr>
        <w:t xml:space="preserve">, </w:t>
      </w:r>
    </w:p>
    <w:p w14:paraId="0000004E" w14:textId="61359665" w:rsidR="007B15C6" w:rsidRPr="00047528" w:rsidRDefault="00047528">
      <w:pPr>
        <w:shd w:val="clear" w:color="auto" w:fill="FFFFFF"/>
        <w:spacing w:line="480" w:lineRule="auto"/>
        <w:ind w:left="720"/>
        <w:rPr>
          <w:rFonts w:eastAsia="Arial"/>
          <w:color w:val="222222"/>
          <w:highlight w:val="white"/>
        </w:rPr>
      </w:pPr>
      <w:r w:rsidRPr="00047528">
        <w:rPr>
          <w:rFonts w:eastAsia="Arial"/>
          <w:color w:val="222222"/>
          <w:highlight w:val="white"/>
        </w:rPr>
        <w:tab/>
      </w:r>
      <w:r w:rsidR="00000000" w:rsidRPr="00047528">
        <w:rPr>
          <w:rFonts w:eastAsia="Arial"/>
          <w:i/>
          <w:color w:val="222222"/>
          <w:highlight w:val="white"/>
        </w:rPr>
        <w:t>14</w:t>
      </w:r>
      <w:r w:rsidR="00000000" w:rsidRPr="00047528">
        <w:rPr>
          <w:rFonts w:eastAsia="Arial"/>
          <w:color w:val="222222"/>
          <w:highlight w:val="white"/>
        </w:rPr>
        <w:t>(5), 644–644. https://doi.org/10.3390/rel14050644</w:t>
      </w:r>
    </w:p>
    <w:p w14:paraId="69EE75EC" w14:textId="33EAE5A5" w:rsidR="00047528"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 xml:space="preserve">Nándor Birher. (2025). The Return of the Soul—The Role of Religion in </w:t>
      </w:r>
    </w:p>
    <w:p w14:paraId="0000004F" w14:textId="29A4D778" w:rsidR="007B15C6" w:rsidRPr="00047528" w:rsidRDefault="00047528">
      <w:pPr>
        <w:shd w:val="clear" w:color="auto" w:fill="FFFFFF"/>
        <w:spacing w:line="480" w:lineRule="auto"/>
        <w:ind w:left="720"/>
        <w:rPr>
          <w:rFonts w:eastAsia="Arial"/>
          <w:color w:val="222222"/>
          <w:highlight w:val="white"/>
        </w:rPr>
      </w:pPr>
      <w:r w:rsidRPr="00047528">
        <w:rPr>
          <w:rFonts w:eastAsia="Arial"/>
          <w:color w:val="222222"/>
          <w:highlight w:val="white"/>
        </w:rPr>
        <w:tab/>
      </w:r>
      <w:r w:rsidR="00000000" w:rsidRPr="00047528">
        <w:rPr>
          <w:rFonts w:eastAsia="Arial"/>
          <w:color w:val="222222"/>
          <w:highlight w:val="white"/>
        </w:rPr>
        <w:t xml:space="preserve">Regulating Social Life. </w:t>
      </w:r>
      <w:r w:rsidR="00000000" w:rsidRPr="00047528">
        <w:rPr>
          <w:rFonts w:eastAsia="Arial"/>
          <w:i/>
          <w:color w:val="222222"/>
          <w:highlight w:val="white"/>
        </w:rPr>
        <w:t>Religions</w:t>
      </w:r>
      <w:r w:rsidR="00000000" w:rsidRPr="00047528">
        <w:rPr>
          <w:rFonts w:eastAsia="Arial"/>
          <w:color w:val="222222"/>
          <w:highlight w:val="white"/>
        </w:rPr>
        <w:t xml:space="preserve">, </w:t>
      </w:r>
      <w:r w:rsidR="00000000" w:rsidRPr="00047528">
        <w:rPr>
          <w:rFonts w:eastAsia="Arial"/>
          <w:i/>
          <w:color w:val="222222"/>
          <w:highlight w:val="white"/>
        </w:rPr>
        <w:t>16</w:t>
      </w:r>
      <w:r w:rsidR="00000000" w:rsidRPr="00047528">
        <w:rPr>
          <w:rFonts w:eastAsia="Arial"/>
          <w:color w:val="222222"/>
          <w:highlight w:val="white"/>
        </w:rPr>
        <w:t xml:space="preserve">(2), 252–252. </w:t>
      </w:r>
      <w:r w:rsidRPr="00047528">
        <w:rPr>
          <w:rFonts w:eastAsia="Arial"/>
          <w:color w:val="222222"/>
          <w:highlight w:val="white"/>
        </w:rPr>
        <w:tab/>
      </w:r>
      <w:r w:rsidR="00000000" w:rsidRPr="00047528">
        <w:rPr>
          <w:rFonts w:eastAsia="Arial"/>
          <w:color w:val="222222"/>
          <w:highlight w:val="white"/>
        </w:rPr>
        <w:t>https://doi.org/10.3390/rel16020252</w:t>
      </w:r>
    </w:p>
    <w:p w14:paraId="00000050" w14:textId="77777777" w:rsidR="007B15C6"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 xml:space="preserve">Small, J. L. (2015). </w:t>
      </w:r>
      <w:r w:rsidRPr="00047528">
        <w:rPr>
          <w:rFonts w:eastAsia="Arial"/>
          <w:i/>
          <w:color w:val="222222"/>
          <w:highlight w:val="white"/>
        </w:rPr>
        <w:t>Making Meaning</w:t>
      </w:r>
      <w:r w:rsidRPr="00047528">
        <w:rPr>
          <w:rFonts w:eastAsia="Arial"/>
          <w:color w:val="222222"/>
          <w:highlight w:val="white"/>
        </w:rPr>
        <w:t>. Stylus Publishing, LLC.</w:t>
      </w:r>
    </w:p>
    <w:p w14:paraId="7CC61D2E" w14:textId="71DC9A54" w:rsidR="00047528" w:rsidRPr="00047528" w:rsidRDefault="00000000">
      <w:pPr>
        <w:shd w:val="clear" w:color="auto" w:fill="FFFFFF"/>
        <w:spacing w:line="480" w:lineRule="auto"/>
        <w:ind w:left="720"/>
        <w:rPr>
          <w:rFonts w:eastAsia="Arial"/>
          <w:color w:val="222222"/>
          <w:highlight w:val="white"/>
        </w:rPr>
      </w:pPr>
      <w:r w:rsidRPr="00047528">
        <w:rPr>
          <w:rFonts w:eastAsia="Arial"/>
          <w:color w:val="222222"/>
          <w:highlight w:val="white"/>
        </w:rPr>
        <w:t>Song, W., Pang, B., Wang, Z., Xu, Y., Liu, Z., &amp; Tan, M. (2024). Differentiated</w:t>
      </w:r>
    </w:p>
    <w:p w14:paraId="00000051" w14:textId="7C99A884" w:rsidR="007B15C6" w:rsidRPr="00047528" w:rsidRDefault="00047528">
      <w:pPr>
        <w:shd w:val="clear" w:color="auto" w:fill="FFFFFF"/>
        <w:spacing w:line="480" w:lineRule="auto"/>
        <w:ind w:left="720"/>
        <w:rPr>
          <w:rFonts w:eastAsia="Arial"/>
          <w:color w:val="222222"/>
          <w:highlight w:val="white"/>
        </w:rPr>
      </w:pPr>
      <w:r w:rsidRPr="00047528">
        <w:rPr>
          <w:rFonts w:eastAsia="Arial"/>
          <w:color w:val="222222"/>
          <w:highlight w:val="white"/>
        </w:rPr>
        <w:tab/>
      </w:r>
      <w:r w:rsidR="00000000" w:rsidRPr="00047528">
        <w:rPr>
          <w:rFonts w:eastAsia="Arial"/>
          <w:color w:val="222222"/>
          <w:highlight w:val="white"/>
        </w:rPr>
        <w:t xml:space="preserve">secularism: discourse shaping of immigrants from different religious </w:t>
      </w:r>
      <w:r w:rsidRPr="00047528">
        <w:rPr>
          <w:rFonts w:eastAsia="Arial"/>
          <w:color w:val="222222"/>
          <w:highlight w:val="white"/>
        </w:rPr>
        <w:tab/>
      </w:r>
      <w:r w:rsidR="00000000" w:rsidRPr="00047528">
        <w:rPr>
          <w:rFonts w:eastAsia="Arial"/>
          <w:color w:val="222222"/>
          <w:highlight w:val="white"/>
        </w:rPr>
        <w:t xml:space="preserve">backgrounds in the French media. </w:t>
      </w:r>
      <w:r w:rsidR="00000000" w:rsidRPr="00047528">
        <w:rPr>
          <w:rFonts w:eastAsia="Arial"/>
          <w:i/>
          <w:color w:val="222222"/>
          <w:highlight w:val="white"/>
        </w:rPr>
        <w:t xml:space="preserve">Humanities and Social Sciences </w:t>
      </w:r>
      <w:r w:rsidRPr="00047528">
        <w:rPr>
          <w:rFonts w:eastAsia="Arial"/>
          <w:i/>
          <w:color w:val="222222"/>
          <w:highlight w:val="white"/>
        </w:rPr>
        <w:tab/>
      </w:r>
      <w:r w:rsidR="00000000" w:rsidRPr="00047528">
        <w:rPr>
          <w:rFonts w:eastAsia="Arial"/>
          <w:i/>
          <w:color w:val="222222"/>
          <w:highlight w:val="white"/>
        </w:rPr>
        <w:t>Communications</w:t>
      </w:r>
      <w:r w:rsidR="00000000" w:rsidRPr="00047528">
        <w:rPr>
          <w:rFonts w:eastAsia="Arial"/>
          <w:color w:val="222222"/>
          <w:highlight w:val="white"/>
        </w:rPr>
        <w:t xml:space="preserve">, </w:t>
      </w:r>
      <w:r w:rsidR="00000000" w:rsidRPr="00047528">
        <w:rPr>
          <w:rFonts w:eastAsia="Arial"/>
          <w:i/>
          <w:color w:val="222222"/>
          <w:highlight w:val="white"/>
        </w:rPr>
        <w:t>11</w:t>
      </w:r>
      <w:r w:rsidR="00000000" w:rsidRPr="00047528">
        <w:rPr>
          <w:rFonts w:eastAsia="Arial"/>
          <w:color w:val="222222"/>
          <w:highlight w:val="white"/>
        </w:rPr>
        <w:t>(1). https://doi.org/10.1057/s41599-024-03390-x</w:t>
      </w:r>
    </w:p>
    <w:p w14:paraId="00000052" w14:textId="77777777" w:rsidR="007B15C6" w:rsidRPr="00047528" w:rsidRDefault="007B15C6">
      <w:pPr>
        <w:shd w:val="clear" w:color="auto" w:fill="FFFFFF"/>
        <w:spacing w:line="480" w:lineRule="auto"/>
        <w:ind w:firstLine="720"/>
        <w:rPr>
          <w:rFonts w:eastAsia="Arial"/>
          <w:color w:val="222222"/>
          <w:highlight w:val="white"/>
        </w:rPr>
      </w:pPr>
    </w:p>
    <w:p w14:paraId="00000053" w14:textId="77777777" w:rsidR="007B15C6" w:rsidRPr="00047528" w:rsidRDefault="007B15C6">
      <w:pPr>
        <w:shd w:val="clear" w:color="auto" w:fill="FFFFFF"/>
        <w:spacing w:line="480" w:lineRule="auto"/>
        <w:ind w:firstLine="720"/>
        <w:rPr>
          <w:rFonts w:eastAsia="Arial"/>
          <w:color w:val="222222"/>
          <w:highlight w:val="white"/>
        </w:rPr>
      </w:pPr>
    </w:p>
    <w:p w14:paraId="00000054" w14:textId="77777777" w:rsidR="007B15C6" w:rsidRPr="00047528" w:rsidRDefault="007B15C6">
      <w:pPr>
        <w:shd w:val="clear" w:color="auto" w:fill="FFFFFF"/>
        <w:spacing w:line="480" w:lineRule="auto"/>
        <w:ind w:firstLine="720"/>
        <w:rPr>
          <w:rFonts w:eastAsia="Arial"/>
          <w:color w:val="222222"/>
          <w:highlight w:val="white"/>
        </w:rPr>
      </w:pPr>
    </w:p>
    <w:p w14:paraId="00000055" w14:textId="77777777" w:rsidR="007B15C6" w:rsidRPr="00047528" w:rsidRDefault="007B15C6">
      <w:pPr>
        <w:shd w:val="clear" w:color="auto" w:fill="FFFFFF"/>
        <w:spacing w:line="480" w:lineRule="auto"/>
        <w:ind w:firstLine="720"/>
        <w:rPr>
          <w:rFonts w:eastAsia="Arial"/>
          <w:color w:val="222222"/>
          <w:highlight w:val="white"/>
        </w:rPr>
      </w:pPr>
    </w:p>
    <w:p w14:paraId="00000056" w14:textId="77777777" w:rsidR="007B15C6" w:rsidRPr="00047528" w:rsidRDefault="007B15C6">
      <w:pPr>
        <w:shd w:val="clear" w:color="auto" w:fill="FFFFFF"/>
        <w:spacing w:line="480" w:lineRule="auto"/>
        <w:ind w:firstLine="720"/>
        <w:rPr>
          <w:rFonts w:eastAsia="Arial"/>
          <w:color w:val="222222"/>
          <w:sz w:val="22"/>
          <w:szCs w:val="22"/>
          <w:highlight w:val="white"/>
        </w:rPr>
      </w:pPr>
    </w:p>
    <w:sectPr w:rsidR="007B15C6" w:rsidRPr="0004752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49E9D" w14:textId="77777777" w:rsidR="00307EA1" w:rsidRDefault="00307EA1">
      <w:r>
        <w:separator/>
      </w:r>
    </w:p>
  </w:endnote>
  <w:endnote w:type="continuationSeparator" w:id="0">
    <w:p w14:paraId="2D5D743A" w14:textId="77777777" w:rsidR="00307EA1" w:rsidRDefault="0030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7B15C6" w:rsidRDefault="007B15C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A457E" w14:textId="77777777" w:rsidR="00307EA1" w:rsidRDefault="00307EA1">
      <w:r>
        <w:separator/>
      </w:r>
    </w:p>
  </w:footnote>
  <w:footnote w:type="continuationSeparator" w:id="0">
    <w:p w14:paraId="3044F74B" w14:textId="77777777" w:rsidR="00307EA1" w:rsidRDefault="0030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62519574" w:rsidR="007B15C6"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C. Brian Diggs, PHI 943-12 Orthodoxy and Orthopraxis</w:t>
    </w:r>
    <w:r>
      <w:rPr>
        <w:sz w:val="20"/>
        <w:szCs w:val="20"/>
      </w:rPr>
      <w:t xml:space="preserve">,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Date 04</w:t>
    </w:r>
    <w:r>
      <w:rPr>
        <w:rFonts w:ascii="Arial" w:eastAsia="Arial" w:hAnsi="Arial" w:cs="Arial"/>
        <w:sz w:val="16"/>
        <w:szCs w:val="16"/>
      </w:rPr>
      <w:t>/06/2025</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23B6C">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C6"/>
    <w:rsid w:val="00047528"/>
    <w:rsid w:val="00307EA1"/>
    <w:rsid w:val="007B15C6"/>
    <w:rsid w:val="0089174B"/>
    <w:rsid w:val="00B23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9B37"/>
  <w15:docId w15:val="{DA4E31A5-F400-4DA6-8684-10B3732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FgVBzXoGv5ZlboXJ72IjDS0kg==">CgMxLjAyCGguZ2pkZ3hzMg5oLm10ZGs4dHFubWhsbDIIaC50eWpjd3Q4AHIhMS1vOTlvd1ZiczhINlhrRU9kXy0yUnhJMWpzdnJWRUVo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3</cp:revision>
  <dcterms:created xsi:type="dcterms:W3CDTF">2025-04-01T02:15:00Z</dcterms:created>
  <dcterms:modified xsi:type="dcterms:W3CDTF">2025-04-01T12:09:00Z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