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D27F5" w:rsidRDefault="00AD27F5">
      <w:pPr>
        <w:pBdr>
          <w:top w:val="nil"/>
          <w:left w:val="nil"/>
          <w:bottom w:val="nil"/>
          <w:right w:val="nil"/>
          <w:between w:val="nil"/>
        </w:pBdr>
        <w:rPr>
          <w:color w:val="000000"/>
        </w:rPr>
      </w:pPr>
      <w:bookmarkStart w:id="0" w:name="_heading=h.gjdgxs" w:colFirst="0" w:colLast="0"/>
      <w:bookmarkEnd w:id="0"/>
    </w:p>
    <w:p w14:paraId="00000002" w14:textId="77777777" w:rsidR="00AD27F5" w:rsidRDefault="00AD27F5">
      <w:pPr>
        <w:rPr>
          <w:b/>
        </w:rPr>
      </w:pPr>
    </w:p>
    <w:p w14:paraId="00000003" w14:textId="77777777" w:rsidR="00AD27F5" w:rsidRDefault="00AD27F5">
      <w:pPr>
        <w:rPr>
          <w:b/>
        </w:rPr>
      </w:pPr>
    </w:p>
    <w:p w14:paraId="00000004" w14:textId="77777777" w:rsidR="00AD27F5" w:rsidRDefault="00AD27F5">
      <w:pPr>
        <w:rPr>
          <w:b/>
        </w:rPr>
      </w:pPr>
    </w:p>
    <w:p w14:paraId="00000005" w14:textId="77777777" w:rsidR="00AD27F5" w:rsidRDefault="00AD27F5">
      <w:pPr>
        <w:rPr>
          <w:b/>
        </w:rPr>
      </w:pPr>
    </w:p>
    <w:p w14:paraId="00000006" w14:textId="77777777" w:rsidR="00AD27F5" w:rsidRDefault="00AD27F5">
      <w:pPr>
        <w:rPr>
          <w:b/>
        </w:rPr>
      </w:pPr>
    </w:p>
    <w:p w14:paraId="00000007" w14:textId="77777777" w:rsidR="00AD27F5" w:rsidRDefault="00AD27F5">
      <w:pPr>
        <w:rPr>
          <w:b/>
        </w:rPr>
      </w:pPr>
    </w:p>
    <w:p w14:paraId="00000008" w14:textId="77777777" w:rsidR="00AD27F5" w:rsidRDefault="00AD27F5">
      <w:pPr>
        <w:rPr>
          <w:b/>
        </w:rPr>
      </w:pPr>
    </w:p>
    <w:p w14:paraId="00000009" w14:textId="77777777" w:rsidR="00AD27F5" w:rsidRDefault="00AD27F5">
      <w:pPr>
        <w:rPr>
          <w:b/>
        </w:rPr>
      </w:pPr>
    </w:p>
    <w:p w14:paraId="0000000A" w14:textId="77777777" w:rsidR="00AD27F5" w:rsidRDefault="00AD27F5">
      <w:pPr>
        <w:rPr>
          <w:b/>
        </w:rPr>
      </w:pPr>
    </w:p>
    <w:p w14:paraId="0000000B" w14:textId="77777777" w:rsidR="00AD27F5" w:rsidRDefault="00AD27F5">
      <w:pPr>
        <w:rPr>
          <w:b/>
        </w:rPr>
      </w:pPr>
    </w:p>
    <w:p w14:paraId="0000000C" w14:textId="77777777" w:rsidR="00AD27F5" w:rsidRDefault="00AD27F5">
      <w:pPr>
        <w:rPr>
          <w:b/>
        </w:rPr>
      </w:pPr>
    </w:p>
    <w:p w14:paraId="0000000D" w14:textId="77777777" w:rsidR="00AD27F5" w:rsidRDefault="00AD27F5">
      <w:pPr>
        <w:rPr>
          <w:b/>
        </w:rPr>
      </w:pPr>
    </w:p>
    <w:p w14:paraId="0000000E" w14:textId="77777777" w:rsidR="00AD27F5" w:rsidRDefault="00000000">
      <w:pPr>
        <w:jc w:val="center"/>
      </w:pPr>
      <w:r>
        <w:t>LDR 815-32 Transforming People Problems</w:t>
      </w:r>
    </w:p>
    <w:p w14:paraId="0000000F" w14:textId="77777777" w:rsidR="00AD27F5" w:rsidRDefault="00AD27F5">
      <w:pPr>
        <w:jc w:val="center"/>
      </w:pPr>
    </w:p>
    <w:p w14:paraId="00000010" w14:textId="77777777" w:rsidR="00AD27F5" w:rsidRDefault="00000000">
      <w:pPr>
        <w:jc w:val="center"/>
      </w:pPr>
      <w:r>
        <w:t>C. Brian Diggs</w:t>
      </w:r>
    </w:p>
    <w:p w14:paraId="00000011" w14:textId="77777777" w:rsidR="00AD27F5" w:rsidRDefault="00AD27F5">
      <w:pPr>
        <w:jc w:val="center"/>
      </w:pPr>
    </w:p>
    <w:p w14:paraId="00000012" w14:textId="77777777" w:rsidR="00AD27F5" w:rsidRDefault="00000000">
      <w:pPr>
        <w:jc w:val="center"/>
      </w:pPr>
      <w:r>
        <w:t>Omega Graduate School</w:t>
      </w:r>
    </w:p>
    <w:p w14:paraId="00000013" w14:textId="77777777" w:rsidR="00AD27F5" w:rsidRDefault="00AD27F5">
      <w:pPr>
        <w:jc w:val="center"/>
      </w:pPr>
    </w:p>
    <w:p w14:paraId="00000014" w14:textId="3BA9739B" w:rsidR="00AD27F5" w:rsidRDefault="00000000">
      <w:pPr>
        <w:jc w:val="center"/>
      </w:pPr>
      <w:r>
        <w:t>Date: January 2</w:t>
      </w:r>
      <w:r w:rsidR="00152196">
        <w:t>6</w:t>
      </w:r>
      <w:r>
        <w:t>, 2025</w:t>
      </w:r>
    </w:p>
    <w:p w14:paraId="00000015" w14:textId="77777777" w:rsidR="00AD27F5" w:rsidRDefault="00AD27F5">
      <w:pPr>
        <w:jc w:val="center"/>
      </w:pPr>
    </w:p>
    <w:p w14:paraId="00000016" w14:textId="77777777" w:rsidR="00AD27F5" w:rsidRDefault="00AD27F5">
      <w:pPr>
        <w:jc w:val="center"/>
      </w:pPr>
    </w:p>
    <w:p w14:paraId="00000017" w14:textId="77777777" w:rsidR="00AD27F5" w:rsidRDefault="00AD27F5">
      <w:pPr>
        <w:jc w:val="center"/>
      </w:pPr>
    </w:p>
    <w:p w14:paraId="00000018" w14:textId="77777777" w:rsidR="00AD27F5" w:rsidRDefault="00AD27F5">
      <w:pPr>
        <w:jc w:val="center"/>
      </w:pPr>
    </w:p>
    <w:p w14:paraId="00000019" w14:textId="77777777" w:rsidR="00AD27F5" w:rsidRDefault="00AD27F5">
      <w:pPr>
        <w:jc w:val="center"/>
      </w:pPr>
    </w:p>
    <w:p w14:paraId="0000001A" w14:textId="77777777" w:rsidR="00AD27F5" w:rsidRDefault="00000000">
      <w:pPr>
        <w:jc w:val="center"/>
      </w:pPr>
      <w:r>
        <w:t>Professor</w:t>
      </w:r>
    </w:p>
    <w:p w14:paraId="0000001B" w14:textId="77777777" w:rsidR="00AD27F5" w:rsidRDefault="00AD27F5">
      <w:pPr>
        <w:jc w:val="center"/>
      </w:pPr>
    </w:p>
    <w:p w14:paraId="0000001C" w14:textId="77777777" w:rsidR="00AD27F5" w:rsidRDefault="00AD27F5">
      <w:pPr>
        <w:jc w:val="center"/>
      </w:pPr>
    </w:p>
    <w:p w14:paraId="0000001D" w14:textId="77777777" w:rsidR="00AD27F5" w:rsidRDefault="00000000">
      <w:pPr>
        <w:jc w:val="center"/>
      </w:pPr>
      <w:r>
        <w:t>Brenda Davis, Ph.D.</w:t>
      </w:r>
    </w:p>
    <w:p w14:paraId="0000001E" w14:textId="77777777" w:rsidR="00AD27F5" w:rsidRDefault="00000000">
      <w:pPr>
        <w:jc w:val="center"/>
        <w:rPr>
          <w:b/>
        </w:rPr>
      </w:pPr>
      <w:r>
        <w:br w:type="page"/>
      </w:r>
    </w:p>
    <w:p w14:paraId="0000001F" w14:textId="77777777" w:rsidR="00AD27F5" w:rsidRDefault="00000000">
      <w:pPr>
        <w:spacing w:line="480" w:lineRule="auto"/>
      </w:pPr>
      <w:r>
        <w:lastRenderedPageBreak/>
        <w:t xml:space="preserve">Assignment #1 – Core Essential Elements </w:t>
      </w:r>
    </w:p>
    <w:p w14:paraId="00000020" w14:textId="77777777" w:rsidR="00AD27F5" w:rsidRDefault="00000000">
      <w:pPr>
        <w:spacing w:line="480" w:lineRule="auto"/>
      </w:pPr>
      <w:r>
        <w:t>1. Select One (1) Core Essential Element from the Syllabus Outline:</w:t>
      </w:r>
    </w:p>
    <w:p w14:paraId="00000021" w14:textId="77777777" w:rsidR="00AD27F5" w:rsidRDefault="00000000">
      <w:pPr>
        <w:spacing w:line="480" w:lineRule="auto"/>
        <w:ind w:firstLine="720"/>
      </w:pPr>
      <w:r>
        <w:t xml:space="preserve"> a. Create a 350-word original discussion paper (with cited sources) during the week of the residency. Be prepared to discuss and engage with other students during the live sessions. Post this document in DIAL. </w:t>
      </w:r>
    </w:p>
    <w:p w14:paraId="00000022" w14:textId="77777777" w:rsidR="00AD27F5" w:rsidRDefault="00000000">
      <w:pPr>
        <w:spacing w:line="480" w:lineRule="auto"/>
        <w:ind w:firstLine="720"/>
      </w:pPr>
      <w:r>
        <w:t xml:space="preserve">b. Professor will check for quality of content and word-count requirements. </w:t>
      </w:r>
      <w:proofErr w:type="gramStart"/>
      <w:r>
        <w:t>Grade</w:t>
      </w:r>
      <w:proofErr w:type="gramEnd"/>
      <w:r>
        <w:t xml:space="preserve"> assigned will be Credit or No Credit (CR/NC).</w:t>
      </w:r>
    </w:p>
    <w:p w14:paraId="00000023" w14:textId="77777777" w:rsidR="00AD27F5" w:rsidRDefault="00AD27F5">
      <w:pPr>
        <w:spacing w:line="480" w:lineRule="auto"/>
        <w:rPr>
          <w:b/>
        </w:rPr>
      </w:pPr>
    </w:p>
    <w:p w14:paraId="00000024" w14:textId="77777777" w:rsidR="00AD27F5" w:rsidRDefault="00AD27F5">
      <w:pPr>
        <w:spacing w:line="480" w:lineRule="auto"/>
        <w:rPr>
          <w:b/>
        </w:rPr>
      </w:pPr>
    </w:p>
    <w:p w14:paraId="00000025" w14:textId="77777777" w:rsidR="00AD27F5" w:rsidRDefault="00AD27F5">
      <w:pPr>
        <w:spacing w:line="480" w:lineRule="auto"/>
        <w:rPr>
          <w:b/>
        </w:rPr>
      </w:pPr>
    </w:p>
    <w:p w14:paraId="00000026" w14:textId="77777777" w:rsidR="00AD27F5" w:rsidRDefault="00AD27F5">
      <w:pPr>
        <w:spacing w:line="480" w:lineRule="auto"/>
        <w:rPr>
          <w:b/>
        </w:rPr>
      </w:pPr>
    </w:p>
    <w:p w14:paraId="00000027" w14:textId="77777777" w:rsidR="00AD27F5" w:rsidRDefault="00AD27F5">
      <w:pPr>
        <w:spacing w:line="480" w:lineRule="auto"/>
        <w:rPr>
          <w:b/>
        </w:rPr>
      </w:pPr>
    </w:p>
    <w:p w14:paraId="00000028" w14:textId="77777777" w:rsidR="00AD27F5" w:rsidRDefault="00AD27F5">
      <w:pPr>
        <w:spacing w:line="480" w:lineRule="auto"/>
        <w:rPr>
          <w:b/>
        </w:rPr>
      </w:pPr>
    </w:p>
    <w:p w14:paraId="00000029" w14:textId="77777777" w:rsidR="00AD27F5" w:rsidRDefault="00AD27F5">
      <w:pPr>
        <w:spacing w:line="480" w:lineRule="auto"/>
        <w:rPr>
          <w:b/>
        </w:rPr>
      </w:pPr>
    </w:p>
    <w:p w14:paraId="0000002A" w14:textId="77777777" w:rsidR="00AD27F5" w:rsidRDefault="00AD27F5">
      <w:pPr>
        <w:spacing w:line="480" w:lineRule="auto"/>
        <w:rPr>
          <w:b/>
        </w:rPr>
      </w:pPr>
    </w:p>
    <w:p w14:paraId="0000002B" w14:textId="77777777" w:rsidR="00AD27F5" w:rsidRDefault="00AD27F5">
      <w:pPr>
        <w:spacing w:line="480" w:lineRule="auto"/>
        <w:rPr>
          <w:b/>
        </w:rPr>
      </w:pPr>
    </w:p>
    <w:p w14:paraId="0000002C" w14:textId="77777777" w:rsidR="00AD27F5" w:rsidRDefault="00AD27F5">
      <w:pPr>
        <w:spacing w:line="480" w:lineRule="auto"/>
        <w:rPr>
          <w:b/>
        </w:rPr>
      </w:pPr>
    </w:p>
    <w:p w14:paraId="0000002D" w14:textId="77777777" w:rsidR="00AD27F5" w:rsidRDefault="00AD27F5">
      <w:pPr>
        <w:spacing w:line="480" w:lineRule="auto"/>
        <w:rPr>
          <w:b/>
        </w:rPr>
      </w:pPr>
    </w:p>
    <w:p w14:paraId="0000002E" w14:textId="77777777" w:rsidR="00AD27F5" w:rsidRDefault="00AD27F5">
      <w:pPr>
        <w:spacing w:line="480" w:lineRule="auto"/>
        <w:rPr>
          <w:b/>
        </w:rPr>
      </w:pPr>
    </w:p>
    <w:p w14:paraId="0000002F" w14:textId="77777777" w:rsidR="00AD27F5" w:rsidRDefault="00AD27F5">
      <w:pPr>
        <w:spacing w:line="480" w:lineRule="auto"/>
        <w:rPr>
          <w:b/>
        </w:rPr>
      </w:pPr>
    </w:p>
    <w:p w14:paraId="00000030" w14:textId="77777777" w:rsidR="00AD27F5" w:rsidRDefault="00AD27F5">
      <w:pPr>
        <w:spacing w:line="480" w:lineRule="auto"/>
        <w:rPr>
          <w:b/>
        </w:rPr>
      </w:pPr>
    </w:p>
    <w:p w14:paraId="00000031" w14:textId="77777777" w:rsidR="00AD27F5" w:rsidRDefault="00AD27F5">
      <w:pPr>
        <w:spacing w:line="480" w:lineRule="auto"/>
        <w:rPr>
          <w:b/>
        </w:rPr>
      </w:pPr>
    </w:p>
    <w:p w14:paraId="00000032" w14:textId="77777777" w:rsidR="00AD27F5" w:rsidRDefault="00AD27F5">
      <w:pPr>
        <w:spacing w:line="480" w:lineRule="auto"/>
        <w:rPr>
          <w:b/>
        </w:rPr>
      </w:pPr>
    </w:p>
    <w:p w14:paraId="00000033" w14:textId="77777777" w:rsidR="00AD27F5" w:rsidRDefault="00AD27F5">
      <w:pPr>
        <w:shd w:val="clear" w:color="auto" w:fill="FFFFFF"/>
        <w:spacing w:line="480" w:lineRule="auto"/>
        <w:ind w:firstLine="720"/>
        <w:rPr>
          <w:b/>
        </w:rPr>
      </w:pPr>
    </w:p>
    <w:p w14:paraId="00000034" w14:textId="77777777" w:rsidR="00AD27F5" w:rsidRDefault="00000000">
      <w:pPr>
        <w:shd w:val="clear" w:color="auto" w:fill="FFFFFF"/>
        <w:spacing w:line="480" w:lineRule="auto"/>
        <w:ind w:firstLine="720"/>
        <w:rPr>
          <w:highlight w:val="white"/>
        </w:rPr>
      </w:pPr>
      <w:r>
        <w:rPr>
          <w:color w:val="222222"/>
          <w:highlight w:val="white"/>
        </w:rPr>
        <w:t xml:space="preserve">Communication and conflict resolution are necessary components of healthy relationships. The definition of communication is the process of exchanging information between individuals or groups. </w:t>
      </w:r>
      <w:r>
        <w:rPr>
          <w:highlight w:val="white"/>
        </w:rPr>
        <w:t>As such, everything perceived as meaningful is reducible to the message; thus, effective communication means merely finding the right message (Macke, 2024).  Conflict resolution can be defined as the process that two or more parties use to find a peaceful resolution. However, sometimes, in conflict resolution, parties will agree to disagree. For decades, the dominant curricular theme of undergraduate academic work in Communication has been, by and large, toward the achievement of communication competency or communicative effectiveness (Macke, 2024).</w:t>
      </w:r>
    </w:p>
    <w:p w14:paraId="00000035" w14:textId="2AEB926C" w:rsidR="00AD27F5" w:rsidRDefault="00000000">
      <w:pPr>
        <w:shd w:val="clear" w:color="auto" w:fill="FFFFFF"/>
        <w:spacing w:line="480" w:lineRule="auto"/>
        <w:ind w:firstLine="720"/>
        <w:rPr>
          <w:highlight w:val="white"/>
        </w:rPr>
      </w:pPr>
      <w:r>
        <w:rPr>
          <w:highlight w:val="white"/>
        </w:rPr>
        <w:t xml:space="preserve">Communication and conflict resolution are necessary in law enforcement to maintain public safety, build community trust, and ensure effective agency operations. This process begins on the first day of the academy and continues throughout our careers. Unlike in the </w:t>
      </w:r>
      <w:r w:rsidR="00152196">
        <w:rPr>
          <w:highlight w:val="white"/>
        </w:rPr>
        <w:t>public</w:t>
      </w:r>
      <w:r>
        <w:rPr>
          <w:highlight w:val="white"/>
        </w:rPr>
        <w:t xml:space="preserve"> and most professions, communication and conflict resolution in law enforcement can be life-or-death situations. Some key techniques that can foster a positive outcome when communicating with others are active listening, </w:t>
      </w:r>
      <w:r w:rsidR="00152196">
        <w:rPr>
          <w:highlight w:val="white"/>
        </w:rPr>
        <w:t>show</w:t>
      </w:r>
      <w:r>
        <w:rPr>
          <w:highlight w:val="white"/>
        </w:rPr>
        <w:t xml:space="preserve"> empathy, being clear and concise, and being aware of cultural considerations.</w:t>
      </w:r>
    </w:p>
    <w:p w14:paraId="00000036" w14:textId="77777777" w:rsidR="00AD27F5" w:rsidRDefault="00000000">
      <w:pPr>
        <w:shd w:val="clear" w:color="auto" w:fill="FFFFFF"/>
        <w:spacing w:line="480" w:lineRule="auto"/>
        <w:ind w:firstLine="720"/>
        <w:rPr>
          <w:highlight w:val="white"/>
        </w:rPr>
      </w:pPr>
      <w:r>
        <w:rPr>
          <w:highlight w:val="white"/>
        </w:rPr>
        <w:t>In their daily work, police officers are often confronted with complex situations such as the usage of a shooting weapon by suspects, the involvement with vulnerable groups such as children, and factors such as stress and time pressure can pose great challenges to police officers (</w:t>
      </w:r>
      <w:proofErr w:type="spellStart"/>
      <w:r>
        <w:rPr>
          <w:highlight w:val="white"/>
        </w:rPr>
        <w:t>Murtinger</w:t>
      </w:r>
      <w:proofErr w:type="spellEnd"/>
      <w:r>
        <w:rPr>
          <w:highlight w:val="white"/>
        </w:rPr>
        <w:t xml:space="preserve"> et al., 2024). Therefore, adequate communication skills are an essential safety resource for police officers and can significantly reduce the risk for police officers during their missions (</w:t>
      </w:r>
      <w:proofErr w:type="spellStart"/>
      <w:r>
        <w:rPr>
          <w:highlight w:val="white"/>
        </w:rPr>
        <w:t>Murtinger</w:t>
      </w:r>
      <w:proofErr w:type="spellEnd"/>
      <w:r>
        <w:rPr>
          <w:highlight w:val="white"/>
        </w:rPr>
        <w:t xml:space="preserve"> et al., 2024). Inadequate or misused communication can trigger serious conflicts (</w:t>
      </w:r>
      <w:proofErr w:type="spellStart"/>
      <w:r>
        <w:rPr>
          <w:highlight w:val="white"/>
        </w:rPr>
        <w:t>Murtinger</w:t>
      </w:r>
      <w:proofErr w:type="spellEnd"/>
      <w:r>
        <w:rPr>
          <w:highlight w:val="white"/>
        </w:rPr>
        <w:t xml:space="preserve"> et al., 2024). Police response teams are often the first on the scene and are confronted with complex and potentially dangerous situations with a high potential for conflict. The ability to communicate in a targeted manner can have a far-reaching influence on the quality and outcome of operations (</w:t>
      </w:r>
      <w:proofErr w:type="spellStart"/>
      <w:r>
        <w:rPr>
          <w:highlight w:val="white"/>
        </w:rPr>
        <w:t>Murtinger</w:t>
      </w:r>
      <w:proofErr w:type="spellEnd"/>
      <w:r>
        <w:rPr>
          <w:highlight w:val="white"/>
        </w:rPr>
        <w:t xml:space="preserve"> et al., 2024). </w:t>
      </w:r>
    </w:p>
    <w:p w14:paraId="00000037" w14:textId="77777777" w:rsidR="00AD27F5" w:rsidRDefault="00000000">
      <w:pPr>
        <w:shd w:val="clear" w:color="auto" w:fill="FFFFFF"/>
        <w:spacing w:line="480" w:lineRule="auto"/>
        <w:ind w:firstLine="720"/>
        <w:rPr>
          <w:highlight w:val="white"/>
        </w:rPr>
      </w:pPr>
      <w:r>
        <w:rPr>
          <w:highlight w:val="white"/>
        </w:rPr>
        <w:t>The Bible provides instructions for successfully resolving communication and conflict. Ephesians 4:25 encourages believers to speak truthfully to their neighbor in all communications (</w:t>
      </w:r>
      <w:r>
        <w:rPr>
          <w:i/>
          <w:highlight w:val="white"/>
        </w:rPr>
        <w:t>NIV Bible</w:t>
      </w:r>
      <w:r>
        <w:rPr>
          <w:highlight w:val="white"/>
        </w:rPr>
        <w:t>, 2011). James 1:19 advises believers to be quick to listen and slow to speak and become angry, promoting the idea that effective communication starts with active listening (</w:t>
      </w:r>
      <w:r>
        <w:rPr>
          <w:i/>
          <w:highlight w:val="white"/>
        </w:rPr>
        <w:t>NIV Bible</w:t>
      </w:r>
      <w:r>
        <w:rPr>
          <w:highlight w:val="white"/>
        </w:rPr>
        <w:t>, 2011).</w:t>
      </w:r>
    </w:p>
    <w:p w14:paraId="00000038" w14:textId="77777777" w:rsidR="00AD27F5" w:rsidRDefault="00000000">
      <w:pPr>
        <w:shd w:val="clear" w:color="auto" w:fill="FFFFFF"/>
        <w:spacing w:line="480" w:lineRule="auto"/>
        <w:ind w:firstLine="720"/>
        <w:rPr>
          <w:highlight w:val="white"/>
        </w:rPr>
      </w:pPr>
      <w:r>
        <w:rPr>
          <w:highlight w:val="white"/>
        </w:rPr>
        <w:t xml:space="preserve">Law enforcement agencies can build stronger community relationships by prioritizing effective communication and conflict resolution.  Remembering the importance of God’s word and aligning communication conflict resolution with our faith will develop healthier relationships. </w:t>
      </w:r>
    </w:p>
    <w:p w14:paraId="00000039" w14:textId="77777777" w:rsidR="00AD27F5" w:rsidRDefault="00AD27F5">
      <w:pPr>
        <w:shd w:val="clear" w:color="auto" w:fill="FFFFFF"/>
        <w:spacing w:line="480" w:lineRule="auto"/>
        <w:ind w:firstLine="720"/>
        <w:rPr>
          <w:highlight w:val="white"/>
        </w:rPr>
      </w:pPr>
    </w:p>
    <w:p w14:paraId="0000003A" w14:textId="77777777" w:rsidR="00AD27F5" w:rsidRDefault="00AD27F5">
      <w:pPr>
        <w:shd w:val="clear" w:color="auto" w:fill="FFFFFF"/>
        <w:spacing w:line="480" w:lineRule="auto"/>
        <w:ind w:firstLine="720"/>
        <w:rPr>
          <w:highlight w:val="white"/>
        </w:rPr>
      </w:pPr>
    </w:p>
    <w:p w14:paraId="0000003B" w14:textId="77777777" w:rsidR="00AD27F5" w:rsidRDefault="00AD27F5">
      <w:pPr>
        <w:shd w:val="clear" w:color="auto" w:fill="FFFFFF"/>
        <w:spacing w:line="480" w:lineRule="auto"/>
        <w:ind w:firstLine="720"/>
        <w:rPr>
          <w:highlight w:val="white"/>
        </w:rPr>
      </w:pPr>
    </w:p>
    <w:p w14:paraId="0000003C" w14:textId="77777777" w:rsidR="00AD27F5" w:rsidRDefault="00AD27F5">
      <w:pPr>
        <w:shd w:val="clear" w:color="auto" w:fill="FFFFFF"/>
        <w:spacing w:line="480" w:lineRule="auto"/>
        <w:ind w:firstLine="720"/>
        <w:rPr>
          <w:highlight w:val="white"/>
        </w:rPr>
      </w:pPr>
    </w:p>
    <w:p w14:paraId="0000003D" w14:textId="77777777" w:rsidR="00AD27F5" w:rsidRDefault="00AD27F5">
      <w:pPr>
        <w:shd w:val="clear" w:color="auto" w:fill="FFFFFF"/>
        <w:spacing w:line="480" w:lineRule="auto"/>
        <w:ind w:firstLine="720"/>
        <w:rPr>
          <w:highlight w:val="white"/>
        </w:rPr>
      </w:pPr>
    </w:p>
    <w:p w14:paraId="0000003E" w14:textId="77777777" w:rsidR="00AD27F5" w:rsidRDefault="00AD27F5">
      <w:pPr>
        <w:shd w:val="clear" w:color="auto" w:fill="FFFFFF"/>
        <w:spacing w:line="480" w:lineRule="auto"/>
        <w:ind w:firstLine="720"/>
        <w:rPr>
          <w:highlight w:val="white"/>
        </w:rPr>
      </w:pPr>
    </w:p>
    <w:p w14:paraId="0000003F" w14:textId="77777777" w:rsidR="00AD27F5" w:rsidRDefault="00AD27F5">
      <w:pPr>
        <w:shd w:val="clear" w:color="auto" w:fill="FFFFFF"/>
        <w:spacing w:line="480" w:lineRule="auto"/>
        <w:ind w:firstLine="720"/>
        <w:rPr>
          <w:highlight w:val="white"/>
        </w:rPr>
      </w:pPr>
    </w:p>
    <w:p w14:paraId="00000040" w14:textId="77777777" w:rsidR="00AD27F5" w:rsidRDefault="00AD27F5">
      <w:pPr>
        <w:shd w:val="clear" w:color="auto" w:fill="FFFFFF"/>
        <w:spacing w:line="480" w:lineRule="auto"/>
        <w:ind w:firstLine="720"/>
        <w:rPr>
          <w:highlight w:val="white"/>
        </w:rPr>
      </w:pPr>
    </w:p>
    <w:p w14:paraId="00000041" w14:textId="77777777" w:rsidR="00AD27F5" w:rsidRDefault="00AD27F5">
      <w:pPr>
        <w:shd w:val="clear" w:color="auto" w:fill="FFFFFF"/>
        <w:spacing w:line="480" w:lineRule="auto"/>
        <w:ind w:firstLine="720"/>
        <w:rPr>
          <w:highlight w:val="white"/>
        </w:rPr>
      </w:pPr>
    </w:p>
    <w:p w14:paraId="00000042" w14:textId="77777777" w:rsidR="00AD27F5" w:rsidRDefault="00AD27F5">
      <w:pPr>
        <w:shd w:val="clear" w:color="auto" w:fill="FFFFFF"/>
        <w:spacing w:line="480" w:lineRule="auto"/>
        <w:ind w:firstLine="720"/>
        <w:rPr>
          <w:highlight w:val="white"/>
        </w:rPr>
      </w:pPr>
    </w:p>
    <w:p w14:paraId="00000043" w14:textId="77777777" w:rsidR="00AD27F5" w:rsidRDefault="00000000">
      <w:pPr>
        <w:pStyle w:val="Heading1"/>
        <w:keepNext w:val="0"/>
        <w:keepLines w:val="0"/>
        <w:shd w:val="clear" w:color="auto" w:fill="FFFFFF"/>
        <w:spacing w:after="0" w:line="480" w:lineRule="auto"/>
        <w:ind w:left="0" w:firstLine="720"/>
        <w:rPr>
          <w:rFonts w:ascii="Times New Roman" w:eastAsia="Times New Roman" w:hAnsi="Times New Roman" w:cs="Times New Roman"/>
          <w:sz w:val="24"/>
          <w:szCs w:val="24"/>
          <w:highlight w:val="white"/>
        </w:rPr>
      </w:pPr>
      <w:bookmarkStart w:id="1" w:name="_heading=h.prarodxxd291" w:colFirst="0" w:colLast="0"/>
      <w:bookmarkEnd w:id="1"/>
      <w:r>
        <w:rPr>
          <w:rFonts w:ascii="Times New Roman" w:eastAsia="Times New Roman" w:hAnsi="Times New Roman" w:cs="Times New Roman"/>
          <w:sz w:val="24"/>
          <w:szCs w:val="24"/>
          <w:highlight w:val="white"/>
        </w:rPr>
        <w:t>References</w:t>
      </w:r>
    </w:p>
    <w:p w14:paraId="2FF27AD0" w14:textId="2DB1511D" w:rsidR="00152196" w:rsidRDefault="00000000">
      <w:pPr>
        <w:shd w:val="clear" w:color="auto" w:fill="FFFFFF"/>
        <w:spacing w:line="480" w:lineRule="auto"/>
        <w:ind w:left="720"/>
        <w:rPr>
          <w:highlight w:val="white"/>
        </w:rPr>
      </w:pPr>
      <w:r>
        <w:rPr>
          <w:highlight w:val="white"/>
        </w:rPr>
        <w:t xml:space="preserve">Dehan Elcin, Velasquez, M., &amp; Colombo, P. J. (2024). Effects of acute and long-term </w:t>
      </w:r>
    </w:p>
    <w:p w14:paraId="00000044" w14:textId="1942BA51" w:rsidR="00AD27F5" w:rsidRDefault="00000000" w:rsidP="00152196">
      <w:pPr>
        <w:shd w:val="clear" w:color="auto" w:fill="FFFFFF"/>
        <w:spacing w:line="480" w:lineRule="auto"/>
        <w:ind w:left="1440"/>
        <w:rPr>
          <w:highlight w:val="white"/>
        </w:rPr>
      </w:pPr>
      <w:r>
        <w:rPr>
          <w:highlight w:val="white"/>
        </w:rPr>
        <w:t xml:space="preserve">mindfulness on neural activity and the conflict resolution component of attention. </w:t>
      </w:r>
      <w:r>
        <w:rPr>
          <w:i/>
          <w:highlight w:val="white"/>
        </w:rPr>
        <w:t>Frontiers in Human Neuroscience</w:t>
      </w:r>
      <w:r>
        <w:rPr>
          <w:highlight w:val="white"/>
        </w:rPr>
        <w:t xml:space="preserve">, </w:t>
      </w:r>
      <w:r>
        <w:rPr>
          <w:i/>
          <w:highlight w:val="white"/>
        </w:rPr>
        <w:t>18</w:t>
      </w:r>
      <w:r>
        <w:rPr>
          <w:highlight w:val="white"/>
        </w:rPr>
        <w:t>. https://doi.org/10.3389/fnhum.2024.1359198</w:t>
      </w:r>
    </w:p>
    <w:p w14:paraId="4E0B2F62" w14:textId="77D692FA" w:rsidR="00152196" w:rsidRDefault="00000000">
      <w:pPr>
        <w:shd w:val="clear" w:color="auto" w:fill="FFFFFF"/>
        <w:spacing w:line="480" w:lineRule="auto"/>
        <w:ind w:left="720"/>
        <w:rPr>
          <w:highlight w:val="white"/>
        </w:rPr>
      </w:pPr>
      <w:r>
        <w:rPr>
          <w:highlight w:val="white"/>
        </w:rPr>
        <w:t xml:space="preserve">Macke, F. J. (2024). The Evanescence of Ritual and Its Consequences: Reflections on the </w:t>
      </w:r>
    </w:p>
    <w:p w14:paraId="00000045" w14:textId="1D5481FB" w:rsidR="00AD27F5" w:rsidRDefault="00000000" w:rsidP="00152196">
      <w:pPr>
        <w:shd w:val="clear" w:color="auto" w:fill="FFFFFF"/>
        <w:spacing w:line="480" w:lineRule="auto"/>
        <w:ind w:left="1440"/>
        <w:rPr>
          <w:highlight w:val="white"/>
        </w:rPr>
      </w:pPr>
      <w:r>
        <w:rPr>
          <w:highlight w:val="white"/>
        </w:rPr>
        <w:t xml:space="preserve">Phenomenology of Human Communication in the Rise of Cybernetic Culture. </w:t>
      </w:r>
      <w:r>
        <w:rPr>
          <w:i/>
          <w:highlight w:val="white"/>
        </w:rPr>
        <w:t>Philosophies</w:t>
      </w:r>
      <w:r>
        <w:rPr>
          <w:highlight w:val="white"/>
        </w:rPr>
        <w:t xml:space="preserve">, </w:t>
      </w:r>
      <w:r>
        <w:rPr>
          <w:i/>
          <w:highlight w:val="white"/>
        </w:rPr>
        <w:t>9</w:t>
      </w:r>
      <w:r>
        <w:rPr>
          <w:highlight w:val="white"/>
        </w:rPr>
        <w:t>(5), 149. https://doi.org/10.3390/philosophies9050149</w:t>
      </w:r>
    </w:p>
    <w:p w14:paraId="69F8D6B1" w14:textId="673D02E2" w:rsidR="00001AC4" w:rsidRDefault="00000000">
      <w:pPr>
        <w:shd w:val="clear" w:color="auto" w:fill="FFFFFF"/>
        <w:spacing w:line="480" w:lineRule="auto"/>
        <w:ind w:left="720"/>
        <w:rPr>
          <w:highlight w:val="white"/>
        </w:rPr>
      </w:pPr>
      <w:proofErr w:type="spellStart"/>
      <w:r>
        <w:rPr>
          <w:highlight w:val="white"/>
        </w:rPr>
        <w:t>Murtinger</w:t>
      </w:r>
      <w:proofErr w:type="spellEnd"/>
      <w:r>
        <w:rPr>
          <w:highlight w:val="white"/>
        </w:rPr>
        <w:t xml:space="preserve">, M., Jakob Carl Uhl, Lisa Maria </w:t>
      </w:r>
      <w:proofErr w:type="spellStart"/>
      <w:r>
        <w:rPr>
          <w:highlight w:val="white"/>
        </w:rPr>
        <w:t>Atzmüller</w:t>
      </w:r>
      <w:proofErr w:type="spellEnd"/>
      <w:r>
        <w:rPr>
          <w:highlight w:val="white"/>
        </w:rPr>
        <w:t xml:space="preserve">, Regal, G., &amp; </w:t>
      </w:r>
      <w:proofErr w:type="spellStart"/>
      <w:r>
        <w:rPr>
          <w:highlight w:val="white"/>
        </w:rPr>
        <w:t>Roither</w:t>
      </w:r>
      <w:proofErr w:type="spellEnd"/>
      <w:r>
        <w:rPr>
          <w:highlight w:val="white"/>
        </w:rPr>
        <w:t xml:space="preserve">, M. (2024). </w:t>
      </w:r>
    </w:p>
    <w:p w14:paraId="00000046" w14:textId="1C5AFF17" w:rsidR="00AD27F5" w:rsidRDefault="00000000" w:rsidP="00001AC4">
      <w:pPr>
        <w:shd w:val="clear" w:color="auto" w:fill="FFFFFF"/>
        <w:spacing w:line="480" w:lineRule="auto"/>
        <w:ind w:left="1440"/>
        <w:rPr>
          <w:highlight w:val="white"/>
        </w:rPr>
      </w:pPr>
      <w:r>
        <w:rPr>
          <w:highlight w:val="white"/>
        </w:rPr>
        <w:t xml:space="preserve">Sound of the Police—Virtual Reality Training for Police Communication for High-Stress Operations. </w:t>
      </w:r>
      <w:r>
        <w:rPr>
          <w:i/>
          <w:highlight w:val="white"/>
        </w:rPr>
        <w:t>Multimodal Technologies and Interaction</w:t>
      </w:r>
      <w:r>
        <w:rPr>
          <w:highlight w:val="white"/>
        </w:rPr>
        <w:t xml:space="preserve">, </w:t>
      </w:r>
      <w:r>
        <w:rPr>
          <w:i/>
          <w:highlight w:val="white"/>
        </w:rPr>
        <w:t>8</w:t>
      </w:r>
      <w:r>
        <w:rPr>
          <w:highlight w:val="white"/>
        </w:rPr>
        <w:t>(6), 46–46. https://doi.org/10.3390/mti8060046</w:t>
      </w:r>
    </w:p>
    <w:p w14:paraId="00000047" w14:textId="77777777" w:rsidR="00AD27F5" w:rsidRDefault="00000000">
      <w:pPr>
        <w:shd w:val="clear" w:color="auto" w:fill="FFFFFF"/>
        <w:spacing w:line="480" w:lineRule="auto"/>
        <w:ind w:left="720"/>
        <w:rPr>
          <w:highlight w:val="white"/>
        </w:rPr>
      </w:pPr>
      <w:r>
        <w:rPr>
          <w:i/>
          <w:highlight w:val="white"/>
        </w:rPr>
        <w:t>NIV Bible</w:t>
      </w:r>
      <w:r>
        <w:rPr>
          <w:highlight w:val="white"/>
        </w:rPr>
        <w:t>. (2011). Zondervan Pub. House.</w:t>
      </w:r>
    </w:p>
    <w:p w14:paraId="3523DAFB" w14:textId="4FE32B56" w:rsidR="00001AC4" w:rsidRDefault="00000000">
      <w:pPr>
        <w:shd w:val="clear" w:color="auto" w:fill="FFFFFF"/>
        <w:spacing w:line="480" w:lineRule="auto"/>
        <w:ind w:left="720"/>
        <w:rPr>
          <w:highlight w:val="white"/>
        </w:rPr>
      </w:pPr>
      <w:r>
        <w:rPr>
          <w:highlight w:val="white"/>
        </w:rPr>
        <w:t xml:space="preserve">Roy, A. L., &amp; Perrin, C. (2018). Managing conflicts in the nonprofit sector through </w:t>
      </w:r>
    </w:p>
    <w:p w14:paraId="0000005C" w14:textId="21A6A256" w:rsidR="00AD27F5" w:rsidRDefault="00000000" w:rsidP="00001AC4">
      <w:pPr>
        <w:shd w:val="clear" w:color="auto" w:fill="FFFFFF"/>
        <w:spacing w:line="480" w:lineRule="auto"/>
        <w:ind w:left="1440"/>
        <w:rPr>
          <w:highlight w:val="white"/>
        </w:rPr>
      </w:pPr>
      <w:r>
        <w:rPr>
          <w:highlight w:val="white"/>
        </w:rPr>
        <w:t xml:space="preserve">organizational culture change. </w:t>
      </w:r>
      <w:r>
        <w:rPr>
          <w:i/>
          <w:highlight w:val="white"/>
        </w:rPr>
        <w:t>Journal of Organizational Change Management</w:t>
      </w:r>
      <w:r>
        <w:rPr>
          <w:highlight w:val="white"/>
        </w:rPr>
        <w:t xml:space="preserve">, </w:t>
      </w:r>
      <w:r>
        <w:rPr>
          <w:i/>
          <w:highlight w:val="white"/>
        </w:rPr>
        <w:t>34</w:t>
      </w:r>
      <w:r>
        <w:rPr>
          <w:highlight w:val="white"/>
        </w:rPr>
        <w:t>(1). https://doi.org/10.1108/jocm-11-2016-0254</w:t>
      </w:r>
    </w:p>
    <w:sectPr w:rsidR="00AD27F5">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5274C" w14:textId="77777777" w:rsidR="005F0143" w:rsidRDefault="005F0143">
      <w:r>
        <w:separator/>
      </w:r>
    </w:p>
  </w:endnote>
  <w:endnote w:type="continuationSeparator" w:id="0">
    <w:p w14:paraId="296C33D4" w14:textId="77777777" w:rsidR="005F0143" w:rsidRDefault="005F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F" w14:textId="77777777" w:rsidR="00AD27F5" w:rsidRDefault="00AD27F5">
    <w:pPr>
      <w:spacing w:line="48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0" w14:textId="77777777" w:rsidR="00AD27F5" w:rsidRDefault="00AD27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BCBEA" w14:textId="77777777" w:rsidR="005F0143" w:rsidRDefault="005F0143">
      <w:r>
        <w:separator/>
      </w:r>
    </w:p>
  </w:footnote>
  <w:footnote w:type="continuationSeparator" w:id="0">
    <w:p w14:paraId="3C5EDFB8" w14:textId="77777777" w:rsidR="005F0143" w:rsidRDefault="005F0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D" w14:textId="42ACD8E8" w:rsidR="00AD27F5"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2" w:name="_heading=h.tyjcwt" w:colFirst="0" w:colLast="0"/>
    <w:bookmarkEnd w:id="2"/>
    <w:r>
      <w:rPr>
        <w:rFonts w:ascii="Arial" w:eastAsia="Arial" w:hAnsi="Arial" w:cs="Arial"/>
        <w:sz w:val="16"/>
        <w:szCs w:val="16"/>
      </w:rPr>
      <w:t xml:space="preserve">C. Brian Diggs, LDR 815-32 </w:t>
    </w:r>
    <w:r>
      <w:rPr>
        <w:sz w:val="20"/>
        <w:szCs w:val="20"/>
      </w:rPr>
      <w:t xml:space="preserve">Transforming People Problems, </w:t>
    </w:r>
    <w:r>
      <w:rPr>
        <w:rFonts w:ascii="Arial" w:eastAsia="Arial" w:hAnsi="Arial" w:cs="Arial"/>
        <w:color w:val="000000"/>
        <w:sz w:val="16"/>
        <w:szCs w:val="16"/>
      </w:rPr>
      <w:t>Assignment #</w:t>
    </w:r>
    <w:r>
      <w:rPr>
        <w:rFonts w:ascii="Arial" w:eastAsia="Arial" w:hAnsi="Arial" w:cs="Arial"/>
        <w:sz w:val="16"/>
        <w:szCs w:val="16"/>
      </w:rPr>
      <w:t>1</w:t>
    </w:r>
    <w:r>
      <w:rPr>
        <w:rFonts w:ascii="Arial" w:eastAsia="Arial" w:hAnsi="Arial" w:cs="Arial"/>
        <w:color w:val="000000"/>
        <w:sz w:val="16"/>
        <w:szCs w:val="16"/>
      </w:rPr>
      <w:t xml:space="preserve">, Date </w:t>
    </w:r>
    <w:r>
      <w:rPr>
        <w:rFonts w:ascii="Arial" w:eastAsia="Arial" w:hAnsi="Arial" w:cs="Arial"/>
        <w:sz w:val="16"/>
        <w:szCs w:val="16"/>
      </w:rPr>
      <w:t>01/26/2025</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152196">
      <w:rPr>
        <w:rFonts w:ascii="Arial" w:eastAsia="Arial" w:hAnsi="Arial" w:cs="Arial"/>
        <w:noProof/>
        <w:color w:val="000000"/>
        <w:sz w:val="16"/>
        <w:szCs w:val="16"/>
      </w:rPr>
      <w:t>1</w:t>
    </w:r>
    <w:r>
      <w:rPr>
        <w:rFonts w:ascii="Arial" w:eastAsia="Arial" w:hAnsi="Arial" w:cs="Arial"/>
        <w:color w:val="000000"/>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E" w14:textId="77777777" w:rsidR="00AD27F5" w:rsidRDefault="00AD27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7F5"/>
    <w:rsid w:val="00001AC4"/>
    <w:rsid w:val="00152196"/>
    <w:rsid w:val="005F0143"/>
    <w:rsid w:val="006E7F10"/>
    <w:rsid w:val="00AD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54CC"/>
  <w15:docId w15:val="{05EC5A10-63C8-42A1-8B15-B92BC119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32886"/>
  </w:style>
  <w:style w:type="paragraph" w:styleId="Header">
    <w:name w:val="header"/>
    <w:basedOn w:val="Normal"/>
    <w:link w:val="HeaderChar"/>
    <w:uiPriority w:val="99"/>
    <w:unhideWhenUsed/>
    <w:rsid w:val="00F32886"/>
    <w:pPr>
      <w:tabs>
        <w:tab w:val="center" w:pos="4680"/>
        <w:tab w:val="right" w:pos="9360"/>
      </w:tabs>
    </w:pPr>
  </w:style>
  <w:style w:type="character" w:customStyle="1" w:styleId="HeaderChar">
    <w:name w:val="Header Char"/>
    <w:basedOn w:val="DefaultParagraphFont"/>
    <w:link w:val="Header"/>
    <w:uiPriority w:val="99"/>
    <w:rsid w:val="00F32886"/>
  </w:style>
  <w:style w:type="paragraph" w:styleId="Footer">
    <w:name w:val="footer"/>
    <w:basedOn w:val="Normal"/>
    <w:link w:val="FooterChar"/>
    <w:uiPriority w:val="99"/>
    <w:unhideWhenUsed/>
    <w:rsid w:val="00F32886"/>
    <w:pPr>
      <w:tabs>
        <w:tab w:val="center" w:pos="4680"/>
        <w:tab w:val="right" w:pos="9360"/>
      </w:tabs>
    </w:pPr>
  </w:style>
  <w:style w:type="character" w:customStyle="1" w:styleId="FooterChar">
    <w:name w:val="Footer Char"/>
    <w:basedOn w:val="DefaultParagraphFont"/>
    <w:link w:val="Footer"/>
    <w:uiPriority w:val="99"/>
    <w:rsid w:val="00F3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5ILYNlx4HZBSt0h3geq7FTroqQ==">CgMxLjAyCGguZ2pkZ3hzMg5oLnByYXJvZHh4ZDI5MTIIaC50eWpjd3Q4AHIhMVNJT2EyNjhfbVBmRGpCQjIxbWhLOURXNXdaa1ZLZ2E3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dc:creator>
  <cp:lastModifiedBy>Brian D</cp:lastModifiedBy>
  <cp:revision>2</cp:revision>
  <dcterms:created xsi:type="dcterms:W3CDTF">2025-01-25T20:53:00Z</dcterms:created>
  <dcterms:modified xsi:type="dcterms:W3CDTF">2025-01-25T20:53:00Z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a1bf8adf7142c126b225ccca3eab796167976d77ff61b08761b3d01896db12f7</vt:lpwstr>
  </property>
</Properties>
</file>