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1"/>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s>
        <w:spacing w:after="0" w:before="0" w:line="480" w:lineRule="auto"/>
        <w:ind w:left="720" w:right="0" w:hanging="720"/>
        <w:jc w:val="left"/>
        <w:r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pP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8640"/>
          <w:tab w:val="right" w:leader="none" w:pos="8640"/>
          <w:tab w:val="right" w:leader="none" w:pos="8640"/>
        </w:tabs>
        <w:spacing w:after="0" w:before="0" w:line="480" w:lineRule="auto"/>
        <w:ind w:left="0" w:right="0" w:firstLine="72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tabs>
          <w:tab w:val="right" w:leader="none" w:pos="8640"/>
          <w:tab w:val="right" w:leader="none" w:pos="8640"/>
          <w:tab w:val="right" w:leader="none" w:pos="8640"/>
        </w:tabs>
        <w:ind w:firstLine="0"/>
        <w:jc w:val="center"/>
        <w:rPr/>
      </w:pPr>
      <w:r w:rsidDel="00000000" w:rsidR="00000000" w:rsidRPr="00000000">
        <w:rPr>
          <w:rtl w:val="0"/>
        </w:rPr>
        <w:t xml:space="preserve">SR 968-22:  Sociological Methodology: Interpreting Changing Cultures</w:t>
      </w:r>
    </w:p>
    <w:p w:rsidR="00000000" w:rsidDel="00000000" w:rsidP="00000000" w:rsidRDefault="00000000" w:rsidRPr="00000000" w14:paraId="00000009">
      <w:pPr>
        <w:tabs>
          <w:tab w:val="right" w:leader="none" w:pos="8640"/>
          <w:tab w:val="right" w:leader="none" w:pos="8640"/>
          <w:tab w:val="right" w:leader="none" w:pos="8640"/>
        </w:tabs>
        <w:ind w:firstLine="0"/>
        <w:jc w:val="center"/>
        <w:rPr/>
      </w:pPr>
      <w:r w:rsidDel="00000000" w:rsidR="00000000" w:rsidRPr="00000000">
        <w:rPr>
          <w:rtl w:val="0"/>
        </w:rPr>
      </w:r>
    </w:p>
    <w:p w:rsidR="00000000" w:rsidDel="00000000" w:rsidP="00000000" w:rsidRDefault="00000000" w:rsidRPr="00000000" w14:paraId="0000000A">
      <w:pPr>
        <w:tabs>
          <w:tab w:val="right" w:leader="none" w:pos="8640"/>
          <w:tab w:val="right" w:leader="none" w:pos="8640"/>
          <w:tab w:val="right" w:leader="none" w:pos="8640"/>
        </w:tabs>
        <w:ind w:firstLine="0"/>
        <w:jc w:val="center"/>
        <w:rPr>
          <w:b w:val="1"/>
        </w:rPr>
      </w:pPr>
      <w:r w:rsidDel="00000000" w:rsidR="00000000" w:rsidRPr="00000000">
        <w:rPr>
          <w:b w:val="1"/>
          <w:rtl w:val="0"/>
        </w:rPr>
        <w:t xml:space="preserve">Course Essential Elements: Faith-Integrated Sociological Analysis</w:t>
      </w:r>
    </w:p>
    <w:p w:rsidR="00000000" w:rsidDel="00000000" w:rsidP="00000000" w:rsidRDefault="00000000" w:rsidRPr="00000000" w14:paraId="0000000B">
      <w:pPr>
        <w:tabs>
          <w:tab w:val="right" w:leader="none" w:pos="8640"/>
          <w:tab w:val="right" w:leader="none" w:pos="8640"/>
          <w:tab w:val="right" w:leader="none" w:pos="8640"/>
        </w:tabs>
        <w:ind w:firstLine="0"/>
        <w:jc w:val="center"/>
        <w:rPr/>
      </w:pPr>
      <w:r w:rsidDel="00000000" w:rsidR="00000000" w:rsidRPr="00000000">
        <w:rPr>
          <w:rtl w:val="0"/>
        </w:rPr>
      </w:r>
    </w:p>
    <w:p w:rsidR="00000000" w:rsidDel="00000000" w:rsidP="00000000" w:rsidRDefault="00000000" w:rsidRPr="00000000" w14:paraId="0000000C">
      <w:pPr>
        <w:tabs>
          <w:tab w:val="right" w:leader="none" w:pos="8640"/>
          <w:tab w:val="right" w:leader="none" w:pos="8640"/>
          <w:tab w:val="right" w:leader="none" w:pos="8640"/>
        </w:tabs>
        <w:ind w:firstLine="0"/>
        <w:jc w:val="center"/>
        <w:rPr/>
      </w:pPr>
      <w:r w:rsidDel="00000000" w:rsidR="00000000" w:rsidRPr="00000000">
        <w:rPr>
          <w:rtl w:val="0"/>
        </w:rPr>
        <w:t xml:space="preserve">Semaj Zachary</w:t>
      </w:r>
    </w:p>
    <w:p w:rsidR="00000000" w:rsidDel="00000000" w:rsidP="00000000" w:rsidRDefault="00000000" w:rsidRPr="00000000" w14:paraId="0000000D">
      <w:pPr>
        <w:tabs>
          <w:tab w:val="right" w:leader="none" w:pos="8640"/>
          <w:tab w:val="right" w:leader="none" w:pos="8640"/>
          <w:tab w:val="right" w:leader="none" w:pos="8640"/>
        </w:tabs>
        <w:ind w:firstLine="0"/>
        <w:jc w:val="center"/>
        <w:rPr/>
      </w:pPr>
      <w:r w:rsidDel="00000000" w:rsidR="00000000" w:rsidRPr="00000000">
        <w:rPr>
          <w:rtl w:val="0"/>
        </w:rPr>
      </w:r>
    </w:p>
    <w:p w:rsidR="00000000" w:rsidDel="00000000" w:rsidP="00000000" w:rsidRDefault="00000000" w:rsidRPr="00000000" w14:paraId="0000000E">
      <w:pPr>
        <w:tabs>
          <w:tab w:val="right" w:leader="none" w:pos="8640"/>
          <w:tab w:val="right" w:leader="none" w:pos="8640"/>
          <w:tab w:val="right" w:leader="none" w:pos="8640"/>
        </w:tabs>
        <w:ind w:firstLine="0"/>
        <w:jc w:val="center"/>
        <w:rPr/>
      </w:pPr>
      <w:r w:rsidDel="00000000" w:rsidR="00000000" w:rsidRPr="00000000">
        <w:rPr>
          <w:rtl w:val="0"/>
        </w:rPr>
        <w:t xml:space="preserve">Omega Graduate School</w:t>
      </w:r>
    </w:p>
    <w:p w:rsidR="00000000" w:rsidDel="00000000" w:rsidP="00000000" w:rsidRDefault="00000000" w:rsidRPr="00000000" w14:paraId="0000000F">
      <w:pPr>
        <w:tabs>
          <w:tab w:val="right" w:leader="none" w:pos="8640"/>
          <w:tab w:val="right" w:leader="none" w:pos="8640"/>
          <w:tab w:val="right" w:leader="none" w:pos="8640"/>
        </w:tabs>
        <w:ind w:firstLine="0"/>
        <w:jc w:val="center"/>
        <w:rPr/>
      </w:pPr>
      <w:r w:rsidDel="00000000" w:rsidR="00000000" w:rsidRPr="00000000">
        <w:rPr>
          <w:rtl w:val="0"/>
        </w:rPr>
      </w:r>
    </w:p>
    <w:p w:rsidR="00000000" w:rsidDel="00000000" w:rsidP="00000000" w:rsidRDefault="00000000" w:rsidRPr="00000000" w14:paraId="00000010">
      <w:pPr>
        <w:tabs>
          <w:tab w:val="right" w:leader="none" w:pos="8640"/>
          <w:tab w:val="right" w:leader="none" w:pos="8640"/>
          <w:tab w:val="right" w:leader="none" w:pos="8640"/>
        </w:tabs>
        <w:ind w:firstLine="0"/>
        <w:jc w:val="center"/>
        <w:rPr/>
      </w:pPr>
      <w:r w:rsidDel="00000000" w:rsidR="00000000" w:rsidRPr="00000000">
        <w:rPr>
          <w:rtl w:val="0"/>
        </w:rPr>
        <w:t xml:space="preserve">April 6, 2025</w:t>
      </w:r>
    </w:p>
    <w:p w:rsidR="00000000" w:rsidDel="00000000" w:rsidP="00000000" w:rsidRDefault="00000000" w:rsidRPr="00000000" w14:paraId="00000011">
      <w:pPr>
        <w:tabs>
          <w:tab w:val="right" w:leader="none" w:pos="8640"/>
          <w:tab w:val="right" w:leader="none" w:pos="8640"/>
          <w:tab w:val="right" w:leader="none" w:pos="8640"/>
        </w:tabs>
        <w:ind w:firstLine="0"/>
        <w:jc w:val="center"/>
        <w:rPr/>
      </w:pPr>
      <w:r w:rsidDel="00000000" w:rsidR="00000000" w:rsidRPr="00000000">
        <w:rPr>
          <w:rtl w:val="0"/>
        </w:rPr>
      </w:r>
    </w:p>
    <w:p w:rsidR="00000000" w:rsidDel="00000000" w:rsidP="00000000" w:rsidRDefault="00000000" w:rsidRPr="00000000" w14:paraId="00000012">
      <w:pPr>
        <w:tabs>
          <w:tab w:val="right" w:leader="none" w:pos="8640"/>
          <w:tab w:val="right" w:leader="none" w:pos="8640"/>
          <w:tab w:val="right" w:leader="none" w:pos="8640"/>
        </w:tabs>
        <w:ind w:firstLine="0"/>
        <w:jc w:val="center"/>
        <w:rPr/>
      </w:pPr>
      <w:r w:rsidDel="00000000" w:rsidR="00000000" w:rsidRPr="00000000">
        <w:rPr>
          <w:rtl w:val="0"/>
        </w:rPr>
        <w:t xml:space="preserve">Professor</w:t>
      </w:r>
    </w:p>
    <w:p w:rsidR="00000000" w:rsidDel="00000000" w:rsidP="00000000" w:rsidRDefault="00000000" w:rsidRPr="00000000" w14:paraId="00000013">
      <w:pPr>
        <w:tabs>
          <w:tab w:val="right" w:leader="none" w:pos="8640"/>
          <w:tab w:val="right" w:leader="none" w:pos="8640"/>
          <w:tab w:val="right" w:leader="none" w:pos="8640"/>
        </w:tabs>
        <w:ind w:firstLine="0"/>
        <w:jc w:val="center"/>
        <w:rPr/>
      </w:pPr>
      <w:r w:rsidDel="00000000" w:rsidR="00000000" w:rsidRPr="00000000">
        <w:rPr>
          <w:rtl w:val="0"/>
        </w:rPr>
      </w:r>
    </w:p>
    <w:p w:rsidR="00000000" w:rsidDel="00000000" w:rsidP="00000000" w:rsidRDefault="00000000" w:rsidRPr="00000000" w14:paraId="00000014">
      <w:pPr>
        <w:tabs>
          <w:tab w:val="right" w:leader="none" w:pos="8640"/>
          <w:tab w:val="right" w:leader="none" w:pos="8640"/>
          <w:tab w:val="right" w:leader="none" w:pos="8640"/>
        </w:tabs>
        <w:ind w:firstLine="0"/>
        <w:jc w:val="center"/>
        <w:rPr/>
      </w:pPr>
      <w:r w:rsidDel="00000000" w:rsidR="00000000" w:rsidRPr="00000000">
        <w:rPr>
          <w:rtl w:val="0"/>
        </w:rPr>
        <w:t xml:space="preserve">Dr. Joshua Reichard</w:t>
      </w:r>
      <w:r w:rsidDel="00000000" w:rsidR="00000000" w:rsidRPr="00000000">
        <w:br w:type="page"/>
      </w:r>
      <w:r w:rsidDel="00000000" w:rsidR="00000000" w:rsidRPr="00000000">
        <w:rPr>
          <w:rtl w:val="0"/>
        </w:rPr>
      </w:r>
    </w:p>
    <w:p w:rsidR="00000000" w:rsidDel="00000000" w:rsidP="00000000" w:rsidRDefault="00000000" w:rsidRPr="00000000" w14:paraId="00000015">
      <w:pPr>
        <w:tabs>
          <w:tab w:val="right" w:leader="none" w:pos="8640"/>
          <w:tab w:val="right" w:leader="none" w:pos="8640"/>
          <w:tab w:val="right" w:leader="none" w:pos="8640"/>
        </w:tabs>
        <w:jc w:val="center"/>
        <w:rPr>
          <w:b w:val="1"/>
        </w:rPr>
      </w:pPr>
      <w:r w:rsidDel="00000000" w:rsidR="00000000" w:rsidRPr="00000000">
        <w:rPr>
          <w:b w:val="1"/>
          <w:rtl w:val="0"/>
        </w:rPr>
        <w:t xml:space="preserve">Faith‑Integrated Sociological Analysis</w:t>
      </w:r>
    </w:p>
    <w:p w:rsidR="00000000" w:rsidDel="00000000" w:rsidP="00000000" w:rsidRDefault="00000000" w:rsidRPr="00000000" w14:paraId="00000016">
      <w:pPr>
        <w:tabs>
          <w:tab w:val="right" w:leader="none" w:pos="8640"/>
          <w:tab w:val="right" w:leader="none" w:pos="8640"/>
          <w:tab w:val="right" w:leader="none" w:pos="8640"/>
        </w:tabs>
        <w:rPr/>
      </w:pPr>
      <w:r w:rsidDel="00000000" w:rsidR="00000000" w:rsidRPr="00000000">
        <w:rPr>
          <w:rtl w:val="0"/>
        </w:rPr>
        <w:tab/>
        <w:t xml:space="preserve">Faith‑integrated sociological analysis merges sociological methods with religious insights, seeing faith not as an extra variable but as a lens that shapes how people understand their world (Clark, 2002). This short discussion paper explores how faith‑integrated analysis works at theoretical, methodological, and practical levels to enrich our understanding of society.</w:t>
      </w:r>
    </w:p>
    <w:p w:rsidR="00000000" w:rsidDel="00000000" w:rsidP="00000000" w:rsidRDefault="00000000" w:rsidRPr="00000000" w14:paraId="00000017">
      <w:pPr>
        <w:tabs>
          <w:tab w:val="right" w:leader="none" w:pos="8640"/>
          <w:tab w:val="right" w:leader="none" w:pos="8640"/>
          <w:tab w:val="right" w:leader="none" w:pos="8640"/>
        </w:tabs>
        <w:rPr/>
      </w:pPr>
      <w:r w:rsidDel="00000000" w:rsidR="00000000" w:rsidRPr="00000000">
        <w:rPr>
          <w:rtl w:val="0"/>
        </w:rPr>
        <w:t xml:space="preserve">The theoretical foundation rests on a dialogical model: faith and social science as complementary perspectives. Clark (2002) suggests combining theological ideas like stewardship, justice, and vocation with sociological concepts such as power, structure, and agency opens up fresh ways to ask and answer questions about meaning, purpose, and responsibility. This collaboration expands our toolkit, enabling sociologists to address moral and ethical dimensions often overlooked in purely secular studies (Clark, 2002).</w:t>
      </w:r>
    </w:p>
    <w:p w:rsidR="00000000" w:rsidDel="00000000" w:rsidP="00000000" w:rsidRDefault="00000000" w:rsidRPr="00000000" w14:paraId="00000018">
      <w:pPr>
        <w:tabs>
          <w:tab w:val="right" w:leader="none" w:pos="8640"/>
          <w:tab w:val="right" w:leader="none" w:pos="8640"/>
          <w:tab w:val="right" w:leader="none" w:pos="8640"/>
        </w:tabs>
        <w:rPr/>
      </w:pPr>
      <w:r w:rsidDel="00000000" w:rsidR="00000000" w:rsidRPr="00000000">
        <w:rPr>
          <w:rtl w:val="0"/>
        </w:rPr>
        <w:t xml:space="preserve">When it comes to research methods, faith‑integrated analysis often uses a mix of quantitative and qualitative techniques. Surveys can reveal broad patterns, while interviews, ethnography, and participatory action research delve into how religious beliefs influence daily life. For instance, Ramirez et al. (2020) interviewed faculty at a faith‑based historically Black university and found that their Christian convictions shaped teaching practices, boosted student engagement, and fostered a strong sense of community. This study shows how faith can be an active force in educational settings (Ramirez et al., 2020).</w:t>
      </w:r>
    </w:p>
    <w:p w:rsidR="00000000" w:rsidDel="00000000" w:rsidP="00000000" w:rsidRDefault="00000000" w:rsidRPr="00000000" w14:paraId="00000019">
      <w:pPr>
        <w:tabs>
          <w:tab w:val="right" w:leader="none" w:pos="8640"/>
          <w:tab w:val="right" w:leader="none" w:pos="8640"/>
          <w:tab w:val="right" w:leader="none" w:pos="8640"/>
        </w:tabs>
        <w:rPr/>
      </w:pPr>
      <w:r w:rsidDel="00000000" w:rsidR="00000000" w:rsidRPr="00000000">
        <w:rPr>
          <w:rtl w:val="0"/>
        </w:rPr>
        <w:t xml:space="preserve">Real‑world applications of this approach highlight its potential for social change. Grim and Grim (2019) reviewed over 100 studies on substance‑abuse recovery and discovered that programs incorporating spiritual elements, such as 12‑step fellowships, often achieve better long‑term sobriety and stronger support networks than strictly secular programs. By recognizing faith as a resource rather than a complication, faith‑integrated analysis offers valuable insights into how religious communities contribute to individual and collective well‑being (Grim &amp; Grim, 2019).</w:t>
      </w:r>
    </w:p>
    <w:p w:rsidR="00000000" w:rsidDel="00000000" w:rsidP="00000000" w:rsidRDefault="00000000" w:rsidRPr="00000000" w14:paraId="0000001A">
      <w:pPr>
        <w:tabs>
          <w:tab w:val="right" w:leader="none" w:pos="8640"/>
          <w:tab w:val="right" w:leader="none" w:pos="8640"/>
          <w:tab w:val="right" w:leader="none" w:pos="8640"/>
        </w:tabs>
        <w:rPr/>
      </w:pPr>
      <w:r w:rsidDel="00000000" w:rsidR="00000000" w:rsidRPr="00000000">
        <w:rPr>
          <w:rtl w:val="0"/>
        </w:rPr>
        <w:t xml:space="preserve">In short, faith‑integrated sociological analysis helps us see the social world through both scientific and spiritual lenses. By fostering dialogue between theology and sociology, combining diverse methods, and examining practical outcomes, this approach shows that faith is not just a topic to study but a vital perspective that deepens our understanding of social life. Looking ahead, this approach invites sociologists and faith communities to collaborate in addressing social issues with both empirical evidence and spiritual wisdom. As we face complex challenges, from inequality to environmental crises, incorporating faith perspectives can offer hope‑driven solutions grounded in community values.</w:t>
      </w:r>
    </w:p>
    <w:p w:rsidR="00000000" w:rsidDel="00000000" w:rsidP="00000000" w:rsidRDefault="00000000" w:rsidRPr="00000000" w14:paraId="0000001B">
      <w:pPr>
        <w:tabs>
          <w:tab w:val="right" w:leader="none" w:pos="8640"/>
          <w:tab w:val="right" w:leader="none" w:pos="8640"/>
          <w:tab w:val="right" w:leader="none" w:pos="8640"/>
        </w:tabs>
        <w:rPr/>
      </w:pPr>
      <w:r w:rsidDel="00000000" w:rsidR="00000000" w:rsidRPr="00000000">
        <w:br w:type="page"/>
      </w:r>
      <w:r w:rsidDel="00000000" w:rsidR="00000000" w:rsidRPr="00000000">
        <w:rPr>
          <w:rtl w:val="0"/>
        </w:rPr>
      </w:r>
    </w:p>
    <w:p w:rsidR="00000000" w:rsidDel="00000000" w:rsidP="00000000" w:rsidRDefault="00000000" w:rsidRPr="00000000" w14:paraId="0000001C">
      <w:pPr>
        <w:tabs>
          <w:tab w:val="right" w:leader="none" w:pos="8640"/>
          <w:tab w:val="right" w:leader="none" w:pos="8640"/>
          <w:tab w:val="right" w:leader="none" w:pos="8640"/>
        </w:tabs>
        <w:jc w:val="center"/>
        <w:rPr>
          <w:b w:val="1"/>
        </w:rPr>
      </w:pPr>
      <w:r w:rsidDel="00000000" w:rsidR="00000000" w:rsidRPr="00000000">
        <w:rPr>
          <w:b w:val="1"/>
          <w:rtl w:val="0"/>
        </w:rPr>
        <w:t xml:space="preserve">Works Cited</w:t>
      </w:r>
    </w:p>
    <w:p w:rsidR="00000000" w:rsidDel="00000000" w:rsidP="00000000" w:rsidRDefault="00000000" w:rsidRPr="00000000" w14:paraId="0000001D">
      <w:pPr>
        <w:tabs>
          <w:tab w:val="right" w:leader="none" w:pos="8640"/>
          <w:tab w:val="right" w:leader="none" w:pos="8640"/>
          <w:tab w:val="right" w:leader="none" w:pos="8640"/>
        </w:tabs>
        <w:ind w:left="720" w:hanging="720"/>
        <w:rPr/>
      </w:pPr>
      <w:r w:rsidDel="00000000" w:rsidR="00000000" w:rsidRPr="00000000">
        <w:rPr>
          <w:rtl w:val="0"/>
        </w:rPr>
        <w:t xml:space="preserve">Clark, Robert. (2002). Sociology and Faith: Inviting Students into the Conversation. 10.5422/fso/9780823222209.003.0004.</w:t>
      </w:r>
      <w:r w:rsidDel="00000000" w:rsidR="00000000" w:rsidRPr="00000000">
        <w:rPr>
          <w:rtl w:val="0"/>
        </w:rPr>
      </w:r>
    </w:p>
    <w:p w:rsidR="00000000" w:rsidDel="00000000" w:rsidP="00000000" w:rsidRDefault="00000000" w:rsidRPr="00000000" w14:paraId="0000001E">
      <w:pPr>
        <w:tabs>
          <w:tab w:val="right" w:leader="none" w:pos="8640"/>
          <w:tab w:val="right" w:leader="none" w:pos="8640"/>
          <w:tab w:val="right" w:leader="none" w:pos="8640"/>
        </w:tabs>
        <w:ind w:left="720" w:hanging="720"/>
        <w:rPr/>
      </w:pPr>
      <w:r w:rsidDel="00000000" w:rsidR="00000000" w:rsidRPr="00000000">
        <w:rPr>
          <w:rtl w:val="0"/>
        </w:rPr>
        <w:t xml:space="preserve">Grim, B. J., &amp; Grim, M. E. (2019). Belief, behavior, and belonging: How faith is indispensable in preventing and recovering from substance abuse. Journal of Religion and Health, 58(5), 1713–1750. https://doi.org/10.1007/s10943-019-00876-w.</w:t>
      </w:r>
    </w:p>
    <w:p w:rsidR="00000000" w:rsidDel="00000000" w:rsidP="00000000" w:rsidRDefault="00000000" w:rsidRPr="00000000" w14:paraId="0000001F">
      <w:pPr>
        <w:tabs>
          <w:tab w:val="right" w:leader="none" w:pos="8640"/>
          <w:tab w:val="right" w:leader="none" w:pos="8640"/>
          <w:tab w:val="right" w:leader="none" w:pos="8640"/>
        </w:tabs>
        <w:ind w:left="720" w:hanging="720"/>
        <w:rPr/>
      </w:pPr>
      <w:r w:rsidDel="00000000" w:rsidR="00000000" w:rsidRPr="00000000">
        <w:rPr>
          <w:rtl w:val="0"/>
        </w:rPr>
        <w:t xml:space="preserve">Ramirez, O., Sawyers, P., Wood, D., &amp; Benjamin, F. (2020). Integration of faith and learning at a faith‑based historically Black university: An exploratory study. Journal of Research on Christian Education. Advance online publication.</w:t>
      </w:r>
      <w:r w:rsidDel="00000000" w:rsidR="00000000" w:rsidRPr="00000000">
        <w:rPr>
          <w:rtl w:val="0"/>
        </w:rPr>
        <w:t xml:space="preserve"> https://doi.org/10.1080/10656219.2020.1751012.</w:t>
      </w:r>
      <w:r w:rsidDel="00000000" w:rsidR="00000000" w:rsidRPr="00000000">
        <w:rPr>
          <w:rtl w:val="0"/>
        </w:rPr>
      </w:r>
    </w:p>
    <w:p w:rsidR="00000000" w:rsidDel="00000000" w:rsidP="00000000" w:rsidRDefault="00000000" w:rsidRPr="00000000" w14:paraId="00000020">
      <w:pPr>
        <w:tabs>
          <w:tab w:val="right" w:leader="none" w:pos="8640"/>
          <w:tab w:val="right" w:leader="none" w:pos="8640"/>
          <w:tab w:val="right" w:leader="none" w:pos="8640"/>
        </w:tabs>
        <w:rPr/>
      </w:pPr>
      <w:r w:rsidDel="00000000" w:rsidR="00000000" w:rsidRPr="00000000">
        <w:rPr>
          <w:rtl w:val="0"/>
        </w:rPr>
      </w:r>
    </w:p>
    <w:p w:rsidR="00000000" w:rsidDel="00000000" w:rsidP="00000000" w:rsidRDefault="00000000" w:rsidRPr="00000000" w14:paraId="00000021">
      <w:pPr>
        <w:tabs>
          <w:tab w:val="right" w:leader="none" w:pos="8640"/>
          <w:tab w:val="right" w:leader="none" w:pos="8640"/>
          <w:tab w:val="right" w:leader="none" w:pos="8640"/>
        </w:tabs>
        <w:ind w:firstLine="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Time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2">
    <w:pPr>
      <w:tabs>
        <w:tab w:val="right" w:leader="none" w:pos="8640"/>
        <w:tab w:val="right" w:leader="none" w:pos="8640"/>
        <w:tab w:val="right" w:leader="none" w:pos="9360"/>
      </w:tabs>
      <w:ind w:firstLine="0"/>
      <w:rPr>
        <w:rFonts w:ascii="Times" w:cs="Times" w:eastAsia="Times" w:hAnsi="Times"/>
        <w:i w:val="0"/>
        <w:smallCaps w:val="0"/>
        <w:strike w:val="0"/>
        <w:color w:val="000000"/>
        <w:sz w:val="16"/>
        <w:szCs w:val="16"/>
        <w:u w:val="none"/>
        <w:shd w:fill="auto" w:val="clear"/>
        <w:vertAlign w:val="baseline"/>
      </w:rPr>
    </w:pPr>
    <w:r w:rsidDel="00000000" w:rsidR="00000000" w:rsidRPr="00000000">
      <w:rPr>
        <w:rFonts w:ascii="Times" w:cs="Times" w:eastAsia="Times" w:hAnsi="Times"/>
        <w:sz w:val="16"/>
        <w:szCs w:val="16"/>
        <w:rtl w:val="0"/>
      </w:rPr>
      <w:t xml:space="preserve">Semaj Zachary, SR 968-22, Sociological Methodology: Interpreting Changing Cultures, Assignment 1, 4/6/2025</w:t>
      <w:tab/>
      <w:t xml:space="preserve">                                        </w:t>
    </w:r>
    <w:r w:rsidDel="00000000" w:rsidR="00000000" w:rsidRPr="00000000">
      <w:rPr>
        <w:rFonts w:ascii="Times" w:cs="Times" w:eastAsia="Times" w:hAnsi="Times"/>
        <w:sz w:val="16"/>
        <w:szCs w:val="16"/>
      </w:rPr>
      <w:fldChar w:fldCharType="begin"/>
      <w:instrText xml:space="preserve">PAGE</w:instrText>
      <w:fldChar w:fldCharType="separate"/>
      <w:fldChar w:fldCharType="end"/>
    </w:r>
    <w:r w:rsidDel="00000000" w:rsidR="00000000" w:rsidRPr="00000000">
      <w:rPr>
        <w:rFonts w:ascii="Times" w:cs="Times" w:eastAsia="Times" w:hAnsi="Times"/>
        <w:i w:val="0"/>
        <w:smallCaps w:val="0"/>
        <w:strike w:val="0"/>
        <w:color w:val="000000"/>
        <w:sz w:val="16"/>
        <w:szCs w:val="16"/>
        <w:u w:val="none"/>
        <w:shd w:fill="auto" w:val="clear"/>
        <w:vertAlign w:val="baseline"/>
        <w:rtl w:val="0"/>
      </w:rPr>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tabs>
          <w:tab w:val="right" w:leader="none" w:pos="8640"/>
        </w:tabs>
        <w:spacing w:line="480" w:lineRule="auto"/>
        <w:ind w:firstLine="72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firstLine="0"/>
      <w:jc w:val="center"/>
    </w:pPr>
    <w:rPr>
      <w:b w:val="1"/>
    </w:rPr>
  </w:style>
  <w:style w:type="paragraph" w:styleId="Heading2">
    <w:name w:val="heading 2"/>
    <w:basedOn w:val="Normal"/>
    <w:next w:val="Normal"/>
    <w:pPr>
      <w:widowControl w:val="0"/>
      <w:ind w:firstLine="0"/>
      <w:jc w:val="left"/>
    </w:pPr>
    <w:rPr>
      <w:b w:val="1"/>
      <w:i w:val="0"/>
    </w:rPr>
  </w:style>
  <w:style w:type="paragraph" w:styleId="Heading3">
    <w:name w:val="heading 3"/>
    <w:basedOn w:val="Normal"/>
    <w:next w:val="Normal"/>
    <w:pPr>
      <w:keepNext w:val="1"/>
      <w:spacing w:after="60" w:before="240" w:lineRule="auto"/>
    </w:pPr>
    <w:rPr>
      <w:rFonts w:ascii="Arial" w:cs="Arial" w:eastAsia="Arial" w:hAnsi="Arial"/>
      <w:b w:val="1"/>
      <w:sz w:val="26"/>
      <w:szCs w:val="26"/>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ind w:firstLine="0"/>
      <w:jc w:val="center"/>
    </w:pP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