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10DD4" w:rsidRDefault="00F10DD4">
      <w:pPr>
        <w:keepLines/>
        <w:pBdr>
          <w:top w:val="nil"/>
          <w:left w:val="nil"/>
          <w:bottom w:val="nil"/>
          <w:right w:val="nil"/>
          <w:between w:val="nil"/>
        </w:pBdr>
        <w:tabs>
          <w:tab w:val="right" w:pos="8640"/>
        </w:tabs>
        <w:ind w:left="720" w:hanging="720"/>
      </w:pPr>
    </w:p>
    <w:p w14:paraId="00000002" w14:textId="77777777" w:rsidR="00F10DD4" w:rsidRDefault="00F10DD4">
      <w:pPr>
        <w:pBdr>
          <w:top w:val="nil"/>
          <w:left w:val="nil"/>
          <w:bottom w:val="nil"/>
          <w:right w:val="nil"/>
          <w:between w:val="nil"/>
        </w:pBdr>
        <w:tabs>
          <w:tab w:val="right" w:pos="8640"/>
          <w:tab w:val="right" w:pos="8640"/>
        </w:tabs>
        <w:jc w:val="center"/>
        <w:rPr>
          <w:color w:val="000000"/>
        </w:rPr>
      </w:pPr>
    </w:p>
    <w:p w14:paraId="00000003" w14:textId="77777777" w:rsidR="00F10DD4" w:rsidRDefault="00F10DD4">
      <w:pPr>
        <w:pBdr>
          <w:top w:val="nil"/>
          <w:left w:val="nil"/>
          <w:bottom w:val="nil"/>
          <w:right w:val="nil"/>
          <w:between w:val="nil"/>
        </w:pBdr>
        <w:tabs>
          <w:tab w:val="right" w:pos="8640"/>
          <w:tab w:val="right" w:pos="8640"/>
        </w:tabs>
        <w:jc w:val="center"/>
        <w:rPr>
          <w:color w:val="000000"/>
        </w:rPr>
      </w:pPr>
    </w:p>
    <w:p w14:paraId="00000004" w14:textId="77777777" w:rsidR="00F10DD4" w:rsidRDefault="00F10DD4">
      <w:pPr>
        <w:pBdr>
          <w:top w:val="nil"/>
          <w:left w:val="nil"/>
          <w:bottom w:val="nil"/>
          <w:right w:val="nil"/>
          <w:between w:val="nil"/>
        </w:pBdr>
        <w:tabs>
          <w:tab w:val="right" w:pos="8640"/>
          <w:tab w:val="right" w:pos="8640"/>
        </w:tabs>
        <w:ind w:firstLine="0"/>
        <w:jc w:val="center"/>
        <w:rPr>
          <w:color w:val="000000"/>
        </w:rPr>
      </w:pPr>
    </w:p>
    <w:p w14:paraId="00000005" w14:textId="77777777" w:rsidR="00F10DD4" w:rsidRDefault="00F10DD4">
      <w:pPr>
        <w:pBdr>
          <w:top w:val="nil"/>
          <w:left w:val="nil"/>
          <w:bottom w:val="nil"/>
          <w:right w:val="nil"/>
          <w:between w:val="nil"/>
        </w:pBdr>
        <w:tabs>
          <w:tab w:val="right" w:pos="8640"/>
          <w:tab w:val="right" w:pos="8640"/>
        </w:tabs>
        <w:ind w:firstLine="0"/>
        <w:jc w:val="center"/>
        <w:rPr>
          <w:color w:val="000000"/>
        </w:rPr>
      </w:pPr>
    </w:p>
    <w:p w14:paraId="4CA9574C" w14:textId="554DF863" w:rsidR="00FA7A9E" w:rsidRDefault="00463D92" w:rsidP="00463D92">
      <w:pPr>
        <w:pBdr>
          <w:top w:val="nil"/>
          <w:left w:val="nil"/>
          <w:bottom w:val="nil"/>
          <w:right w:val="nil"/>
          <w:between w:val="nil"/>
        </w:pBdr>
        <w:tabs>
          <w:tab w:val="right" w:pos="8640"/>
          <w:tab w:val="right" w:pos="8640"/>
        </w:tabs>
        <w:ind w:firstLine="0"/>
        <w:jc w:val="center"/>
      </w:pPr>
      <w:r w:rsidRPr="00463D92">
        <w:rPr>
          <w:b/>
          <w:bCs/>
          <w:color w:val="000000"/>
        </w:rPr>
        <w:t>Rethinking the Secondary School Model: Advocating for Alternative Academic Pathways</w:t>
      </w:r>
      <w:bookmarkStart w:id="0" w:name="_Hlk188686405"/>
    </w:p>
    <w:p w14:paraId="00000007" w14:textId="76CDB518" w:rsidR="00F10DD4" w:rsidRDefault="003335BD">
      <w:pPr>
        <w:spacing w:line="240" w:lineRule="auto"/>
        <w:ind w:firstLine="0"/>
        <w:jc w:val="center"/>
      </w:pPr>
      <w:r>
        <w:t xml:space="preserve">COM </w:t>
      </w:r>
      <w:r w:rsidR="009B079B">
        <w:t>822</w:t>
      </w:r>
      <w:r>
        <w:t xml:space="preserve"> – </w:t>
      </w:r>
      <w:r w:rsidR="009B079B">
        <w:t>Persuasive Communication</w:t>
      </w:r>
    </w:p>
    <w:bookmarkEnd w:id="0"/>
    <w:p w14:paraId="00000008" w14:textId="77777777" w:rsidR="00F10DD4" w:rsidRDefault="00F10DD4">
      <w:pPr>
        <w:spacing w:line="240" w:lineRule="auto"/>
        <w:ind w:firstLine="0"/>
        <w:jc w:val="center"/>
      </w:pPr>
    </w:p>
    <w:p w14:paraId="00000009" w14:textId="5CE4A25A" w:rsidR="00F10DD4" w:rsidRDefault="006E7A33">
      <w:pPr>
        <w:spacing w:line="240" w:lineRule="auto"/>
        <w:ind w:firstLine="0"/>
        <w:jc w:val="center"/>
      </w:pPr>
      <w:r>
        <w:t>David Coronado</w:t>
      </w:r>
    </w:p>
    <w:p w14:paraId="0000000A" w14:textId="77777777" w:rsidR="00F10DD4" w:rsidRDefault="00F10DD4">
      <w:pPr>
        <w:spacing w:line="240" w:lineRule="auto"/>
        <w:ind w:firstLine="0"/>
        <w:jc w:val="center"/>
      </w:pPr>
    </w:p>
    <w:p w14:paraId="0000000B" w14:textId="77777777" w:rsidR="00F10DD4" w:rsidRDefault="00000000">
      <w:pPr>
        <w:spacing w:line="240" w:lineRule="auto"/>
        <w:ind w:firstLine="0"/>
        <w:jc w:val="center"/>
      </w:pPr>
      <w:r>
        <w:t>Omega Graduate School</w:t>
      </w:r>
    </w:p>
    <w:p w14:paraId="0000000C" w14:textId="77777777" w:rsidR="00F10DD4" w:rsidRDefault="00F10DD4">
      <w:pPr>
        <w:spacing w:line="240" w:lineRule="auto"/>
        <w:ind w:firstLine="0"/>
        <w:jc w:val="center"/>
      </w:pPr>
    </w:p>
    <w:p w14:paraId="0000000D" w14:textId="61A51691" w:rsidR="00F10DD4" w:rsidRDefault="009B079B">
      <w:pPr>
        <w:spacing w:line="240" w:lineRule="auto"/>
        <w:ind w:firstLine="0"/>
        <w:jc w:val="center"/>
      </w:pPr>
      <w:r>
        <w:t>April 14, 2025</w:t>
      </w:r>
    </w:p>
    <w:p w14:paraId="0000000E" w14:textId="77777777" w:rsidR="00F10DD4" w:rsidRDefault="00F10DD4">
      <w:pPr>
        <w:spacing w:line="240" w:lineRule="auto"/>
        <w:ind w:firstLine="0"/>
        <w:jc w:val="center"/>
      </w:pPr>
    </w:p>
    <w:p w14:paraId="0000000F" w14:textId="77777777" w:rsidR="00F10DD4" w:rsidRDefault="00F10DD4">
      <w:pPr>
        <w:spacing w:line="240" w:lineRule="auto"/>
        <w:ind w:firstLine="0"/>
        <w:jc w:val="center"/>
      </w:pPr>
    </w:p>
    <w:p w14:paraId="00000010" w14:textId="77777777" w:rsidR="00F10DD4" w:rsidRDefault="00F10DD4">
      <w:pPr>
        <w:spacing w:line="240" w:lineRule="auto"/>
        <w:ind w:firstLine="0"/>
        <w:jc w:val="center"/>
      </w:pPr>
    </w:p>
    <w:p w14:paraId="00000011" w14:textId="77777777" w:rsidR="00F10DD4" w:rsidRDefault="00F10DD4">
      <w:pPr>
        <w:spacing w:line="240" w:lineRule="auto"/>
        <w:ind w:firstLine="0"/>
        <w:jc w:val="center"/>
      </w:pPr>
    </w:p>
    <w:p w14:paraId="00000012" w14:textId="77777777" w:rsidR="00F10DD4" w:rsidRDefault="00F10DD4">
      <w:pPr>
        <w:spacing w:line="240" w:lineRule="auto"/>
        <w:ind w:firstLine="0"/>
        <w:jc w:val="center"/>
      </w:pPr>
    </w:p>
    <w:p w14:paraId="00000013" w14:textId="77777777" w:rsidR="00F10DD4" w:rsidRDefault="00000000">
      <w:pPr>
        <w:spacing w:line="240" w:lineRule="auto"/>
        <w:ind w:firstLine="0"/>
        <w:jc w:val="center"/>
      </w:pPr>
      <w:r>
        <w:t>Professor</w:t>
      </w:r>
    </w:p>
    <w:p w14:paraId="00000014" w14:textId="77777777" w:rsidR="00F10DD4" w:rsidRDefault="00F10DD4">
      <w:pPr>
        <w:spacing w:line="240" w:lineRule="auto"/>
        <w:ind w:firstLine="0"/>
        <w:jc w:val="center"/>
      </w:pPr>
    </w:p>
    <w:p w14:paraId="00000015" w14:textId="77777777" w:rsidR="00F10DD4" w:rsidRDefault="00F10DD4">
      <w:pPr>
        <w:spacing w:line="240" w:lineRule="auto"/>
        <w:ind w:firstLine="0"/>
        <w:jc w:val="center"/>
      </w:pPr>
    </w:p>
    <w:p w14:paraId="00000016" w14:textId="2713AF6C" w:rsidR="00F10DD4" w:rsidRDefault="00000000">
      <w:pPr>
        <w:spacing w:line="240" w:lineRule="auto"/>
        <w:ind w:firstLine="0"/>
        <w:jc w:val="center"/>
      </w:pPr>
      <w:bookmarkStart w:id="1" w:name="_Hlk188686461"/>
      <w:r>
        <w:t xml:space="preserve">Dr. </w:t>
      </w:r>
      <w:r w:rsidR="009B079B">
        <w:t>Curtis McClane</w:t>
      </w:r>
    </w:p>
    <w:bookmarkEnd w:id="1"/>
    <w:p w14:paraId="00000017" w14:textId="77777777" w:rsidR="00F10DD4" w:rsidRDefault="00F10DD4">
      <w:pPr>
        <w:pBdr>
          <w:top w:val="nil"/>
          <w:left w:val="nil"/>
          <w:bottom w:val="nil"/>
          <w:right w:val="nil"/>
          <w:between w:val="nil"/>
        </w:pBdr>
        <w:tabs>
          <w:tab w:val="right" w:pos="8640"/>
          <w:tab w:val="right" w:pos="8640"/>
        </w:tabs>
        <w:ind w:firstLine="0"/>
        <w:jc w:val="center"/>
      </w:pPr>
    </w:p>
    <w:p w14:paraId="00000018" w14:textId="77777777" w:rsidR="00F10DD4" w:rsidRDefault="00000000">
      <w:pPr>
        <w:tabs>
          <w:tab w:val="right" w:pos="8640"/>
          <w:tab w:val="right" w:pos="8640"/>
        </w:tabs>
        <w:spacing w:line="240" w:lineRule="auto"/>
        <w:ind w:firstLine="0"/>
      </w:pPr>
      <w:r>
        <w:br w:type="page"/>
      </w:r>
    </w:p>
    <w:p w14:paraId="4D44C80F" w14:textId="77777777" w:rsidR="00ED380A" w:rsidRPr="00ED380A" w:rsidRDefault="00ED380A" w:rsidP="00ED380A">
      <w:pPr>
        <w:tabs>
          <w:tab w:val="right" w:pos="8640"/>
          <w:tab w:val="right" w:pos="8640"/>
        </w:tabs>
        <w:ind w:firstLine="0"/>
      </w:pPr>
      <w:r w:rsidRPr="00ED380A">
        <w:rPr>
          <w:b/>
          <w:bCs/>
          <w:i/>
          <w:iCs/>
        </w:rPr>
        <w:lastRenderedPageBreak/>
        <w:t xml:space="preserve">Assignment #1 – Core Essential Elements </w:t>
      </w:r>
    </w:p>
    <w:p w14:paraId="6EE45F31" w14:textId="77777777" w:rsidR="009B079B" w:rsidRPr="009B079B" w:rsidRDefault="009B079B" w:rsidP="009B079B">
      <w:pPr>
        <w:pStyle w:val="Default"/>
        <w:numPr>
          <w:ilvl w:val="2"/>
          <w:numId w:val="1"/>
        </w:numPr>
        <w:spacing w:after="255"/>
        <w:ind w:left="360"/>
        <w:rPr>
          <w:sz w:val="22"/>
          <w:szCs w:val="22"/>
        </w:rPr>
      </w:pPr>
      <w:r w:rsidRPr="009B079B">
        <w:rPr>
          <w:sz w:val="22"/>
          <w:szCs w:val="22"/>
        </w:rPr>
        <w:t>1. Generate a thesis statement for your persuasive essay. a. Using the OGS Forum Paper Template, complete the following:</w:t>
      </w:r>
      <w:r>
        <w:rPr>
          <w:b/>
          <w:bCs/>
          <w:sz w:val="22"/>
          <w:szCs w:val="22"/>
        </w:rPr>
        <w:t xml:space="preserve"> </w:t>
      </w:r>
    </w:p>
    <w:p w14:paraId="37AE57B6" w14:textId="28C6D4F4" w:rsidR="009B079B" w:rsidRDefault="009B079B" w:rsidP="009B079B">
      <w:pPr>
        <w:pStyle w:val="Default"/>
        <w:numPr>
          <w:ilvl w:val="2"/>
          <w:numId w:val="1"/>
        </w:numPr>
        <w:spacing w:after="255"/>
        <w:ind w:left="360"/>
        <w:rPr>
          <w:sz w:val="22"/>
          <w:szCs w:val="22"/>
        </w:rPr>
      </w:pPr>
      <w:proofErr w:type="spellStart"/>
      <w:r>
        <w:rPr>
          <w:sz w:val="22"/>
          <w:szCs w:val="22"/>
        </w:rPr>
        <w:t>i</w:t>
      </w:r>
      <w:proofErr w:type="spellEnd"/>
      <w:r>
        <w:rPr>
          <w:sz w:val="22"/>
          <w:szCs w:val="22"/>
        </w:rPr>
        <w:t xml:space="preserve">. Enter your essay title on the title page and the first page of the essay. Complete the rest of the title page. </w:t>
      </w:r>
    </w:p>
    <w:p w14:paraId="3667ABAC" w14:textId="77777777" w:rsidR="009B079B" w:rsidRDefault="009B079B" w:rsidP="009B079B">
      <w:pPr>
        <w:pStyle w:val="Default"/>
        <w:numPr>
          <w:ilvl w:val="2"/>
          <w:numId w:val="1"/>
        </w:numPr>
        <w:spacing w:after="255"/>
        <w:ind w:left="360"/>
        <w:rPr>
          <w:sz w:val="22"/>
          <w:szCs w:val="22"/>
        </w:rPr>
      </w:pPr>
      <w:r>
        <w:rPr>
          <w:sz w:val="22"/>
          <w:szCs w:val="22"/>
        </w:rPr>
        <w:t xml:space="preserve">ii. Use the </w:t>
      </w:r>
      <w:r>
        <w:rPr>
          <w:color w:val="1154CC"/>
          <w:sz w:val="22"/>
          <w:szCs w:val="22"/>
        </w:rPr>
        <w:t xml:space="preserve">Thesis Statement Generator </w:t>
      </w:r>
      <w:r>
        <w:rPr>
          <w:sz w:val="22"/>
          <w:szCs w:val="22"/>
        </w:rPr>
        <w:t xml:space="preserve">to draft a thesis statement. Use only the “generate example” to view several examples of a well-written thesis statement. </w:t>
      </w:r>
    </w:p>
    <w:p w14:paraId="4231B50F" w14:textId="54780767" w:rsidR="009B079B" w:rsidRDefault="009B079B" w:rsidP="009B079B">
      <w:pPr>
        <w:pStyle w:val="Default"/>
        <w:numPr>
          <w:ilvl w:val="2"/>
          <w:numId w:val="1"/>
        </w:numPr>
        <w:spacing w:after="255"/>
        <w:ind w:left="360"/>
        <w:rPr>
          <w:sz w:val="22"/>
          <w:szCs w:val="22"/>
        </w:rPr>
      </w:pPr>
      <w:r>
        <w:rPr>
          <w:sz w:val="22"/>
          <w:szCs w:val="22"/>
        </w:rPr>
        <w:t xml:space="preserve">iii. On the Thesis Statement page, enter a clear, concise thesis statement of </w:t>
      </w:r>
      <w:r w:rsidR="004C7DC0">
        <w:rPr>
          <w:sz w:val="22"/>
          <w:szCs w:val="22"/>
        </w:rPr>
        <w:t>your</w:t>
      </w:r>
      <w:r>
        <w:rPr>
          <w:sz w:val="22"/>
          <w:szCs w:val="22"/>
        </w:rPr>
        <w:t xml:space="preserve"> argumentative position. </w:t>
      </w:r>
    </w:p>
    <w:p w14:paraId="07FBD68C" w14:textId="77777777" w:rsidR="009B079B" w:rsidRDefault="009B079B" w:rsidP="009B079B">
      <w:pPr>
        <w:pStyle w:val="Default"/>
        <w:numPr>
          <w:ilvl w:val="2"/>
          <w:numId w:val="1"/>
        </w:numPr>
        <w:spacing w:after="255"/>
        <w:ind w:left="360"/>
        <w:rPr>
          <w:sz w:val="22"/>
          <w:szCs w:val="22"/>
        </w:rPr>
      </w:pPr>
      <w:r>
        <w:rPr>
          <w:sz w:val="22"/>
          <w:szCs w:val="22"/>
        </w:rPr>
        <w:t xml:space="preserve">iv. In the body of the paper, write a three-paragraph description of the topic that includes the basic logic behind your argument. </w:t>
      </w:r>
    </w:p>
    <w:p w14:paraId="63626105" w14:textId="77777777" w:rsidR="009B079B" w:rsidRDefault="009B079B" w:rsidP="009B079B">
      <w:pPr>
        <w:pStyle w:val="Default"/>
        <w:numPr>
          <w:ilvl w:val="2"/>
          <w:numId w:val="1"/>
        </w:numPr>
        <w:ind w:left="360"/>
        <w:rPr>
          <w:sz w:val="22"/>
          <w:szCs w:val="22"/>
        </w:rPr>
      </w:pPr>
      <w:r>
        <w:rPr>
          <w:sz w:val="22"/>
          <w:szCs w:val="22"/>
        </w:rPr>
        <w:t xml:space="preserve">v. In the Works Cited section, enter a minimum of 11 references relevant to your topic. Include </w:t>
      </w:r>
      <w:r>
        <w:rPr>
          <w:i/>
          <w:iCs/>
          <w:sz w:val="22"/>
          <w:szCs w:val="22"/>
        </w:rPr>
        <w:t>no more than two books</w:t>
      </w:r>
      <w:r>
        <w:rPr>
          <w:sz w:val="22"/>
          <w:szCs w:val="22"/>
        </w:rPr>
        <w:t xml:space="preserve">; the remaining references should be for journal articles from a minimum of four different academic journals. Use only primary research articles with a majority of them published within the past 5 years. Include references to both support (additive) and counter (variant) your argument. </w:t>
      </w:r>
    </w:p>
    <w:p w14:paraId="5030E471" w14:textId="77777777" w:rsidR="009B079B" w:rsidRDefault="009B079B" w:rsidP="009B079B">
      <w:pPr>
        <w:pStyle w:val="Default"/>
        <w:numPr>
          <w:ilvl w:val="2"/>
          <w:numId w:val="1"/>
        </w:numPr>
        <w:ind w:left="360"/>
        <w:rPr>
          <w:sz w:val="22"/>
          <w:szCs w:val="22"/>
        </w:rPr>
      </w:pPr>
    </w:p>
    <w:p w14:paraId="7EB8A4E7" w14:textId="52421B20" w:rsidR="009B079B" w:rsidRDefault="004C7DC0" w:rsidP="009B079B">
      <w:pPr>
        <w:pStyle w:val="Default"/>
        <w:numPr>
          <w:ilvl w:val="2"/>
          <w:numId w:val="1"/>
        </w:numPr>
        <w:rPr>
          <w:sz w:val="22"/>
          <w:szCs w:val="22"/>
        </w:rPr>
      </w:pPr>
      <w:r>
        <w:rPr>
          <w:b/>
          <w:bCs/>
          <w:sz w:val="22"/>
          <w:szCs w:val="22"/>
        </w:rPr>
        <w:t>B</w:t>
      </w:r>
      <w:r w:rsidR="009B079B">
        <w:rPr>
          <w:b/>
          <w:bCs/>
          <w:sz w:val="22"/>
          <w:szCs w:val="22"/>
        </w:rPr>
        <w:t xml:space="preserve">. </w:t>
      </w:r>
      <w:r w:rsidR="009B079B">
        <w:rPr>
          <w:sz w:val="22"/>
          <w:szCs w:val="22"/>
        </w:rPr>
        <w:t xml:space="preserve">Professor will check for quality of content and word-count requirements. Grade assigned will be Credit or No Credit (CR/NC). </w:t>
      </w:r>
    </w:p>
    <w:p w14:paraId="0C9B3AAA" w14:textId="77777777" w:rsidR="009B079B" w:rsidRDefault="009B079B" w:rsidP="009B079B">
      <w:pPr>
        <w:pStyle w:val="Default"/>
        <w:numPr>
          <w:ilvl w:val="2"/>
          <w:numId w:val="1"/>
        </w:numPr>
        <w:rPr>
          <w:sz w:val="22"/>
          <w:szCs w:val="22"/>
        </w:rPr>
      </w:pPr>
    </w:p>
    <w:p w14:paraId="1AF7D15C" w14:textId="77777777" w:rsidR="00ED380A" w:rsidRPr="00ED380A" w:rsidRDefault="00ED380A" w:rsidP="00ED380A">
      <w:pPr>
        <w:numPr>
          <w:ilvl w:val="1"/>
          <w:numId w:val="1"/>
        </w:numPr>
        <w:tabs>
          <w:tab w:val="right" w:pos="8640"/>
          <w:tab w:val="right" w:pos="8640"/>
        </w:tabs>
      </w:pPr>
    </w:p>
    <w:p w14:paraId="0000001B" w14:textId="77777777" w:rsidR="00F10DD4" w:rsidRDefault="00F10DD4">
      <w:pPr>
        <w:tabs>
          <w:tab w:val="right" w:pos="8640"/>
          <w:tab w:val="right" w:pos="8640"/>
        </w:tabs>
      </w:pPr>
    </w:p>
    <w:p w14:paraId="0000001C" w14:textId="77777777" w:rsidR="00F10DD4" w:rsidRDefault="00F10DD4">
      <w:pPr>
        <w:tabs>
          <w:tab w:val="right" w:pos="8640"/>
          <w:tab w:val="right" w:pos="8640"/>
        </w:tabs>
      </w:pPr>
    </w:p>
    <w:p w14:paraId="0000001D" w14:textId="77777777" w:rsidR="00F10DD4" w:rsidRDefault="00F10DD4">
      <w:pPr>
        <w:tabs>
          <w:tab w:val="right" w:pos="8640"/>
          <w:tab w:val="right" w:pos="8640"/>
        </w:tabs>
      </w:pPr>
    </w:p>
    <w:p w14:paraId="0000001E" w14:textId="77777777" w:rsidR="00F10DD4" w:rsidRDefault="00F10DD4">
      <w:pPr>
        <w:tabs>
          <w:tab w:val="right" w:pos="8640"/>
          <w:tab w:val="right" w:pos="8640"/>
        </w:tabs>
      </w:pPr>
    </w:p>
    <w:p w14:paraId="0000001F" w14:textId="77777777" w:rsidR="00F10DD4" w:rsidRDefault="00F10DD4">
      <w:pPr>
        <w:tabs>
          <w:tab w:val="right" w:pos="8640"/>
          <w:tab w:val="right" w:pos="8640"/>
        </w:tabs>
      </w:pPr>
    </w:p>
    <w:p w14:paraId="00000020" w14:textId="77777777" w:rsidR="00F10DD4" w:rsidRDefault="00F10DD4">
      <w:pPr>
        <w:tabs>
          <w:tab w:val="right" w:pos="8640"/>
          <w:tab w:val="right" w:pos="8640"/>
        </w:tabs>
      </w:pPr>
    </w:p>
    <w:p w14:paraId="00000021" w14:textId="77777777" w:rsidR="00F10DD4" w:rsidRDefault="00F10DD4">
      <w:pPr>
        <w:tabs>
          <w:tab w:val="right" w:pos="8640"/>
          <w:tab w:val="right" w:pos="8640"/>
        </w:tabs>
      </w:pPr>
    </w:p>
    <w:p w14:paraId="00000022" w14:textId="77777777" w:rsidR="00F10DD4" w:rsidRDefault="00F10DD4">
      <w:pPr>
        <w:tabs>
          <w:tab w:val="right" w:pos="8640"/>
          <w:tab w:val="right" w:pos="8640"/>
        </w:tabs>
      </w:pPr>
    </w:p>
    <w:p w14:paraId="00000023" w14:textId="77777777" w:rsidR="00F10DD4" w:rsidRDefault="00F10DD4">
      <w:pPr>
        <w:tabs>
          <w:tab w:val="right" w:pos="8640"/>
          <w:tab w:val="right" w:pos="8640"/>
        </w:tabs>
      </w:pPr>
    </w:p>
    <w:p w14:paraId="00000024" w14:textId="77777777" w:rsidR="00F10DD4" w:rsidRDefault="00F10DD4">
      <w:pPr>
        <w:tabs>
          <w:tab w:val="right" w:pos="8640"/>
          <w:tab w:val="right" w:pos="8640"/>
        </w:tabs>
      </w:pPr>
    </w:p>
    <w:p w14:paraId="208733D3" w14:textId="77777777" w:rsidR="00463D92" w:rsidRDefault="00463D92" w:rsidP="00463D92">
      <w:pPr>
        <w:pBdr>
          <w:top w:val="nil"/>
          <w:left w:val="nil"/>
          <w:bottom w:val="nil"/>
          <w:right w:val="nil"/>
          <w:between w:val="nil"/>
        </w:pBdr>
        <w:tabs>
          <w:tab w:val="right" w:pos="8640"/>
          <w:tab w:val="right" w:pos="8640"/>
        </w:tabs>
        <w:ind w:firstLine="0"/>
        <w:jc w:val="center"/>
      </w:pPr>
      <w:r w:rsidRPr="00463D92">
        <w:rPr>
          <w:b/>
          <w:bCs/>
          <w:color w:val="000000"/>
        </w:rPr>
        <w:lastRenderedPageBreak/>
        <w:t>Rethinking the Secondary School Model: Advocating for Alternative Academic Pathways</w:t>
      </w:r>
    </w:p>
    <w:p w14:paraId="22A469FB" w14:textId="6E047665" w:rsidR="00463D92" w:rsidRDefault="00463D92" w:rsidP="00463D92">
      <w:r w:rsidRPr="00EA42E8">
        <w:t>Traditional secondary education forces students into the same academic mold—disregarding developmental science, behavior management needs, and post-secondary goals.</w:t>
      </w:r>
      <w:r>
        <w:t xml:space="preserve"> Although the current educational system</w:t>
      </w:r>
      <w:r w:rsidRPr="00EA42E8">
        <w:t xml:space="preserve"> intend</w:t>
      </w:r>
      <w:r>
        <w:t>s</w:t>
      </w:r>
      <w:r w:rsidRPr="00EA42E8">
        <w:t xml:space="preserve"> to promote fairness and college readiness, the current system fails to serve many students and overlooks viable, student-centered alternatives.</w:t>
      </w:r>
      <w:r>
        <w:t xml:space="preserve"> </w:t>
      </w:r>
      <w:r w:rsidRPr="00EA42E8">
        <w:t xml:space="preserve">Middle and high schools </w:t>
      </w:r>
      <w:r>
        <w:t>should</w:t>
      </w:r>
      <w:r w:rsidRPr="00EA42E8">
        <w:t xml:space="preserve"> implement alternative academic pathways—including later start times, vocational tracks, independent</w:t>
      </w:r>
      <w:r>
        <w:t>, online, and hybrid study modalities</w:t>
      </w:r>
      <w:r w:rsidRPr="00EA42E8">
        <w:t xml:space="preserve">, and </w:t>
      </w:r>
      <w:r>
        <w:t xml:space="preserve">student </w:t>
      </w:r>
      <w:r w:rsidRPr="00EA42E8">
        <w:t xml:space="preserve">mentorship—to better serve students’ unique developmental, </w:t>
      </w:r>
      <w:r w:rsidR="000D4BF7">
        <w:t>socio-</w:t>
      </w:r>
      <w:r w:rsidRPr="00EA42E8">
        <w:t>emotional, and</w:t>
      </w:r>
      <w:r>
        <w:t xml:space="preserve"> future</w:t>
      </w:r>
      <w:r w:rsidRPr="00EA42E8">
        <w:t xml:space="preserve"> career needs.</w:t>
      </w:r>
    </w:p>
    <w:p w14:paraId="00000031" w14:textId="351EEF0B" w:rsidR="00F10DD4" w:rsidRPr="002E03B4" w:rsidRDefault="00463D92" w:rsidP="002E03B4">
      <w:pPr>
        <w:tabs>
          <w:tab w:val="right" w:pos="8640"/>
          <w:tab w:val="right" w:pos="8640"/>
        </w:tabs>
        <w:ind w:firstLine="0"/>
        <w:jc w:val="center"/>
        <w:rPr>
          <w:b/>
          <w:bCs/>
        </w:rPr>
      </w:pPr>
      <w:r>
        <w:rPr>
          <w:b/>
          <w:bCs/>
        </w:rPr>
        <w:t>Arguments &amp; Counterarguments</w:t>
      </w:r>
    </w:p>
    <w:p w14:paraId="6F24B6A0" w14:textId="77777777" w:rsidR="001066A5" w:rsidRDefault="001066A5" w:rsidP="00463D92">
      <w:pPr>
        <w:tabs>
          <w:tab w:val="right" w:pos="8640"/>
          <w:tab w:val="right" w:pos="8640"/>
        </w:tabs>
      </w:pPr>
      <w:r w:rsidRPr="001066A5">
        <w:t>There are three primary arguments supporting the need for a new educational model in K–12 secondary education. The current system fails to align with students' needs on multiple levels: biologically, it disregards adolescent sleep patterns; developmentally and socially, it overlooks the importance of tailored learning environments; and practically, it minimizes the acquisition of basic life skills and vocational preparedness.</w:t>
      </w:r>
    </w:p>
    <w:p w14:paraId="457A0DEF" w14:textId="7BC848D1" w:rsidR="00BF74E6" w:rsidRDefault="00463D92" w:rsidP="00463D92">
      <w:pPr>
        <w:tabs>
          <w:tab w:val="right" w:pos="8640"/>
          <w:tab w:val="right" w:pos="8640"/>
        </w:tabs>
      </w:pPr>
      <w:r w:rsidRPr="004E60F8">
        <w:t xml:space="preserve">Even though adjusting start times would disrupt family schedules, transportation routes, and extracurricular activities, the </w:t>
      </w:r>
      <w:r w:rsidR="006A04E4">
        <w:t>K</w:t>
      </w:r>
      <w:r w:rsidRPr="004E60F8">
        <w:t xml:space="preserve">-12 education system must adapt to fit the needs </w:t>
      </w:r>
      <w:r w:rsidR="00792724">
        <w:t xml:space="preserve">of students on a biological and developmental level. </w:t>
      </w:r>
      <w:r w:rsidRPr="004E60F8">
        <w:t xml:space="preserve"> </w:t>
      </w:r>
      <w:r w:rsidR="00792724">
        <w:t xml:space="preserve">There is support that academic success and learning is largely linked to sleep and circadian chronotype in adolescent youth (Ahmad &amp; Mehmood, 2022; Yu et al., </w:t>
      </w:r>
      <w:r w:rsidR="004C7DC0">
        <w:t>2022); Sleep</w:t>
      </w:r>
      <w:r w:rsidR="00792724">
        <w:t xml:space="preserve"> has been linked to </w:t>
      </w:r>
      <w:r w:rsidRPr="004E60F8">
        <w:t>student learning, behavioral outcomes, and improve</w:t>
      </w:r>
      <w:r w:rsidR="004C7DC0">
        <w:t>d</w:t>
      </w:r>
      <w:r w:rsidRPr="004E60F8">
        <w:t xml:space="preserve"> student engagement</w:t>
      </w:r>
      <w:r w:rsidR="00792724">
        <w:t xml:space="preserve"> (</w:t>
      </w:r>
      <w:r w:rsidR="004C7DC0" w:rsidRPr="00DB3457">
        <w:t>Rodríguez Ferrante</w:t>
      </w:r>
      <w:r w:rsidR="00792724">
        <w:t xml:space="preserve">, et al., 2022), however many secondary </w:t>
      </w:r>
      <w:r w:rsidR="004C7DC0">
        <w:t>schools</w:t>
      </w:r>
      <w:r w:rsidR="00792724">
        <w:t xml:space="preserve"> start in the early hours of the morning and do not take into account that </w:t>
      </w:r>
      <w:r w:rsidR="004C7DC0">
        <w:t>adolescents</w:t>
      </w:r>
      <w:r w:rsidR="00792724">
        <w:t xml:space="preserve"> </w:t>
      </w:r>
      <w:r w:rsidRPr="004E60F8">
        <w:t>experience a natural shift in circadian rhythms during puberty, making it difficult for them to fall asleep before 11</w:t>
      </w:r>
      <w:r w:rsidR="00BF74E6">
        <w:t>:</w:t>
      </w:r>
      <w:r w:rsidRPr="004E60F8">
        <w:t xml:space="preserve">00 </w:t>
      </w:r>
      <w:r w:rsidRPr="004E60F8">
        <w:lastRenderedPageBreak/>
        <w:t>pm</w:t>
      </w:r>
      <w:r w:rsidR="00BF74E6">
        <w:t>.</w:t>
      </w:r>
      <w:r w:rsidRPr="004E60F8">
        <w:t xml:space="preserve"> </w:t>
      </w:r>
      <w:r w:rsidR="00BF74E6">
        <w:t>Thus, when</w:t>
      </w:r>
      <w:r w:rsidR="004C7DC0">
        <w:t xml:space="preserve"> adolescent</w:t>
      </w:r>
      <w:r w:rsidR="00BF74E6">
        <w:t xml:space="preserve"> students are biologically </w:t>
      </w:r>
      <w:r w:rsidR="004C7DC0">
        <w:t>geared</w:t>
      </w:r>
      <w:r w:rsidR="00BF74E6">
        <w:t xml:space="preserve"> up to stay up late but</w:t>
      </w:r>
      <w:r w:rsidR="004C7DC0">
        <w:t xml:space="preserve"> systematically</w:t>
      </w:r>
      <w:r w:rsidR="00BF74E6">
        <w:t xml:space="preserve"> </w:t>
      </w:r>
      <w:r w:rsidR="004C7DC0">
        <w:t>required</w:t>
      </w:r>
      <w:r w:rsidR="00BF74E6">
        <w:t xml:space="preserve"> to get up early, the educational schedule produces a psychological and developmental mismatch (Pifer et al., 2024).</w:t>
      </w:r>
    </w:p>
    <w:p w14:paraId="0AA48FB6" w14:textId="13620DA2" w:rsidR="00FC65C4" w:rsidRDefault="00BF74E6" w:rsidP="00463D92">
      <w:pPr>
        <w:tabs>
          <w:tab w:val="right" w:pos="8640"/>
          <w:tab w:val="right" w:pos="8640"/>
        </w:tabs>
      </w:pPr>
      <w:r>
        <w:t xml:space="preserve">Critics of adjusting the current school schedule include the </w:t>
      </w:r>
      <w:r w:rsidR="004C7DC0">
        <w:t>increased</w:t>
      </w:r>
      <w:r>
        <w:t xml:space="preserve"> stress within the family unit, as many parental figures rely upon school hours to align in the morning to fit work shifts and family</w:t>
      </w:r>
      <w:r w:rsidR="00640A98">
        <w:t xml:space="preserve"> dynamics. However, some schools have adjusted their scheduling to a four-day school week rather than the traditional five-day schedule. </w:t>
      </w:r>
      <w:r w:rsidR="00413384">
        <w:t>These adjustments</w:t>
      </w:r>
      <w:r w:rsidR="00640A98">
        <w:t xml:space="preserve">, plus others that are polar opposites, such as year-round school schedules, are widely used among certain school districts. </w:t>
      </w:r>
      <w:r w:rsidR="00FC65C4">
        <w:t>The</w:t>
      </w:r>
      <w:r w:rsidR="00640A98">
        <w:t xml:space="preserve"> argument for adjusting school schedules has already been implemented in varying school districts</w:t>
      </w:r>
      <w:r w:rsidR="00413384">
        <w:t>. It should be noted that</w:t>
      </w:r>
      <w:r w:rsidR="00640A98">
        <w:t xml:space="preserve"> a shift in educational </w:t>
      </w:r>
      <w:r w:rsidR="00FC65C4">
        <w:t>scheduling is</w:t>
      </w:r>
      <w:r w:rsidR="00640A98">
        <w:t xml:space="preserve"> not a new phenomenon to be </w:t>
      </w:r>
      <w:r w:rsidR="004C7DC0">
        <w:t>experienced</w:t>
      </w:r>
      <w:r w:rsidR="00640A98">
        <w:t xml:space="preserve"> by society. </w:t>
      </w:r>
    </w:p>
    <w:p w14:paraId="619229D3" w14:textId="2F41CEBA" w:rsidR="00463D92" w:rsidRDefault="00FC65C4" w:rsidP="00463D92">
      <w:pPr>
        <w:tabs>
          <w:tab w:val="right" w:pos="8640"/>
          <w:tab w:val="right" w:pos="8640"/>
        </w:tabs>
      </w:pPr>
      <w:r>
        <w:t>W</w:t>
      </w:r>
      <w:r w:rsidR="00640A98">
        <w:t xml:space="preserve">hen COVID-19 occurred, the world shifted education from in-person to 100% online. While the shift was needed to fit a global pandemic, society pivoted and managed to handle this </w:t>
      </w:r>
      <w:r>
        <w:t>change</w:t>
      </w:r>
      <w:r w:rsidR="00640A98">
        <w:t xml:space="preserve"> to </w:t>
      </w:r>
      <w:r>
        <w:t>its</w:t>
      </w:r>
      <w:r w:rsidR="00640A98">
        <w:t xml:space="preserve"> best abilities.</w:t>
      </w:r>
      <w:r>
        <w:t xml:space="preserve"> Therefore, as with any change, the idea of being discomforted is a real threat to one’s psyche, but the need for one’s understanding to align with adolescent biological development goes beyond one’s comfort, it becomes an essential change to promote the health and performance of student outcomes and society as a whole.</w:t>
      </w:r>
    </w:p>
    <w:p w14:paraId="07BB228B" w14:textId="7E43AA69" w:rsidR="00640A98" w:rsidRDefault="00413384" w:rsidP="00463D92">
      <w:pPr>
        <w:tabs>
          <w:tab w:val="right" w:pos="8640"/>
          <w:tab w:val="right" w:pos="8640"/>
        </w:tabs>
      </w:pPr>
      <w:r>
        <w:t xml:space="preserve">An additional argument against offering individual educational pathways, such as offering vocational and trade skilled education, is that offering a tiered education where only the elite are college-bound, while those who are marginalized by lower socio-economic status are directed to vocational and trade education can create a social stratification and inequality (Zamfir et al., 2024). This is a strong argument against offering individualized educational pathways by viewing this model through this lens.  However, the emphasis </w:t>
      </w:r>
      <w:r w:rsidR="004C7DC0">
        <w:t>of</w:t>
      </w:r>
      <w:r>
        <w:t xml:space="preserve"> creating a new model is on the </w:t>
      </w:r>
      <w:r>
        <w:lastRenderedPageBreak/>
        <w:t xml:space="preserve">individualized component, which involves choice-based vocational pathways that enhance one’s life by including their own interest, skills, and </w:t>
      </w:r>
      <w:r w:rsidR="004C7DC0">
        <w:t>choices</w:t>
      </w:r>
      <w:r>
        <w:t xml:space="preserve">.  As with any new model of education, the pathways are driven by choice, not forced by a system. </w:t>
      </w:r>
    </w:p>
    <w:p w14:paraId="77940867" w14:textId="77777777" w:rsidR="00463D92" w:rsidRDefault="00463D92">
      <w:pPr>
        <w:tabs>
          <w:tab w:val="right" w:pos="8640"/>
        </w:tabs>
        <w:suppressAutoHyphens w:val="0"/>
        <w:autoSpaceDE/>
        <w:autoSpaceDN/>
      </w:pPr>
      <w:r>
        <w:br w:type="page"/>
      </w:r>
    </w:p>
    <w:p w14:paraId="0000003A" w14:textId="07367ADC" w:rsidR="00F10DD4" w:rsidRPr="00463D92" w:rsidRDefault="00463D92" w:rsidP="00D839B1">
      <w:pPr>
        <w:tabs>
          <w:tab w:val="right" w:pos="8640"/>
          <w:tab w:val="right" w:pos="8640"/>
        </w:tabs>
        <w:ind w:firstLine="0"/>
        <w:jc w:val="center"/>
        <w:rPr>
          <w:b/>
          <w:bCs/>
        </w:rPr>
      </w:pPr>
      <w:r w:rsidRPr="00463D92">
        <w:rPr>
          <w:b/>
          <w:bCs/>
        </w:rPr>
        <w:lastRenderedPageBreak/>
        <w:t>References</w:t>
      </w:r>
    </w:p>
    <w:p w14:paraId="7A8C2924" w14:textId="34C8D680" w:rsidR="005C3602" w:rsidRDefault="005C3602" w:rsidP="000968CF">
      <w:pPr>
        <w:tabs>
          <w:tab w:val="right" w:pos="8640"/>
          <w:tab w:val="right" w:pos="8640"/>
        </w:tabs>
        <w:ind w:left="720" w:hanging="720"/>
      </w:pPr>
      <w:r w:rsidRPr="005C3602">
        <w:t xml:space="preserve">Ahmad, A., </w:t>
      </w:r>
      <w:r w:rsidR="00DB3457">
        <w:t xml:space="preserve">&amp; </w:t>
      </w:r>
      <w:r w:rsidRPr="005C3602">
        <w:t>Mehmood, M. (2022). Alignment between biology curriculum objectives and assessment at higher secondary level. </w:t>
      </w:r>
      <w:r w:rsidRPr="005C3602">
        <w:rPr>
          <w:i/>
          <w:iCs/>
        </w:rPr>
        <w:t>Review of Education, Administration &amp; Law</w:t>
      </w:r>
      <w:r w:rsidRPr="005C3602">
        <w:t>, 5(4), 559-569. </w:t>
      </w:r>
      <w:hyperlink r:id="rId9" w:history="1">
        <w:r w:rsidRPr="005C3602">
          <w:rPr>
            <w:rStyle w:val="Hyperlink"/>
          </w:rPr>
          <w:t>https://doi.org/10.47067/real.v5i4.283</w:t>
        </w:r>
      </w:hyperlink>
    </w:p>
    <w:p w14:paraId="1450FF25" w14:textId="2C9552DE" w:rsidR="006A04E4" w:rsidRDefault="006A04E4" w:rsidP="000968CF">
      <w:pPr>
        <w:tabs>
          <w:tab w:val="right" w:pos="8640"/>
          <w:tab w:val="right" w:pos="8640"/>
        </w:tabs>
        <w:ind w:left="720" w:hanging="720"/>
      </w:pPr>
      <w:r w:rsidRPr="006A04E4">
        <w:t>Ainsworth, J., Roscigno, V. (2005). Stratification, school-work linkages and vocational education. </w:t>
      </w:r>
      <w:r w:rsidRPr="006A04E4">
        <w:rPr>
          <w:i/>
          <w:iCs/>
        </w:rPr>
        <w:t>Social Forces</w:t>
      </w:r>
      <w:r w:rsidRPr="006A04E4">
        <w:t xml:space="preserve">, </w:t>
      </w:r>
      <w:r w:rsidRPr="006A04E4">
        <w:rPr>
          <w:i/>
          <w:iCs/>
        </w:rPr>
        <w:t>84</w:t>
      </w:r>
      <w:r w:rsidRPr="006A04E4">
        <w:t>(1), 257-284. </w:t>
      </w:r>
      <w:hyperlink r:id="rId10" w:history="1">
        <w:r w:rsidRPr="006A04E4">
          <w:rPr>
            <w:rStyle w:val="Hyperlink"/>
          </w:rPr>
          <w:t>https://doi.org/10.1353/sof.2005.0087</w:t>
        </w:r>
      </w:hyperlink>
    </w:p>
    <w:p w14:paraId="59A74256" w14:textId="6118ED35" w:rsidR="000D4BF7" w:rsidRDefault="000D4BF7" w:rsidP="000968CF">
      <w:pPr>
        <w:tabs>
          <w:tab w:val="right" w:pos="8640"/>
          <w:tab w:val="right" w:pos="8640"/>
        </w:tabs>
        <w:ind w:left="720" w:hanging="720"/>
      </w:pPr>
      <w:r w:rsidRPr="000D4BF7">
        <w:t xml:space="preserve">Cheng, E. R., &amp; Carroll, A. E. (2020). Delaying </w:t>
      </w:r>
      <w:r>
        <w:t>s</w:t>
      </w:r>
      <w:r w:rsidRPr="000D4BF7">
        <w:t xml:space="preserve">chool </w:t>
      </w:r>
      <w:r>
        <w:t>s</w:t>
      </w:r>
      <w:r w:rsidRPr="000D4BF7">
        <w:t xml:space="preserve">tart </w:t>
      </w:r>
      <w:r>
        <w:t>t</w:t>
      </w:r>
      <w:r w:rsidRPr="000D4BF7">
        <w:t xml:space="preserve">imes to </w:t>
      </w:r>
      <w:r>
        <w:t>i</w:t>
      </w:r>
      <w:r w:rsidRPr="000D4BF7">
        <w:t xml:space="preserve">mprove </w:t>
      </w:r>
      <w:r>
        <w:t>p</w:t>
      </w:r>
      <w:r w:rsidRPr="000D4BF7">
        <w:t xml:space="preserve">opulation </w:t>
      </w:r>
      <w:r>
        <w:t>h</w:t>
      </w:r>
      <w:r w:rsidRPr="000D4BF7">
        <w:t>ealth. </w:t>
      </w:r>
      <w:r w:rsidRPr="000D4BF7">
        <w:rPr>
          <w:i/>
          <w:iCs/>
        </w:rPr>
        <w:t>JAMA Pediatrics</w:t>
      </w:r>
      <w:r w:rsidRPr="000D4BF7">
        <w:t>, </w:t>
      </w:r>
      <w:r w:rsidRPr="000D4BF7">
        <w:rPr>
          <w:i/>
          <w:iCs/>
        </w:rPr>
        <w:t>174</w:t>
      </w:r>
      <w:r w:rsidRPr="000D4BF7">
        <w:t>(7), 641–643.</w:t>
      </w:r>
      <w:r>
        <w:t xml:space="preserve"> </w:t>
      </w:r>
      <w:r w:rsidRPr="000D4BF7">
        <w:t>https://doi.org/10.1001/jamapediatrics.2020.0351</w:t>
      </w:r>
    </w:p>
    <w:p w14:paraId="64A64F00" w14:textId="2E2F26F7" w:rsidR="001D6E97" w:rsidRDefault="001D6E97" w:rsidP="000968CF">
      <w:pPr>
        <w:tabs>
          <w:tab w:val="right" w:pos="8640"/>
          <w:tab w:val="right" w:pos="8640"/>
        </w:tabs>
        <w:ind w:left="720" w:hanging="720"/>
      </w:pPr>
      <w:r w:rsidRPr="001D6E97">
        <w:t xml:space="preserve">Díaz Morales, J. F., Escribano, C., Puig-Navarro, Y., &amp; Jankowski, K. S. (2023). Factors </w:t>
      </w:r>
      <w:r>
        <w:t>u</w:t>
      </w:r>
      <w:r w:rsidRPr="001D6E97">
        <w:t xml:space="preserve">nderpinning the </w:t>
      </w:r>
      <w:r>
        <w:t>s</w:t>
      </w:r>
      <w:r w:rsidRPr="001D6E97">
        <w:t xml:space="preserve">hift to </w:t>
      </w:r>
      <w:proofErr w:type="spellStart"/>
      <w:r>
        <w:t>e</w:t>
      </w:r>
      <w:r w:rsidRPr="001D6E97">
        <w:t>veningness</w:t>
      </w:r>
      <w:proofErr w:type="spellEnd"/>
      <w:r w:rsidRPr="001D6E97">
        <w:t xml:space="preserve"> during </w:t>
      </w:r>
      <w:r>
        <w:t>e</w:t>
      </w:r>
      <w:r w:rsidRPr="001D6E97">
        <w:t xml:space="preserve">arly </w:t>
      </w:r>
      <w:r>
        <w:t>a</w:t>
      </w:r>
      <w:r w:rsidRPr="001D6E97">
        <w:t xml:space="preserve">dolescence: Pubertal </w:t>
      </w:r>
      <w:r>
        <w:t>d</w:t>
      </w:r>
      <w:r w:rsidRPr="001D6E97">
        <w:t xml:space="preserve">evelopment and </w:t>
      </w:r>
      <w:r>
        <w:t>f</w:t>
      </w:r>
      <w:r w:rsidRPr="001D6E97">
        <w:t xml:space="preserve">amily </w:t>
      </w:r>
      <w:r>
        <w:t>c</w:t>
      </w:r>
      <w:r w:rsidRPr="001D6E97">
        <w:t>onflicts. </w:t>
      </w:r>
      <w:r w:rsidRPr="001D6E97">
        <w:rPr>
          <w:i/>
          <w:iCs/>
        </w:rPr>
        <w:t>Journal of Youth &amp; Adolescence</w:t>
      </w:r>
      <w:r w:rsidRPr="001D6E97">
        <w:t>, </w:t>
      </w:r>
      <w:r w:rsidRPr="001D6E97">
        <w:rPr>
          <w:i/>
          <w:iCs/>
        </w:rPr>
        <w:t>52</w:t>
      </w:r>
      <w:r w:rsidRPr="001D6E97">
        <w:t>(3), 561–569. https://doi.org/10.1007/s10964-022-01708-z</w:t>
      </w:r>
    </w:p>
    <w:p w14:paraId="7EDC0FA7" w14:textId="68B436C7" w:rsidR="001D6E97" w:rsidRDefault="001D6E97" w:rsidP="000968CF">
      <w:pPr>
        <w:tabs>
          <w:tab w:val="right" w:pos="8640"/>
          <w:tab w:val="right" w:pos="8640"/>
        </w:tabs>
        <w:ind w:left="720" w:hanging="720"/>
      </w:pPr>
      <w:proofErr w:type="spellStart"/>
      <w:r w:rsidRPr="001D6E97">
        <w:t>Dunietz</w:t>
      </w:r>
      <w:proofErr w:type="spellEnd"/>
      <w:r w:rsidRPr="001D6E97">
        <w:t xml:space="preserve">, G., Matos-Moreno, A., Singer, D., Davis, M., O'Brien, L., </w:t>
      </w:r>
      <w:r>
        <w:t xml:space="preserve">&amp; </w:t>
      </w:r>
      <w:r w:rsidRPr="001D6E97">
        <w:t>Chervin, R. (2017). Later school start times: What informs parent support or opposition? </w:t>
      </w:r>
      <w:r w:rsidRPr="001D6E97">
        <w:rPr>
          <w:i/>
          <w:iCs/>
        </w:rPr>
        <w:t>Journal of Clinical Sleep Medicine</w:t>
      </w:r>
      <w:r w:rsidRPr="001D6E97">
        <w:t xml:space="preserve">, </w:t>
      </w:r>
      <w:r w:rsidRPr="006A04E4">
        <w:rPr>
          <w:i/>
          <w:iCs/>
        </w:rPr>
        <w:t>13</w:t>
      </w:r>
      <w:r w:rsidRPr="001D6E97">
        <w:t>(07), 889-897. </w:t>
      </w:r>
      <w:hyperlink r:id="rId11" w:history="1">
        <w:r w:rsidRPr="001D6E97">
          <w:rPr>
            <w:rStyle w:val="Hyperlink"/>
          </w:rPr>
          <w:t>https://doi.org/10.5664/jcsm.6660</w:t>
        </w:r>
      </w:hyperlink>
    </w:p>
    <w:p w14:paraId="4DF0B27A" w14:textId="0E09990E" w:rsidR="007A1B1B" w:rsidRDefault="007A1B1B" w:rsidP="000968CF">
      <w:pPr>
        <w:tabs>
          <w:tab w:val="right" w:pos="8640"/>
          <w:tab w:val="right" w:pos="8640"/>
        </w:tabs>
        <w:ind w:left="720" w:hanging="720"/>
      </w:pPr>
      <w:r w:rsidRPr="007A1B1B">
        <w:t xml:space="preserve">Gabriel, T., </w:t>
      </w:r>
      <w:r>
        <w:t xml:space="preserve">&amp; </w:t>
      </w:r>
      <w:proofErr w:type="spellStart"/>
      <w:r w:rsidRPr="007A1B1B">
        <w:t>Börnert-Ringleb</w:t>
      </w:r>
      <w:proofErr w:type="spellEnd"/>
      <w:r w:rsidRPr="007A1B1B">
        <w:t>, M. (2023). The intersection of learning difficulties and behavior problems – a scoping review of intervention research. </w:t>
      </w:r>
      <w:r w:rsidRPr="007A1B1B">
        <w:rPr>
          <w:i/>
          <w:iCs/>
        </w:rPr>
        <w:t>Frontiers in Education</w:t>
      </w:r>
      <w:r w:rsidRPr="007A1B1B">
        <w:t>,</w:t>
      </w:r>
      <w:r>
        <w:t xml:space="preserve"> </w:t>
      </w:r>
      <w:r>
        <w:rPr>
          <w:i/>
          <w:iCs/>
        </w:rPr>
        <w:t>8</w:t>
      </w:r>
      <w:r>
        <w:t>(1268904), 1-25</w:t>
      </w:r>
      <w:r w:rsidRPr="007A1B1B">
        <w:t>. </w:t>
      </w:r>
      <w:hyperlink r:id="rId12" w:history="1">
        <w:r w:rsidRPr="007A1B1B">
          <w:rPr>
            <w:rStyle w:val="Hyperlink"/>
          </w:rPr>
          <w:t>https://doi.org/10.3389/feduc.2023.1268904</w:t>
        </w:r>
      </w:hyperlink>
    </w:p>
    <w:p w14:paraId="2886A201" w14:textId="11463876" w:rsidR="00D82B1D" w:rsidRDefault="00D82B1D" w:rsidP="000968CF">
      <w:pPr>
        <w:tabs>
          <w:tab w:val="right" w:pos="8640"/>
          <w:tab w:val="right" w:pos="8640"/>
        </w:tabs>
        <w:ind w:left="720" w:hanging="720"/>
      </w:pPr>
      <w:proofErr w:type="spellStart"/>
      <w:r w:rsidRPr="00D82B1D">
        <w:t>Haasler</w:t>
      </w:r>
      <w:proofErr w:type="spellEnd"/>
      <w:r w:rsidRPr="00D82B1D">
        <w:t xml:space="preserve">, S. (2020). The </w:t>
      </w:r>
      <w:r>
        <w:t>G</w:t>
      </w:r>
      <w:r w:rsidRPr="00D82B1D">
        <w:t xml:space="preserve">erman system of vocational education and training: Challenges of gender, </w:t>
      </w:r>
      <w:proofErr w:type="spellStart"/>
      <w:r w:rsidRPr="00D82B1D">
        <w:t>academisation</w:t>
      </w:r>
      <w:proofErr w:type="spellEnd"/>
      <w:r w:rsidRPr="00D82B1D">
        <w:t xml:space="preserve"> and the integration of low-achieving youth. </w:t>
      </w:r>
      <w:r w:rsidRPr="00D82B1D">
        <w:rPr>
          <w:i/>
          <w:iCs/>
        </w:rPr>
        <w:t xml:space="preserve">Transfer: European Review of </w:t>
      </w:r>
      <w:proofErr w:type="spellStart"/>
      <w:r w:rsidRPr="00D82B1D">
        <w:rPr>
          <w:i/>
          <w:iCs/>
        </w:rPr>
        <w:t>Labour</w:t>
      </w:r>
      <w:proofErr w:type="spellEnd"/>
      <w:r w:rsidRPr="00D82B1D">
        <w:rPr>
          <w:i/>
          <w:iCs/>
        </w:rPr>
        <w:t xml:space="preserve"> and Research</w:t>
      </w:r>
      <w:r w:rsidRPr="00D82B1D">
        <w:t xml:space="preserve">, </w:t>
      </w:r>
      <w:r w:rsidRPr="006A04E4">
        <w:rPr>
          <w:i/>
          <w:iCs/>
        </w:rPr>
        <w:t>26</w:t>
      </w:r>
      <w:r w:rsidRPr="00D82B1D">
        <w:t>(1), 57</w:t>
      </w:r>
      <w:r>
        <w:t>-</w:t>
      </w:r>
      <w:r w:rsidRPr="00D82B1D">
        <w:t>71.</w:t>
      </w:r>
      <w:hyperlink r:id="rId13" w:history="1">
        <w:r w:rsidRPr="0041370A">
          <w:rPr>
            <w:rStyle w:val="Hyperlink"/>
          </w:rPr>
          <w:t>https://doi.org/</w:t>
        </w:r>
        <w:r w:rsidRPr="0041370A">
          <w:rPr>
            <w:rStyle w:val="Hyperlink"/>
          </w:rPr>
          <w:br/>
          <w:t>10.1177/1024258919898115</w:t>
        </w:r>
      </w:hyperlink>
    </w:p>
    <w:p w14:paraId="4EBC363D" w14:textId="208BA6B1" w:rsidR="001D6E97" w:rsidRDefault="001D6E97" w:rsidP="000968CF">
      <w:pPr>
        <w:tabs>
          <w:tab w:val="right" w:pos="8640"/>
          <w:tab w:val="right" w:pos="8640"/>
        </w:tabs>
        <w:ind w:left="720" w:hanging="720"/>
      </w:pPr>
      <w:r w:rsidRPr="001D6E97">
        <w:lastRenderedPageBreak/>
        <w:t>James, S., Erickson, D., Lammert, S.,</w:t>
      </w:r>
      <w:r>
        <w:t xml:space="preserve"> &amp;</w:t>
      </w:r>
      <w:r w:rsidRPr="001D6E97">
        <w:t xml:space="preserve"> </w:t>
      </w:r>
      <w:proofErr w:type="spellStart"/>
      <w:r w:rsidRPr="001D6E97">
        <w:t>Widome</w:t>
      </w:r>
      <w:proofErr w:type="spellEnd"/>
      <w:r w:rsidRPr="001D6E97">
        <w:t>, R. (2023). School start time delays and high school educational outcomes: Evidence from the start/learn study. </w:t>
      </w:r>
      <w:r w:rsidRPr="001D6E97">
        <w:rPr>
          <w:i/>
          <w:iCs/>
        </w:rPr>
        <w:t>Journal of Adolescence</w:t>
      </w:r>
      <w:r w:rsidRPr="001D6E97">
        <w:t xml:space="preserve">, </w:t>
      </w:r>
      <w:r w:rsidRPr="006A04E4">
        <w:rPr>
          <w:i/>
          <w:iCs/>
        </w:rPr>
        <w:t>95</w:t>
      </w:r>
      <w:r w:rsidRPr="001D6E97">
        <w:t>(4), 751-763. </w:t>
      </w:r>
      <w:hyperlink r:id="rId14" w:history="1">
        <w:r w:rsidRPr="001D6E97">
          <w:rPr>
            <w:rStyle w:val="Hyperlink"/>
          </w:rPr>
          <w:t>https://doi.org/10.1002/jad.12151</w:t>
        </w:r>
      </w:hyperlink>
    </w:p>
    <w:p w14:paraId="3023B25C" w14:textId="588CF77B" w:rsidR="005C3602" w:rsidRDefault="005C3602" w:rsidP="000968CF">
      <w:pPr>
        <w:tabs>
          <w:tab w:val="right" w:pos="8640"/>
          <w:tab w:val="right" w:pos="8640"/>
        </w:tabs>
        <w:ind w:left="720" w:hanging="720"/>
      </w:pPr>
      <w:r w:rsidRPr="005C3602">
        <w:t xml:space="preserve">Jones, R., </w:t>
      </w:r>
      <w:proofErr w:type="spellStart"/>
      <w:r w:rsidRPr="005C3602">
        <w:t>Kreppner</w:t>
      </w:r>
      <w:proofErr w:type="spellEnd"/>
      <w:r w:rsidRPr="005C3602">
        <w:t xml:space="preserve">, J., Marsh, F., </w:t>
      </w:r>
      <w:r>
        <w:t xml:space="preserve">&amp; </w:t>
      </w:r>
      <w:r w:rsidRPr="005C3602">
        <w:t xml:space="preserve">Hartwell, B. (2024). Supporting </w:t>
      </w:r>
      <w:proofErr w:type="spellStart"/>
      <w:r w:rsidRPr="005C3602">
        <w:t>behaviour</w:t>
      </w:r>
      <w:proofErr w:type="spellEnd"/>
      <w:r w:rsidRPr="005C3602">
        <w:t xml:space="preserve"> and emotions in school: An exploration into school staff perspectives on the journey from punitive approaches to relational-based approaches. </w:t>
      </w:r>
      <w:r w:rsidRPr="005C3602">
        <w:rPr>
          <w:i/>
          <w:iCs/>
        </w:rPr>
        <w:t xml:space="preserve">Emotional and </w:t>
      </w:r>
      <w:proofErr w:type="spellStart"/>
      <w:r w:rsidRPr="005C3602">
        <w:rPr>
          <w:i/>
          <w:iCs/>
        </w:rPr>
        <w:t>Behavioural</w:t>
      </w:r>
      <w:proofErr w:type="spellEnd"/>
      <w:r w:rsidRPr="005C3602">
        <w:rPr>
          <w:i/>
          <w:iCs/>
        </w:rPr>
        <w:t xml:space="preserve"> Difficulties</w:t>
      </w:r>
      <w:r w:rsidRPr="005C3602">
        <w:t xml:space="preserve">, </w:t>
      </w:r>
      <w:r w:rsidRPr="006A04E4">
        <w:rPr>
          <w:i/>
          <w:iCs/>
        </w:rPr>
        <w:t>29</w:t>
      </w:r>
      <w:r w:rsidRPr="005C3602">
        <w:t>(1-2), 82-98. </w:t>
      </w:r>
      <w:hyperlink r:id="rId15" w:history="1">
        <w:r w:rsidRPr="005C3602">
          <w:rPr>
            <w:rStyle w:val="Hyperlink"/>
          </w:rPr>
          <w:t>https://doi.org/10.1080/13632752.2024.2354021</w:t>
        </w:r>
      </w:hyperlink>
    </w:p>
    <w:p w14:paraId="26876B38" w14:textId="1A21D121" w:rsidR="005C3602" w:rsidRDefault="005C3602" w:rsidP="000968CF">
      <w:pPr>
        <w:tabs>
          <w:tab w:val="right" w:pos="8640"/>
          <w:tab w:val="right" w:pos="8640"/>
        </w:tabs>
        <w:ind w:left="720" w:hanging="720"/>
      </w:pPr>
      <w:proofErr w:type="spellStart"/>
      <w:r w:rsidRPr="005C3602">
        <w:t>Kizilcec</w:t>
      </w:r>
      <w:proofErr w:type="spellEnd"/>
      <w:r w:rsidRPr="005C3602">
        <w:t xml:space="preserve">, R., Reich, J., Yeomans, M., Dann, C., Brunskill, E., Lopez, G., </w:t>
      </w:r>
      <w:proofErr w:type="spellStart"/>
      <w:r w:rsidRPr="005C3602">
        <w:t>Turkay</w:t>
      </w:r>
      <w:proofErr w:type="spellEnd"/>
      <w:r w:rsidRPr="005C3602">
        <w:t>, S., Williams, J.,</w:t>
      </w:r>
      <w:r>
        <w:t xml:space="preserve"> &amp;</w:t>
      </w:r>
      <w:r w:rsidRPr="005C3602">
        <w:t xml:space="preserve"> Tingley, D. (2020). Scaling up behavioral science interventions in online education. </w:t>
      </w:r>
      <w:r w:rsidRPr="005C3602">
        <w:rPr>
          <w:i/>
          <w:iCs/>
        </w:rPr>
        <w:t>Proceedings of the National Academy of Sciences</w:t>
      </w:r>
      <w:r w:rsidRPr="005C3602">
        <w:t xml:space="preserve">, </w:t>
      </w:r>
      <w:r w:rsidRPr="007119E0">
        <w:rPr>
          <w:i/>
          <w:iCs/>
        </w:rPr>
        <w:t>117</w:t>
      </w:r>
      <w:r w:rsidRPr="005C3602">
        <w:t>(26), 14900-14905. </w:t>
      </w:r>
      <w:hyperlink r:id="rId16" w:history="1">
        <w:r w:rsidRPr="005C3602">
          <w:rPr>
            <w:rStyle w:val="Hyperlink"/>
          </w:rPr>
          <w:t>https://doi.org/10.1073/pnas.1921417117</w:t>
        </w:r>
      </w:hyperlink>
    </w:p>
    <w:p w14:paraId="6B4D0C5A" w14:textId="4BEE90E1" w:rsidR="007119E0" w:rsidRDefault="007119E0" w:rsidP="000968CF">
      <w:pPr>
        <w:tabs>
          <w:tab w:val="right" w:pos="8640"/>
          <w:tab w:val="right" w:pos="8640"/>
        </w:tabs>
        <w:ind w:left="720" w:hanging="720"/>
      </w:pPr>
      <w:r w:rsidRPr="007119E0">
        <w:t xml:space="preserve">Kruithof, E., </w:t>
      </w:r>
      <w:r>
        <w:t xml:space="preserve">&amp; </w:t>
      </w:r>
      <w:r w:rsidRPr="007119E0">
        <w:t xml:space="preserve">Verhaeghe, P. (2024). The </w:t>
      </w:r>
      <w:proofErr w:type="spellStart"/>
      <w:r w:rsidRPr="007119E0">
        <w:t>u-turn</w:t>
      </w:r>
      <w:proofErr w:type="spellEnd"/>
      <w:r w:rsidRPr="007119E0">
        <w:t xml:space="preserve"> in educational inequality. why a multidimensional approach matters for measuring social inequalities in tertiary educational attainment. </w:t>
      </w:r>
      <w:r w:rsidRPr="007119E0">
        <w:rPr>
          <w:i/>
          <w:iCs/>
        </w:rPr>
        <w:t>Research in Social Stratification and Mobility</w:t>
      </w:r>
      <w:r w:rsidRPr="007119E0">
        <w:t xml:space="preserve">, </w:t>
      </w:r>
      <w:r w:rsidRPr="007119E0">
        <w:rPr>
          <w:i/>
          <w:iCs/>
        </w:rPr>
        <w:t>94</w:t>
      </w:r>
      <w:r w:rsidRPr="007119E0">
        <w:t>, 100994. </w:t>
      </w:r>
      <w:hyperlink r:id="rId17" w:history="1">
        <w:r w:rsidRPr="007119E0">
          <w:rPr>
            <w:rStyle w:val="Hyperlink"/>
          </w:rPr>
          <w:t>https://doi.org/10.1016/j.rssm.2024.100994</w:t>
        </w:r>
      </w:hyperlink>
    </w:p>
    <w:p w14:paraId="0F105A27" w14:textId="159C2B9C" w:rsidR="00D82B1D" w:rsidRDefault="00D82B1D" w:rsidP="000968CF">
      <w:pPr>
        <w:tabs>
          <w:tab w:val="right" w:pos="8640"/>
          <w:tab w:val="right" w:pos="8640"/>
        </w:tabs>
        <w:ind w:left="720" w:hanging="720"/>
      </w:pPr>
      <w:proofErr w:type="spellStart"/>
      <w:r w:rsidRPr="00D82B1D">
        <w:t>Milmeister</w:t>
      </w:r>
      <w:proofErr w:type="spellEnd"/>
      <w:r w:rsidRPr="00D82B1D">
        <w:t xml:space="preserve">, P., Rastoder, M., </w:t>
      </w:r>
      <w:r>
        <w:t xml:space="preserve">&amp; </w:t>
      </w:r>
      <w:proofErr w:type="spellStart"/>
      <w:r w:rsidRPr="00D82B1D">
        <w:t>Houssemand</w:t>
      </w:r>
      <w:proofErr w:type="spellEnd"/>
      <w:r w:rsidRPr="00D82B1D">
        <w:t xml:space="preserve">, C. (2022). Mechanisms of participation in vocational education and training in </w:t>
      </w:r>
      <w:r>
        <w:t>E</w:t>
      </w:r>
      <w:r w:rsidRPr="00D82B1D">
        <w:t>urope. </w:t>
      </w:r>
      <w:r w:rsidRPr="00D82B1D">
        <w:rPr>
          <w:i/>
          <w:iCs/>
        </w:rPr>
        <w:t>Frontiers in Psychology</w:t>
      </w:r>
      <w:r w:rsidRPr="00D82B1D">
        <w:t xml:space="preserve">, </w:t>
      </w:r>
      <w:r w:rsidRPr="007119E0">
        <w:rPr>
          <w:i/>
          <w:iCs/>
        </w:rPr>
        <w:t>13</w:t>
      </w:r>
      <w:r w:rsidR="007119E0">
        <w:rPr>
          <w:rFonts w:ascii="Helvetica" w:hAnsi="Helvetica" w:cs="Helvetica"/>
          <w:color w:val="282828"/>
          <w:shd w:val="clear" w:color="auto" w:fill="F7F7F7"/>
        </w:rPr>
        <w:t>(</w:t>
      </w:r>
      <w:r w:rsidR="007119E0" w:rsidRPr="007119E0">
        <w:t>842307</w:t>
      </w:r>
      <w:r w:rsidR="007119E0">
        <w:t>), 1-12.</w:t>
      </w:r>
      <w:r w:rsidRPr="00D82B1D">
        <w:t> </w:t>
      </w:r>
      <w:hyperlink r:id="rId18" w:history="1">
        <w:r w:rsidRPr="00D82B1D">
          <w:rPr>
            <w:rStyle w:val="Hyperlink"/>
          </w:rPr>
          <w:t>https://doi.org/10.3389/fpsyg.2022.842307</w:t>
        </w:r>
      </w:hyperlink>
    </w:p>
    <w:p w14:paraId="26BB29AA" w14:textId="3DABE3F7" w:rsidR="00BF74E6" w:rsidRDefault="00BF74E6" w:rsidP="000968CF">
      <w:pPr>
        <w:tabs>
          <w:tab w:val="right" w:pos="8640"/>
          <w:tab w:val="right" w:pos="8640"/>
        </w:tabs>
        <w:ind w:left="720" w:hanging="720"/>
      </w:pPr>
      <w:r w:rsidRPr="00BF74E6">
        <w:t>Pifer, G., Ferrara, N., Kwapis, J. (2024). Long-lasting effects of disturbing the circadian rhythm or sleep in adolescence. </w:t>
      </w:r>
      <w:r w:rsidRPr="00BF74E6">
        <w:rPr>
          <w:i/>
          <w:iCs/>
        </w:rPr>
        <w:t>Brain Research Bulletin</w:t>
      </w:r>
      <w:r w:rsidRPr="00BF74E6">
        <w:t xml:space="preserve">, </w:t>
      </w:r>
      <w:r w:rsidRPr="00BF74E6">
        <w:rPr>
          <w:i/>
          <w:iCs/>
        </w:rPr>
        <w:t>213</w:t>
      </w:r>
      <w:r w:rsidRPr="00BF74E6">
        <w:t>, 110978. </w:t>
      </w:r>
      <w:hyperlink r:id="rId19" w:history="1">
        <w:r w:rsidRPr="00BF74E6">
          <w:rPr>
            <w:rStyle w:val="Hyperlink"/>
          </w:rPr>
          <w:t>https://doi.org/10.1016/j.brainresbull.2024.110978</w:t>
        </w:r>
      </w:hyperlink>
    </w:p>
    <w:p w14:paraId="641B7671" w14:textId="4466619A" w:rsidR="00DB3457" w:rsidRDefault="00DB3457" w:rsidP="000968CF">
      <w:pPr>
        <w:tabs>
          <w:tab w:val="right" w:pos="8640"/>
          <w:tab w:val="right" w:pos="8640"/>
        </w:tabs>
        <w:ind w:left="720" w:hanging="720"/>
      </w:pPr>
      <w:r w:rsidRPr="00DB3457">
        <w:t xml:space="preserve">Rodríguez Ferrante, G., Goldin, A., Sigman, M., Leone, M. (2022). Chronotype at the beginning of secondary school and school timing are both associated with chronotype development </w:t>
      </w:r>
      <w:r w:rsidRPr="00DB3457">
        <w:lastRenderedPageBreak/>
        <w:t>during adolescence. </w:t>
      </w:r>
      <w:r w:rsidRPr="00DB3457">
        <w:rPr>
          <w:i/>
          <w:iCs/>
        </w:rPr>
        <w:t>Scientific Reports</w:t>
      </w:r>
      <w:r w:rsidRPr="00DB3457">
        <w:t xml:space="preserve">, </w:t>
      </w:r>
      <w:r w:rsidRPr="006A04E4">
        <w:rPr>
          <w:i/>
          <w:iCs/>
        </w:rPr>
        <w:t>12</w:t>
      </w:r>
      <w:r w:rsidRPr="00DB3457">
        <w:t>(1). </w:t>
      </w:r>
      <w:hyperlink r:id="rId20" w:history="1">
        <w:r w:rsidRPr="00DB3457">
          <w:rPr>
            <w:rStyle w:val="Hyperlink"/>
          </w:rPr>
          <w:t>https://doi.org/10.1038/s41598-022-11928-9</w:t>
        </w:r>
      </w:hyperlink>
    </w:p>
    <w:p w14:paraId="5762C51C" w14:textId="1BF6BF74" w:rsidR="009C796D" w:rsidRDefault="009C796D" w:rsidP="000968CF">
      <w:pPr>
        <w:tabs>
          <w:tab w:val="right" w:pos="8640"/>
          <w:tab w:val="right" w:pos="8640"/>
        </w:tabs>
        <w:ind w:left="720" w:hanging="720"/>
      </w:pPr>
      <w:r w:rsidRPr="009C796D">
        <w:t xml:space="preserve">Salas-Velasco, M. (2024). Vocational education and training systems in </w:t>
      </w:r>
      <w:r>
        <w:t>E</w:t>
      </w:r>
      <w:r w:rsidRPr="009C796D">
        <w:t>urope: A cluster analysis. </w:t>
      </w:r>
      <w:r w:rsidRPr="009C796D">
        <w:rPr>
          <w:i/>
          <w:iCs/>
        </w:rPr>
        <w:t>European Educational Research Journal</w:t>
      </w:r>
      <w:r w:rsidRPr="009C796D">
        <w:t xml:space="preserve">, </w:t>
      </w:r>
      <w:r w:rsidRPr="006A04E4">
        <w:rPr>
          <w:i/>
          <w:iCs/>
        </w:rPr>
        <w:t>23</w:t>
      </w:r>
      <w:r w:rsidRPr="009C796D">
        <w:t>(3), 434-449. </w:t>
      </w:r>
      <w:hyperlink r:id="rId21" w:history="1">
        <w:r w:rsidRPr="009C796D">
          <w:rPr>
            <w:rStyle w:val="Hyperlink"/>
          </w:rPr>
          <w:t>https://doi.org/10.1177/14749041221151189</w:t>
        </w:r>
      </w:hyperlink>
    </w:p>
    <w:p w14:paraId="7F47BA0B" w14:textId="12940D58" w:rsidR="005C3602" w:rsidRDefault="005C3602" w:rsidP="000968CF">
      <w:pPr>
        <w:tabs>
          <w:tab w:val="right" w:pos="8640"/>
          <w:tab w:val="right" w:pos="8640"/>
        </w:tabs>
        <w:ind w:left="720" w:hanging="720"/>
      </w:pPr>
      <w:r w:rsidRPr="005C3602">
        <w:t xml:space="preserve">Schwab, S., </w:t>
      </w:r>
      <w:proofErr w:type="spellStart"/>
      <w:r w:rsidRPr="005C3602">
        <w:t>Lehofer</w:t>
      </w:r>
      <w:proofErr w:type="spellEnd"/>
      <w:r w:rsidRPr="005C3602">
        <w:t xml:space="preserve">, M., </w:t>
      </w:r>
      <w:r>
        <w:t xml:space="preserve">&amp; </w:t>
      </w:r>
      <w:r w:rsidRPr="005C3602">
        <w:t>Tanzer, N. (2021). The impact of social behavior and peers’ attitudes toward students with special educational needs on self-reported peer interactions. </w:t>
      </w:r>
      <w:r w:rsidRPr="005C3602">
        <w:rPr>
          <w:i/>
          <w:iCs/>
        </w:rPr>
        <w:t>Frontiers in Education</w:t>
      </w:r>
      <w:r w:rsidRPr="005C3602">
        <w:t>,</w:t>
      </w:r>
      <w:r>
        <w:t xml:space="preserve"> </w:t>
      </w:r>
      <w:r w:rsidRPr="005C3602">
        <w:rPr>
          <w:i/>
          <w:iCs/>
        </w:rPr>
        <w:t>6</w:t>
      </w:r>
      <w:r>
        <w:t xml:space="preserve">(561662). </w:t>
      </w:r>
      <w:hyperlink r:id="rId22" w:history="1">
        <w:r w:rsidRPr="0041370A">
          <w:rPr>
            <w:rStyle w:val="Hyperlink"/>
          </w:rPr>
          <w:t>https://doi.org/10.3389/feduc.2021.561662</w:t>
        </w:r>
      </w:hyperlink>
    </w:p>
    <w:p w14:paraId="2C788311" w14:textId="4042224C" w:rsidR="007119E0" w:rsidRDefault="007119E0" w:rsidP="000968CF">
      <w:pPr>
        <w:tabs>
          <w:tab w:val="right" w:pos="8640"/>
          <w:tab w:val="right" w:pos="8640"/>
        </w:tabs>
        <w:ind w:left="720" w:hanging="720"/>
      </w:pPr>
      <w:r w:rsidRPr="007119E0">
        <w:t>Traini, C. (2022). The stratification of education systems and social background inequality of educational opportunity. </w:t>
      </w:r>
      <w:r w:rsidRPr="007119E0">
        <w:rPr>
          <w:i/>
          <w:iCs/>
        </w:rPr>
        <w:t>International Journal of Comparative Sociology</w:t>
      </w:r>
      <w:r w:rsidRPr="007119E0">
        <w:t xml:space="preserve">, </w:t>
      </w:r>
      <w:r w:rsidRPr="006A04E4">
        <w:rPr>
          <w:i/>
          <w:iCs/>
        </w:rPr>
        <w:t>63</w:t>
      </w:r>
      <w:r w:rsidRPr="007119E0">
        <w:t>(1-2), 10-29. </w:t>
      </w:r>
      <w:hyperlink r:id="rId23" w:history="1">
        <w:r w:rsidRPr="007119E0">
          <w:rPr>
            <w:rStyle w:val="Hyperlink"/>
          </w:rPr>
          <w:t>https://doi.org/10.1177/00207152211033015</w:t>
        </w:r>
      </w:hyperlink>
    </w:p>
    <w:p w14:paraId="7890AB18" w14:textId="4FF60707" w:rsidR="00D82B1D" w:rsidRDefault="00D82B1D" w:rsidP="000968CF">
      <w:pPr>
        <w:tabs>
          <w:tab w:val="right" w:pos="8640"/>
          <w:tab w:val="right" w:pos="8640"/>
        </w:tabs>
        <w:ind w:left="720" w:hanging="720"/>
      </w:pPr>
      <w:r w:rsidRPr="00D82B1D">
        <w:t>Veres, M.</w:t>
      </w:r>
      <w:r>
        <w:t xml:space="preserve"> M., &amp; </w:t>
      </w:r>
      <w:r w:rsidRPr="00D82B1D">
        <w:t xml:space="preserve">Veres, C., </w:t>
      </w:r>
      <w:r>
        <w:t xml:space="preserve">&amp; </w:t>
      </w:r>
      <w:r w:rsidRPr="00D82B1D">
        <w:t>Albu, S.</w:t>
      </w:r>
      <w:r>
        <w:t xml:space="preserve"> C.</w:t>
      </w:r>
      <w:r w:rsidRPr="00D82B1D">
        <w:t xml:space="preserve"> (2024). The </w:t>
      </w:r>
      <w:r>
        <w:t>E</w:t>
      </w:r>
      <w:r w:rsidRPr="00D82B1D">
        <w:t>uropean vocational education and training system: Towards a unified approach. </w:t>
      </w:r>
      <w:r w:rsidRPr="00D82B1D">
        <w:rPr>
          <w:i/>
          <w:iCs/>
        </w:rPr>
        <w:t xml:space="preserve">Acta </w:t>
      </w:r>
      <w:proofErr w:type="spellStart"/>
      <w:r w:rsidRPr="00D82B1D">
        <w:rPr>
          <w:i/>
          <w:iCs/>
        </w:rPr>
        <w:t>Marisiensis</w:t>
      </w:r>
      <w:proofErr w:type="spellEnd"/>
      <w:r w:rsidRPr="00D82B1D">
        <w:rPr>
          <w:i/>
          <w:iCs/>
        </w:rPr>
        <w:t xml:space="preserve">. Seria </w:t>
      </w:r>
      <w:proofErr w:type="spellStart"/>
      <w:r w:rsidRPr="00D82B1D">
        <w:rPr>
          <w:i/>
          <w:iCs/>
        </w:rPr>
        <w:t>Technologica</w:t>
      </w:r>
      <w:proofErr w:type="spellEnd"/>
      <w:r w:rsidRPr="00D82B1D">
        <w:t xml:space="preserve">, </w:t>
      </w:r>
      <w:r w:rsidRPr="006A04E4">
        <w:rPr>
          <w:i/>
          <w:iCs/>
        </w:rPr>
        <w:t>21</w:t>
      </w:r>
      <w:r w:rsidRPr="00D82B1D">
        <w:t>(1), 27-33. </w:t>
      </w:r>
      <w:hyperlink r:id="rId24" w:history="1">
        <w:r w:rsidRPr="00D82B1D">
          <w:rPr>
            <w:rStyle w:val="Hyperlink"/>
          </w:rPr>
          <w:t>https://doi.org/10.62838/amset-2024-0005</w:t>
        </w:r>
      </w:hyperlink>
    </w:p>
    <w:p w14:paraId="4E4042B5" w14:textId="37EC1FE7" w:rsidR="00335F27" w:rsidRDefault="000D4BF7" w:rsidP="000968CF">
      <w:pPr>
        <w:tabs>
          <w:tab w:val="right" w:pos="8640"/>
          <w:tab w:val="right" w:pos="8640"/>
        </w:tabs>
        <w:ind w:left="720" w:hanging="720"/>
      </w:pPr>
      <w:r w:rsidRPr="000D4BF7">
        <w:t xml:space="preserve">Watson, N., Martin, J., Wise, M., Carden, K., Kirsch, D., Kristo, D., Malhotra, R., Olson, E., Ramar, K., Rosen, I., Rowley, J., Weaver, T., </w:t>
      </w:r>
      <w:r>
        <w:t xml:space="preserve">&amp; </w:t>
      </w:r>
      <w:r w:rsidRPr="000D4BF7">
        <w:t xml:space="preserve">Chervin, R. (2017). Delaying middle school and high school start times promotes student health and performance: An </w:t>
      </w:r>
      <w:r>
        <w:t>A</w:t>
      </w:r>
      <w:r w:rsidRPr="000D4BF7">
        <w:t>merican academy of sleep medicine position statement. </w:t>
      </w:r>
      <w:r w:rsidRPr="000D4BF7">
        <w:rPr>
          <w:i/>
          <w:iCs/>
        </w:rPr>
        <w:t>Journal of Clinical Sleep Medicine</w:t>
      </w:r>
      <w:r w:rsidRPr="000D4BF7">
        <w:t xml:space="preserve">, </w:t>
      </w:r>
      <w:r w:rsidRPr="006A04E4">
        <w:rPr>
          <w:i/>
          <w:iCs/>
        </w:rPr>
        <w:t>13</w:t>
      </w:r>
      <w:r w:rsidRPr="000D4BF7">
        <w:t>(04), 623-625. </w:t>
      </w:r>
      <w:hyperlink r:id="rId25" w:history="1">
        <w:r w:rsidRPr="000D4BF7">
          <w:rPr>
            <w:rStyle w:val="Hyperlink"/>
          </w:rPr>
          <w:t>https://doi.org/10.5664/jcsm.6558</w:t>
        </w:r>
      </w:hyperlink>
    </w:p>
    <w:p w14:paraId="177B6D37" w14:textId="2A47B4FB" w:rsidR="00DB3457" w:rsidRDefault="00DB3457" w:rsidP="000968CF">
      <w:pPr>
        <w:tabs>
          <w:tab w:val="right" w:pos="8640"/>
          <w:tab w:val="right" w:pos="8640"/>
        </w:tabs>
        <w:ind w:left="720" w:hanging="720"/>
      </w:pPr>
      <w:r w:rsidRPr="00DB3457">
        <w:t xml:space="preserve">Yu, J., Li, C., </w:t>
      </w:r>
      <w:r>
        <w:t xml:space="preserve">&amp; </w:t>
      </w:r>
      <w:r w:rsidRPr="00DB3457">
        <w:t>Li, G. (2022). Alignment between biology curriculum standards and five textbook editions: A content analysis. </w:t>
      </w:r>
      <w:r w:rsidRPr="00DB3457">
        <w:rPr>
          <w:i/>
          <w:iCs/>
        </w:rPr>
        <w:t>International Journal of Science Education</w:t>
      </w:r>
      <w:r w:rsidRPr="00DB3457">
        <w:t xml:space="preserve">, </w:t>
      </w:r>
      <w:r w:rsidRPr="006A04E4">
        <w:rPr>
          <w:i/>
          <w:iCs/>
        </w:rPr>
        <w:t>44</w:t>
      </w:r>
      <w:r w:rsidRPr="00DB3457">
        <w:t>(14), 1-20. </w:t>
      </w:r>
      <w:hyperlink r:id="rId26" w:history="1">
        <w:r w:rsidRPr="00DB3457">
          <w:rPr>
            <w:rStyle w:val="Hyperlink"/>
          </w:rPr>
          <w:t>https://doi.org/10.1080/09500693.2022.2119621</w:t>
        </w:r>
      </w:hyperlink>
    </w:p>
    <w:p w14:paraId="4F5AF99B" w14:textId="3CC188EF" w:rsidR="00DB3457" w:rsidRDefault="00DB3457" w:rsidP="000968CF">
      <w:pPr>
        <w:tabs>
          <w:tab w:val="right" w:pos="8640"/>
          <w:tab w:val="right" w:pos="8640"/>
        </w:tabs>
        <w:ind w:left="720" w:hanging="720"/>
      </w:pPr>
      <w:r w:rsidRPr="00DB3457">
        <w:lastRenderedPageBreak/>
        <w:t xml:space="preserve">Zamfir, A., Aldea, A., Molea, R. (2024). Stratification and inequality in the secondary education system in </w:t>
      </w:r>
      <w:r>
        <w:t>R</w:t>
      </w:r>
      <w:r w:rsidRPr="00DB3457">
        <w:t>omania. </w:t>
      </w:r>
      <w:r w:rsidRPr="00DB3457">
        <w:rPr>
          <w:i/>
          <w:iCs/>
        </w:rPr>
        <w:t>Systems</w:t>
      </w:r>
      <w:r w:rsidRPr="00DB3457">
        <w:t xml:space="preserve">, </w:t>
      </w:r>
      <w:r w:rsidRPr="006A04E4">
        <w:rPr>
          <w:i/>
          <w:iCs/>
        </w:rPr>
        <w:t>12</w:t>
      </w:r>
      <w:r w:rsidRPr="00DB3457">
        <w:t>(1), 15. </w:t>
      </w:r>
      <w:hyperlink r:id="rId27" w:history="1">
        <w:r w:rsidRPr="00DB3457">
          <w:rPr>
            <w:rStyle w:val="Hyperlink"/>
          </w:rPr>
          <w:t>https://doi.org/10.3390/systems12010015</w:t>
        </w:r>
      </w:hyperlink>
    </w:p>
    <w:p w14:paraId="06C72027" w14:textId="1FDBD3D9" w:rsidR="00335F27" w:rsidRDefault="00275BC0" w:rsidP="000968CF">
      <w:pPr>
        <w:tabs>
          <w:tab w:val="right" w:pos="8640"/>
          <w:tab w:val="right" w:pos="8640"/>
        </w:tabs>
        <w:ind w:left="720" w:hanging="720"/>
      </w:pPr>
      <w:r w:rsidRPr="00275BC0">
        <w:t>Zhao, Y.,</w:t>
      </w:r>
      <w:r>
        <w:t xml:space="preserve"> &amp;</w:t>
      </w:r>
      <w:r w:rsidRPr="00275BC0">
        <w:t xml:space="preserve"> </w:t>
      </w:r>
      <w:proofErr w:type="spellStart"/>
      <w:r w:rsidRPr="00275BC0">
        <w:t>Watterston</w:t>
      </w:r>
      <w:proofErr w:type="spellEnd"/>
      <w:r w:rsidRPr="00275BC0">
        <w:t>, J. (2021). The changes we need: Education post covid-19. </w:t>
      </w:r>
      <w:r w:rsidRPr="00275BC0">
        <w:rPr>
          <w:i/>
          <w:iCs/>
        </w:rPr>
        <w:t>Journal of Educational Change</w:t>
      </w:r>
      <w:r w:rsidRPr="00275BC0">
        <w:t xml:space="preserve">, </w:t>
      </w:r>
      <w:r w:rsidRPr="006A04E4">
        <w:rPr>
          <w:i/>
          <w:iCs/>
        </w:rPr>
        <w:t>22</w:t>
      </w:r>
      <w:r w:rsidRPr="00275BC0">
        <w:t>(1), 3-12. </w:t>
      </w:r>
      <w:hyperlink r:id="rId28" w:history="1">
        <w:r w:rsidRPr="00275BC0">
          <w:rPr>
            <w:rStyle w:val="Hyperlink"/>
          </w:rPr>
          <w:t>https://doi.org/10.1007/s10833-021-09417-3</w:t>
        </w:r>
      </w:hyperlink>
    </w:p>
    <w:p w14:paraId="67A71D29" w14:textId="77777777" w:rsidR="00335F27" w:rsidRDefault="00335F27" w:rsidP="000968CF">
      <w:pPr>
        <w:tabs>
          <w:tab w:val="right" w:pos="8640"/>
          <w:tab w:val="right" w:pos="8640"/>
        </w:tabs>
        <w:ind w:left="720" w:hanging="720"/>
      </w:pPr>
    </w:p>
    <w:p w14:paraId="2D1392E9" w14:textId="77777777" w:rsidR="00335F27" w:rsidRDefault="00335F27" w:rsidP="000968CF">
      <w:pPr>
        <w:tabs>
          <w:tab w:val="right" w:pos="8640"/>
          <w:tab w:val="right" w:pos="8640"/>
        </w:tabs>
        <w:ind w:left="720" w:hanging="720"/>
      </w:pPr>
    </w:p>
    <w:p w14:paraId="5837B707" w14:textId="77777777" w:rsidR="00335F27" w:rsidRDefault="00335F27" w:rsidP="000968CF">
      <w:pPr>
        <w:tabs>
          <w:tab w:val="right" w:pos="8640"/>
          <w:tab w:val="right" w:pos="8640"/>
        </w:tabs>
        <w:ind w:left="720" w:hanging="720"/>
      </w:pPr>
    </w:p>
    <w:sectPr w:rsidR="00335F27">
      <w:head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B9823" w14:textId="77777777" w:rsidR="00B566E2" w:rsidRDefault="00B566E2">
      <w:pPr>
        <w:spacing w:line="240" w:lineRule="auto"/>
      </w:pPr>
      <w:r>
        <w:separator/>
      </w:r>
    </w:p>
  </w:endnote>
  <w:endnote w:type="continuationSeparator" w:id="0">
    <w:p w14:paraId="0735A9B9" w14:textId="77777777" w:rsidR="00B566E2" w:rsidRDefault="00B566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010F8" w14:textId="77777777" w:rsidR="00B566E2" w:rsidRDefault="00B566E2">
      <w:pPr>
        <w:spacing w:line="240" w:lineRule="auto"/>
      </w:pPr>
      <w:r>
        <w:separator/>
      </w:r>
    </w:p>
  </w:footnote>
  <w:footnote w:type="continuationSeparator" w:id="0">
    <w:p w14:paraId="654F0A54" w14:textId="77777777" w:rsidR="00B566E2" w:rsidRDefault="00B566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7E8D9633" w:rsidR="00F10DD4" w:rsidRDefault="007B374E" w:rsidP="006E7A33">
    <w:pPr>
      <w:pBdr>
        <w:top w:val="nil"/>
        <w:left w:val="nil"/>
        <w:bottom w:val="nil"/>
        <w:right w:val="nil"/>
        <w:between w:val="nil"/>
      </w:pBdr>
      <w:tabs>
        <w:tab w:val="right" w:pos="8640"/>
        <w:tab w:val="right" w:pos="9360"/>
      </w:tabs>
      <w:ind w:firstLine="0"/>
      <w:rPr>
        <w:color w:val="000000"/>
      </w:rPr>
    </w:pPr>
    <w:bookmarkStart w:id="2" w:name="_Hlk188686310"/>
    <w:r>
      <w:rPr>
        <w:sz w:val="20"/>
        <w:szCs w:val="20"/>
      </w:rPr>
      <w:t xml:space="preserve">David </w:t>
    </w:r>
    <w:proofErr w:type="gramStart"/>
    <w:r>
      <w:rPr>
        <w:sz w:val="20"/>
        <w:szCs w:val="20"/>
      </w:rPr>
      <w:t>Coronado,</w:t>
    </w:r>
    <w:r w:rsidR="006E7A33">
      <w:rPr>
        <w:sz w:val="20"/>
        <w:szCs w:val="20"/>
      </w:rPr>
      <w:t xml:space="preserve">   </w:t>
    </w:r>
    <w:proofErr w:type="gramEnd"/>
    <w:r w:rsidR="006E7A33">
      <w:rPr>
        <w:sz w:val="20"/>
        <w:szCs w:val="20"/>
      </w:rPr>
      <w:t xml:space="preserve">  </w:t>
    </w:r>
    <w:r w:rsidR="003335BD">
      <w:rPr>
        <w:sz w:val="20"/>
        <w:szCs w:val="20"/>
      </w:rPr>
      <w:t xml:space="preserve">COM </w:t>
    </w:r>
    <w:r w:rsidR="009B079B">
      <w:rPr>
        <w:sz w:val="20"/>
        <w:szCs w:val="20"/>
      </w:rPr>
      <w:t>822</w:t>
    </w:r>
    <w:r w:rsidR="003335BD">
      <w:rPr>
        <w:sz w:val="20"/>
        <w:szCs w:val="20"/>
      </w:rPr>
      <w:t xml:space="preserve"> – </w:t>
    </w:r>
    <w:r w:rsidR="009B079B">
      <w:rPr>
        <w:sz w:val="20"/>
        <w:szCs w:val="20"/>
      </w:rPr>
      <w:t xml:space="preserve">Persuasive </w:t>
    </w:r>
    <w:proofErr w:type="gramStart"/>
    <w:r w:rsidR="009B079B">
      <w:rPr>
        <w:sz w:val="20"/>
        <w:szCs w:val="20"/>
      </w:rPr>
      <w:t>Communication</w:t>
    </w:r>
    <w:r>
      <w:rPr>
        <w:sz w:val="20"/>
        <w:szCs w:val="20"/>
      </w:rPr>
      <w:t xml:space="preserve">,   </w:t>
    </w:r>
    <w:proofErr w:type="gramEnd"/>
    <w:r>
      <w:rPr>
        <w:sz w:val="20"/>
        <w:szCs w:val="20"/>
      </w:rPr>
      <w:t xml:space="preserve">  </w:t>
    </w:r>
    <w:r>
      <w:rPr>
        <w:color w:val="000000"/>
        <w:sz w:val="20"/>
        <w:szCs w:val="20"/>
      </w:rPr>
      <w:t>Assignment</w:t>
    </w:r>
    <w:r>
      <w:rPr>
        <w:sz w:val="20"/>
        <w:szCs w:val="20"/>
      </w:rPr>
      <w:t xml:space="preserve"> #</w:t>
    </w:r>
    <w:proofErr w:type="gramStart"/>
    <w:r>
      <w:rPr>
        <w:sz w:val="20"/>
        <w:szCs w:val="20"/>
      </w:rPr>
      <w:t xml:space="preserve">1,   </w:t>
    </w:r>
    <w:proofErr w:type="gramEnd"/>
    <w:r>
      <w:rPr>
        <w:sz w:val="20"/>
        <w:szCs w:val="20"/>
      </w:rPr>
      <w:t xml:space="preserve">  </w:t>
    </w:r>
    <w:r w:rsidR="009B079B">
      <w:rPr>
        <w:sz w:val="20"/>
        <w:szCs w:val="20"/>
      </w:rPr>
      <w:t>04/14/2025</w:t>
    </w:r>
    <w:r w:rsidR="006E7A33">
      <w:rPr>
        <w:sz w:val="20"/>
        <w:szCs w:val="20"/>
      </w:rPr>
      <w:t xml:space="preserve">      </w:t>
    </w:r>
    <w:bookmarkEnd w:id="2"/>
    <w:r w:rsidR="006E7A33">
      <w:rPr>
        <w:sz w:val="20"/>
        <w:szCs w:val="20"/>
      </w:rPr>
      <w:tab/>
      <w:t xml:space="preserve">   </w:t>
    </w:r>
    <w:r w:rsidR="003335BD">
      <w:rPr>
        <w:sz w:val="20"/>
        <w:szCs w:val="2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2690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A0D3E05"/>
    <w:multiLevelType w:val="multilevel"/>
    <w:tmpl w:val="A49A17A0"/>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F3E698D"/>
    <w:multiLevelType w:val="hybridMultilevel"/>
    <w:tmpl w:val="D5FE0C24"/>
    <w:lvl w:ilvl="0" w:tplc="B48011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4554679">
    <w:abstractNumId w:val="0"/>
  </w:num>
  <w:num w:numId="2" w16cid:durableId="1261066274">
    <w:abstractNumId w:val="2"/>
  </w:num>
  <w:num w:numId="3" w16cid:durableId="2000225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D4"/>
    <w:rsid w:val="000503B7"/>
    <w:rsid w:val="000968CF"/>
    <w:rsid w:val="000D4BF7"/>
    <w:rsid w:val="001066A5"/>
    <w:rsid w:val="00137232"/>
    <w:rsid w:val="00170C7F"/>
    <w:rsid w:val="001D6E97"/>
    <w:rsid w:val="00206C10"/>
    <w:rsid w:val="00256DB9"/>
    <w:rsid w:val="00275BC0"/>
    <w:rsid w:val="002760DE"/>
    <w:rsid w:val="0027618D"/>
    <w:rsid w:val="002E03B4"/>
    <w:rsid w:val="002F6371"/>
    <w:rsid w:val="00306C8F"/>
    <w:rsid w:val="003335BD"/>
    <w:rsid w:val="00335F27"/>
    <w:rsid w:val="00361F5B"/>
    <w:rsid w:val="00366862"/>
    <w:rsid w:val="003B5E3A"/>
    <w:rsid w:val="00413384"/>
    <w:rsid w:val="004379A2"/>
    <w:rsid w:val="0044211C"/>
    <w:rsid w:val="00463D92"/>
    <w:rsid w:val="00483996"/>
    <w:rsid w:val="00490099"/>
    <w:rsid w:val="00492836"/>
    <w:rsid w:val="004C7DC0"/>
    <w:rsid w:val="004E60F8"/>
    <w:rsid w:val="005541BA"/>
    <w:rsid w:val="0057073F"/>
    <w:rsid w:val="00570EDE"/>
    <w:rsid w:val="00577AEE"/>
    <w:rsid w:val="005A7FAF"/>
    <w:rsid w:val="005B6DC9"/>
    <w:rsid w:val="005C3602"/>
    <w:rsid w:val="00640A98"/>
    <w:rsid w:val="006433E3"/>
    <w:rsid w:val="00646DBA"/>
    <w:rsid w:val="00672534"/>
    <w:rsid w:val="006A04E4"/>
    <w:rsid w:val="006E172C"/>
    <w:rsid w:val="006E7A33"/>
    <w:rsid w:val="007119E0"/>
    <w:rsid w:val="007222EF"/>
    <w:rsid w:val="00792724"/>
    <w:rsid w:val="00795A7A"/>
    <w:rsid w:val="007A1B1B"/>
    <w:rsid w:val="007B374E"/>
    <w:rsid w:val="00841FD3"/>
    <w:rsid w:val="008C300C"/>
    <w:rsid w:val="00921B8C"/>
    <w:rsid w:val="00962324"/>
    <w:rsid w:val="00962A12"/>
    <w:rsid w:val="00993CDB"/>
    <w:rsid w:val="009B079B"/>
    <w:rsid w:val="009B68E5"/>
    <w:rsid w:val="009C796D"/>
    <w:rsid w:val="009E27F0"/>
    <w:rsid w:val="00B35870"/>
    <w:rsid w:val="00B566E2"/>
    <w:rsid w:val="00B57D04"/>
    <w:rsid w:val="00BA66F0"/>
    <w:rsid w:val="00BB40DC"/>
    <w:rsid w:val="00BC0670"/>
    <w:rsid w:val="00BC49BA"/>
    <w:rsid w:val="00BF74E6"/>
    <w:rsid w:val="00C00E4E"/>
    <w:rsid w:val="00C30364"/>
    <w:rsid w:val="00C337EF"/>
    <w:rsid w:val="00C86037"/>
    <w:rsid w:val="00D70F7D"/>
    <w:rsid w:val="00D82B1D"/>
    <w:rsid w:val="00D839B1"/>
    <w:rsid w:val="00D8577C"/>
    <w:rsid w:val="00DB1B7A"/>
    <w:rsid w:val="00DB3457"/>
    <w:rsid w:val="00E14D93"/>
    <w:rsid w:val="00E77C8B"/>
    <w:rsid w:val="00ED380A"/>
    <w:rsid w:val="00F10DD4"/>
    <w:rsid w:val="00F4269A"/>
    <w:rsid w:val="00F90996"/>
    <w:rsid w:val="00FA7A9E"/>
    <w:rsid w:val="00FC6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7570B"/>
  <w15:docId w15:val="{7F400B5B-D4EA-40E4-BCBD-9B814CA3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968CF"/>
    <w:rPr>
      <w:color w:val="605E5C"/>
      <w:shd w:val="clear" w:color="auto" w:fill="E1DFDD"/>
    </w:rPr>
  </w:style>
  <w:style w:type="paragraph" w:styleId="ListParagraph">
    <w:name w:val="List Paragraph"/>
    <w:basedOn w:val="Normal"/>
    <w:uiPriority w:val="34"/>
    <w:qFormat/>
    <w:rsid w:val="00ED380A"/>
    <w:pPr>
      <w:ind w:left="720"/>
      <w:contextualSpacing/>
    </w:pPr>
  </w:style>
  <w:style w:type="paragraph" w:customStyle="1" w:styleId="Default">
    <w:name w:val="Default"/>
    <w:rsid w:val="009B079B"/>
    <w:pPr>
      <w:tabs>
        <w:tab w:val="clear" w:pos="8640"/>
      </w:tabs>
      <w:autoSpaceDE w:val="0"/>
      <w:autoSpaceDN w:val="0"/>
      <w:adjustRightInd w:val="0"/>
      <w:spacing w:line="240" w:lineRule="auto"/>
      <w:ind w:firstLine="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641249">
      <w:bodyDiv w:val="1"/>
      <w:marLeft w:val="0"/>
      <w:marRight w:val="0"/>
      <w:marTop w:val="0"/>
      <w:marBottom w:val="0"/>
      <w:divBdr>
        <w:top w:val="none" w:sz="0" w:space="0" w:color="auto"/>
        <w:left w:val="none" w:sz="0" w:space="0" w:color="auto"/>
        <w:bottom w:val="none" w:sz="0" w:space="0" w:color="auto"/>
        <w:right w:val="none" w:sz="0" w:space="0" w:color="auto"/>
      </w:divBdr>
    </w:div>
    <w:div w:id="1207328846">
      <w:bodyDiv w:val="1"/>
      <w:marLeft w:val="0"/>
      <w:marRight w:val="0"/>
      <w:marTop w:val="0"/>
      <w:marBottom w:val="0"/>
      <w:divBdr>
        <w:top w:val="none" w:sz="0" w:space="0" w:color="auto"/>
        <w:left w:val="none" w:sz="0" w:space="0" w:color="auto"/>
        <w:bottom w:val="none" w:sz="0" w:space="0" w:color="auto"/>
        <w:right w:val="none" w:sz="0" w:space="0" w:color="auto"/>
      </w:divBdr>
    </w:div>
    <w:div w:id="1673873186">
      <w:bodyDiv w:val="1"/>
      <w:marLeft w:val="0"/>
      <w:marRight w:val="0"/>
      <w:marTop w:val="0"/>
      <w:marBottom w:val="0"/>
      <w:divBdr>
        <w:top w:val="none" w:sz="0" w:space="0" w:color="auto"/>
        <w:left w:val="none" w:sz="0" w:space="0" w:color="auto"/>
        <w:bottom w:val="none" w:sz="0" w:space="0" w:color="auto"/>
        <w:right w:val="none" w:sz="0" w:space="0" w:color="auto"/>
      </w:divBdr>
    </w:div>
    <w:div w:id="1701855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77/1024258919898115" TargetMode="External"/><Relationship Id="rId18" Type="http://schemas.openxmlformats.org/officeDocument/2006/relationships/hyperlink" Target="https://doi.org/10.3389/fpsyg.2022.842307" TargetMode="External"/><Relationship Id="rId26" Type="http://schemas.openxmlformats.org/officeDocument/2006/relationships/hyperlink" Target="https://doi.org/10.1080/09500693.2022.2119621" TargetMode="External"/><Relationship Id="rId3" Type="http://schemas.openxmlformats.org/officeDocument/2006/relationships/numbering" Target="numbering.xml"/><Relationship Id="rId21" Type="http://schemas.openxmlformats.org/officeDocument/2006/relationships/hyperlink" Target="https://doi.org/10.1177/14749041221151189" TargetMode="External"/><Relationship Id="rId7" Type="http://schemas.openxmlformats.org/officeDocument/2006/relationships/footnotes" Target="footnotes.xml"/><Relationship Id="rId12" Type="http://schemas.openxmlformats.org/officeDocument/2006/relationships/hyperlink" Target="https://doi.org/10.3389/feduc.2023.1268904" TargetMode="External"/><Relationship Id="rId17" Type="http://schemas.openxmlformats.org/officeDocument/2006/relationships/hyperlink" Target="https://doi.org/10.1016/j.rssm.2024.100994" TargetMode="External"/><Relationship Id="rId25" Type="http://schemas.openxmlformats.org/officeDocument/2006/relationships/hyperlink" Target="https://doi.org/10.5664/jcsm.6558" TargetMode="External"/><Relationship Id="rId2" Type="http://schemas.openxmlformats.org/officeDocument/2006/relationships/customXml" Target="../customXml/item2.xml"/><Relationship Id="rId16" Type="http://schemas.openxmlformats.org/officeDocument/2006/relationships/hyperlink" Target="https://doi.org/10.1073/pnas.1921417117" TargetMode="External"/><Relationship Id="rId20" Type="http://schemas.openxmlformats.org/officeDocument/2006/relationships/hyperlink" Target="https://doi.org/10.1038/s41598-022-11928-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5664/jcsm.6660" TargetMode="External"/><Relationship Id="rId24" Type="http://schemas.openxmlformats.org/officeDocument/2006/relationships/hyperlink" Target="https://doi.org/10.62838/amset-2024-0005" TargetMode="External"/><Relationship Id="rId5" Type="http://schemas.openxmlformats.org/officeDocument/2006/relationships/settings" Target="settings.xml"/><Relationship Id="rId15" Type="http://schemas.openxmlformats.org/officeDocument/2006/relationships/hyperlink" Target="https://doi.org/10.1080/13632752.2024.2354021" TargetMode="External"/><Relationship Id="rId23" Type="http://schemas.openxmlformats.org/officeDocument/2006/relationships/hyperlink" Target="https://doi.org/10.1177/00207152211033015" TargetMode="External"/><Relationship Id="rId28" Type="http://schemas.openxmlformats.org/officeDocument/2006/relationships/hyperlink" Target="https://doi.org/10.1007/s10833-021-09417-3" TargetMode="External"/><Relationship Id="rId10" Type="http://schemas.openxmlformats.org/officeDocument/2006/relationships/hyperlink" Target="https://doi.org/10.1353/sof.2005.0087" TargetMode="External"/><Relationship Id="rId19" Type="http://schemas.openxmlformats.org/officeDocument/2006/relationships/hyperlink" Target="https://doi.org/10.1016/j.brainresbull.2024.110978"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oi.org/10.47067/real.v5i4.283" TargetMode="External"/><Relationship Id="rId14" Type="http://schemas.openxmlformats.org/officeDocument/2006/relationships/hyperlink" Target="https://doi.org/10.1002/jad.12151" TargetMode="External"/><Relationship Id="rId22" Type="http://schemas.openxmlformats.org/officeDocument/2006/relationships/hyperlink" Target="https://doi.org/10.3389/feduc.2021.561662" TargetMode="External"/><Relationship Id="rId27" Type="http://schemas.openxmlformats.org/officeDocument/2006/relationships/hyperlink" Target="https://doi.org/10.3390/systems1201001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09CA318-36E7-431E-9861-44624D284EE3}">
  <we:reference id="wa200002295" version="1.0.2.1" store="en-US" storeType="OMEX"/>
  <we:alternateReferences>
    <we:reference id="wa200002295" version="1.0.2.1" store="wa200002295" storeType="OMEX"/>
  </we:alternateReferences>
  <we:properties>
    <we:property name="sapling-emailAddress" value="&quot;davidmatthewcoronado@gmail.com&quot;"/>
    <we:property name="sapling-accessToken" value="&quot;eyJhbGciOiJIUzI1NiIsInR5cCI6IkpXVCJ9.eyJmcmVzaCI6ZmFsc2UsImlhdCI6MTc0NTExNjc4MSwianRpIjoiYTYxMTQ4YjctNjU0Mi00MTQyLThhZDItNWM1ZTdmZGY1MDBiIiwidHlwZSI6ImFjY2VzcyIsInN1YiI6eyJ1c2VyX2lkIjoiZTdhMzBhYmEtNjNkYS00ZTYwLTlmZDgtMTc0MjUxNjhhODg4IiwiZW1haWwiOiJkYXZpZG1hdHRoZXdjb3JvbmFkb0BnbWFpbC5jb20iLCJjb3VudGVyIjowfSwibmJmIjoxNzQ1MTE2NzgxLCJjc3JmIjoiNTI5NTA1OWMtZTk0NC00ZjYyLTg2MDktZGU2MTc0YTBiNTk1IiwiZXhwIjoxNzQ1MjAzMTgxfQ.dcKHv5M2yjLq89D7l5tgZE7ZBjqTub_54tYqrVqx1sI&quot;"/>
    <we:property name="sapling-refreshToken" value="&quot;eyJhbGciOiJIUzI1NiIsInR5cCI6IkpXVCJ9.eyJmcmVzaCI6ZmFsc2UsImlhdCI6MTc0MTc2MjcxMywianRpIjoiOGI2Njc5NjctMjUyNS00Nzk5LWJhYzAtMDc2ZWQwYmYxZmRkIiwidHlwZSI6InJlZnJlc2giLCJzdWIiOnsidXNlcl9pZCI6ImU3YTMwYWJhLTYzZGEtNGU2MC05ZmQ4LTE3NDI1MTY4YTg4OCIsImVtYWlsIjoiZGF2aWRtYXR0aGV3Y29yb25hZG9AZ21haWwuY29tIiwiY291bnRlciI6MH0sIm5iZiI6MTc0MTc2MjcxMywiY3NyZiI6IjQ3ZWM0ZDlkLTVkYjctNDZjOC05MjMyLThiZmJlNWUxZjE4YiJ9.5r8_myn-YFvYiDlPN5bi_4W4EtN-ZYveMlq1JQXv8nc&quot;"/>
    <we:property name="sapling-tier" value="&quot;fre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20958F14-D334-4585-BB6E-903E25504CD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9</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Coronado</cp:lastModifiedBy>
  <cp:revision>15</cp:revision>
  <dcterms:created xsi:type="dcterms:W3CDTF">2020-06-03T20:38:00Z</dcterms:created>
  <dcterms:modified xsi:type="dcterms:W3CDTF">2025-04-20T02:44:00Z</dcterms:modified>
</cp:coreProperties>
</file>