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bookmarkStart w:colFirst="0" w:colLast="0" w:name="_heading=h.nj0g9vmrcpmd" w:id="0"/>
      <w:bookmarkEnd w:id="0"/>
      <w:r w:rsidDel="00000000" w:rsidR="00000000" w:rsidRPr="00000000">
        <w:rPr>
          <w:rFonts w:ascii="Calibri" w:cs="Calibri" w:eastAsia="Calibri" w:hAnsi="Calibri"/>
          <w:sz w:val="22"/>
          <w:szCs w:val="22"/>
          <w:rtl w:val="0"/>
        </w:rPr>
        <w:t xml:space="preserve">Social Media and Mental Health: Navigating the Perils and Potentials</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2"/>
          <w:szCs w:val="22"/>
        </w:rPr>
      </w:pPr>
      <w:bookmarkStart w:colFirst="0" w:colLast="0" w:name="_heading=h.1fob9te" w:id="2"/>
      <w:bookmarkEnd w:id="2"/>
      <w:r w:rsidDel="00000000" w:rsidR="00000000" w:rsidRPr="00000000">
        <w:rPr>
          <w:rFonts w:ascii="Calibri" w:cs="Calibri" w:eastAsia="Calibri" w:hAnsi="Calibri"/>
          <w:sz w:val="22"/>
          <w:szCs w:val="22"/>
          <w:rtl w:val="0"/>
        </w:rPr>
        <w:t xml:space="preserve">Cynthia K. Loving</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sz w:val="22"/>
          <w:szCs w:val="22"/>
        </w:rPr>
      </w:pPr>
      <w:bookmarkStart w:colFirst="0" w:colLast="0" w:name="_heading=h.3znysh7" w:id="3"/>
      <w:bookmarkEnd w:id="3"/>
      <w:r w:rsidDel="00000000" w:rsidR="00000000" w:rsidRPr="00000000">
        <w:rPr>
          <w:rFonts w:ascii="Calibri" w:cs="Calibri" w:eastAsia="Calibri" w:hAnsi="Calibri"/>
          <w:sz w:val="22"/>
          <w:szCs w:val="22"/>
          <w:rtl w:val="0"/>
        </w:rPr>
        <w:t xml:space="preserve">Omega Graduate School</w:t>
      </w:r>
    </w:p>
    <w:p w:rsidR="00000000" w:rsidDel="00000000" w:rsidP="00000000" w:rsidRDefault="00000000" w:rsidRPr="00000000" w14:paraId="00000005">
      <w:pPr>
        <w:pStyle w:val="Subtitle"/>
        <w:pageBreakBefore w:val="0"/>
        <w:rPr>
          <w:rFonts w:ascii="Calibri" w:cs="Calibri" w:eastAsia="Calibri" w:hAnsi="Calibri"/>
          <w:i w:val="1"/>
          <w:sz w:val="22"/>
          <w:szCs w:val="22"/>
        </w:rPr>
      </w:pPr>
      <w:bookmarkStart w:colFirst="0" w:colLast="0" w:name="_heading=h.2et92p0" w:id="4"/>
      <w:bookmarkEnd w:id="4"/>
      <w:r w:rsidDel="00000000" w:rsidR="00000000" w:rsidRPr="00000000">
        <w:rPr>
          <w:rFonts w:ascii="Calibri" w:cs="Calibri" w:eastAsia="Calibri" w:hAnsi="Calibri"/>
          <w:sz w:val="22"/>
          <w:szCs w:val="22"/>
          <w:rtl w:val="0"/>
        </w:rPr>
        <w:t xml:space="preserve">COM-822   Persuasive Communication</w:t>
      </w:r>
      <w:r w:rsidDel="00000000" w:rsidR="00000000" w:rsidRPr="00000000">
        <w:rPr>
          <w:rtl w:val="0"/>
        </w:rPr>
      </w:r>
    </w:p>
    <w:p w:rsidR="00000000" w:rsidDel="00000000" w:rsidP="00000000" w:rsidRDefault="00000000" w:rsidRPr="00000000" w14:paraId="00000006">
      <w:pPr>
        <w:pStyle w:val="Subtitle"/>
        <w:pageBreakBefore w:val="0"/>
        <w:rPr>
          <w:rFonts w:ascii="Calibri" w:cs="Calibri" w:eastAsia="Calibri" w:hAnsi="Calibri"/>
          <w:i w:val="1"/>
          <w:sz w:val="22"/>
          <w:szCs w:val="22"/>
        </w:rPr>
      </w:pPr>
      <w:bookmarkStart w:colFirst="0" w:colLast="0" w:name="_heading=h.tyjcwt" w:id="5"/>
      <w:bookmarkEnd w:id="5"/>
      <w:r w:rsidDel="00000000" w:rsidR="00000000" w:rsidRPr="00000000">
        <w:rPr>
          <w:rFonts w:ascii="Calibri" w:cs="Calibri" w:eastAsia="Calibri" w:hAnsi="Calibri"/>
          <w:sz w:val="22"/>
          <w:szCs w:val="22"/>
          <w:rtl w:val="0"/>
        </w:rPr>
        <w:t xml:space="preserve">Dr. Curtis McClane</w:t>
      </w:r>
      <w:r w:rsidDel="00000000" w:rsidR="00000000" w:rsidRPr="00000000">
        <w:rPr>
          <w:rtl w:val="0"/>
        </w:rPr>
      </w:r>
    </w:p>
    <w:p w:rsidR="00000000" w:rsidDel="00000000" w:rsidP="00000000" w:rsidRDefault="00000000" w:rsidRPr="00000000" w14:paraId="00000007">
      <w:pPr>
        <w:pStyle w:val="Subtitle"/>
        <w:pageBreakBefore w:val="0"/>
        <w:rPr>
          <w:rFonts w:ascii="Calibri" w:cs="Calibri" w:eastAsia="Calibri" w:hAnsi="Calibri"/>
          <w:i w:val="1"/>
          <w:sz w:val="22"/>
          <w:szCs w:val="22"/>
        </w:rPr>
      </w:pPr>
      <w:bookmarkStart w:colFirst="0" w:colLast="0" w:name="_heading=h.3dy6vkm" w:id="6"/>
      <w:bookmarkEnd w:id="6"/>
      <w:r w:rsidDel="00000000" w:rsidR="00000000" w:rsidRPr="00000000">
        <w:rPr>
          <w:rFonts w:ascii="Calibri" w:cs="Calibri" w:eastAsia="Calibri" w:hAnsi="Calibri"/>
          <w:sz w:val="22"/>
          <w:szCs w:val="22"/>
          <w:rtl w:val="0"/>
        </w:rPr>
        <w:t xml:space="preserve">April 12, 2025</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160" w:before="160" w:line="360" w:lineRule="auto"/>
        <w:ind w:left="7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 #1 – Thesis Statement</w:t>
      </w:r>
    </w:p>
    <w:p w:rsidR="00000000" w:rsidDel="00000000" w:rsidP="00000000" w:rsidRDefault="00000000" w:rsidRPr="00000000" w14:paraId="0000000C">
      <w:pPr>
        <w:spacing w:after="160" w:before="160" w:line="360" w:lineRule="auto"/>
        <w:ind w:left="720" w:right="7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Generate a thesis statement for your persuasive essay.</w:t>
      </w:r>
    </w:p>
    <w:p w:rsidR="00000000" w:rsidDel="00000000" w:rsidP="00000000" w:rsidRDefault="00000000" w:rsidRPr="00000000" w14:paraId="0000000D">
      <w:pPr>
        <w:spacing w:after="160" w:before="160" w:line="360" w:lineRule="auto"/>
        <w:ind w:left="720" w:righ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Using the OGS Forum Paper Template, complete the following:</w:t>
      </w:r>
    </w:p>
    <w:p w:rsidR="00000000" w:rsidDel="00000000" w:rsidP="00000000" w:rsidRDefault="00000000" w:rsidRPr="00000000" w14:paraId="0000000E">
      <w:pPr>
        <w:spacing w:after="160" w:before="160" w:line="360" w:lineRule="auto"/>
        <w:ind w:left="1440" w:righ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Enter your essay title on the title page and the first page of the essay. Complete the rest of the title page.</w:t>
      </w:r>
    </w:p>
    <w:p w:rsidR="00000000" w:rsidDel="00000000" w:rsidP="00000000" w:rsidRDefault="00000000" w:rsidRPr="00000000" w14:paraId="0000000F">
      <w:pPr>
        <w:spacing w:after="160" w:before="160" w:line="360" w:lineRule="auto"/>
        <w:ind w:left="1440" w:righ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Use the Thesis Statement Generator to draft a thesis statement. Use only the “generate example” to view several examples of a well-written thesis statement.</w:t>
      </w:r>
    </w:p>
    <w:p w:rsidR="00000000" w:rsidDel="00000000" w:rsidP="00000000" w:rsidRDefault="00000000" w:rsidRPr="00000000" w14:paraId="00000010">
      <w:pPr>
        <w:spacing w:after="160" w:before="160" w:line="360" w:lineRule="auto"/>
        <w:ind w:left="1440" w:righ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On the Thesis Statement page, enter a clear, concise thesis statement of the argumentative position.</w:t>
      </w:r>
    </w:p>
    <w:p w:rsidR="00000000" w:rsidDel="00000000" w:rsidP="00000000" w:rsidRDefault="00000000" w:rsidRPr="00000000" w14:paraId="00000011">
      <w:pPr>
        <w:spacing w:after="160" w:before="160" w:line="360" w:lineRule="auto"/>
        <w:ind w:left="1440" w:righ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In the body of the paper, write a three-paragraph description of the topic that includes the basic logic behind your argument.</w:t>
      </w:r>
    </w:p>
    <w:p w:rsidR="00000000" w:rsidDel="00000000" w:rsidP="00000000" w:rsidRDefault="00000000" w:rsidRPr="00000000" w14:paraId="00000012">
      <w:pPr>
        <w:spacing w:after="160" w:before="160" w:line="360" w:lineRule="auto"/>
        <w:ind w:left="1440" w:right="72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In the Works Cited section, enter a minimum of 11 references relevant to your topic. Include no more than two books; the remaining references should be for journal articles from a minimum of four different academic journals. Use only primary research articles with a majority of them published within the past 5 years. Include references to both support (additive) and counter (variant) your argument.</w:t>
      </w:r>
    </w:p>
    <w:p w:rsidR="00000000" w:rsidDel="00000000" w:rsidP="00000000" w:rsidRDefault="00000000" w:rsidRPr="00000000" w14:paraId="00000013">
      <w:pPr>
        <w:spacing w:after="160" w:before="160" w:line="360" w:lineRule="auto"/>
        <w:ind w:left="1440" w:firstLine="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spacing w:after="160" w:before="160" w:line="36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Professor will check for quality of content and word-count requirements. Grade</w:t>
      </w:r>
    </w:p>
    <w:p w:rsidR="00000000" w:rsidDel="00000000" w:rsidP="00000000" w:rsidRDefault="00000000" w:rsidRPr="00000000" w14:paraId="00000015">
      <w:pPr>
        <w:spacing w:after="160" w:before="160" w:line="360" w:lineRule="auto"/>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assigned will be Credit or No Credit (CR/NC).</w:t>
      </w:r>
    </w:p>
    <w:p w:rsidR="00000000" w:rsidDel="00000000" w:rsidP="00000000" w:rsidRDefault="00000000" w:rsidRPr="00000000" w14:paraId="00000016">
      <w:pPr>
        <w:spacing w:after="160" w:before="16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pStyle w:val="Title"/>
        <w:jc w:val="left"/>
        <w:rPr>
          <w:rFonts w:ascii="Calibri" w:cs="Calibri" w:eastAsia="Calibri" w:hAnsi="Calibri"/>
          <w:sz w:val="22"/>
          <w:szCs w:val="22"/>
        </w:rPr>
      </w:pPr>
      <w:bookmarkStart w:colFirst="0" w:colLast="0" w:name="_heading=h.3tdg7qqq9saw" w:id="7"/>
      <w:bookmarkEnd w:id="7"/>
      <w:r w:rsidDel="00000000" w:rsidR="00000000" w:rsidRPr="00000000">
        <w:rPr>
          <w:rFonts w:ascii="Calibri" w:cs="Calibri" w:eastAsia="Calibri" w:hAnsi="Calibri"/>
          <w:sz w:val="22"/>
          <w:szCs w:val="22"/>
          <w:rtl w:val="0"/>
        </w:rPr>
        <w:t xml:space="preserve">Social Media and Mental Health: Navigating the Perils and Potentials</w:t>
      </w:r>
      <w:r w:rsidDel="00000000" w:rsidR="00000000" w:rsidRPr="00000000">
        <w:rPr>
          <w:rtl w:val="0"/>
        </w:rPr>
      </w:r>
    </w:p>
    <w:p w:rsidR="00000000" w:rsidDel="00000000" w:rsidP="00000000" w:rsidRDefault="00000000" w:rsidRPr="00000000" w14:paraId="00000019">
      <w:pPr>
        <w:pStyle w:val="Heading3"/>
        <w:spacing w:after="0" w:before="240" w:lineRule="auto"/>
        <w:ind w:left="0" w:firstLine="0"/>
        <w:jc w:val="left"/>
        <w:rPr>
          <w:rFonts w:ascii="Calibri" w:cs="Calibri" w:eastAsia="Calibri" w:hAnsi="Calibri"/>
          <w:sz w:val="22"/>
          <w:szCs w:val="22"/>
        </w:rPr>
      </w:pPr>
      <w:bookmarkStart w:colFirst="0" w:colLast="0" w:name="_heading=h.tjit4yfm5qbc" w:id="8"/>
      <w:bookmarkEnd w:id="8"/>
      <w:r w:rsidDel="00000000" w:rsidR="00000000" w:rsidRPr="00000000">
        <w:rPr>
          <w:rFonts w:ascii="Calibri" w:cs="Calibri" w:eastAsia="Calibri" w:hAnsi="Calibri"/>
          <w:sz w:val="22"/>
          <w:szCs w:val="22"/>
          <w:rtl w:val="0"/>
        </w:rPr>
        <w:t xml:space="preserve">Thesis Statement</w:t>
      </w:r>
    </w:p>
    <w:p w:rsidR="00000000" w:rsidDel="00000000" w:rsidP="00000000" w:rsidRDefault="00000000" w:rsidRPr="00000000" w14:paraId="0000001A">
      <w:pPr>
        <w:pStyle w:val="Heading1"/>
        <w:spacing w:after="240" w:before="0" w:lineRule="auto"/>
        <w:ind w:firstLine="720"/>
        <w:jc w:val="left"/>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While social media fosters connection and self-expression among adolescents, its negative effects, including heightened anxiety, depression, and social comparison, highlight the need for strategies that promote mindful usage and protect mental health.</w:t>
      </w:r>
    </w:p>
    <w:p w:rsidR="00000000" w:rsidDel="00000000" w:rsidP="00000000" w:rsidRDefault="00000000" w:rsidRPr="00000000" w14:paraId="0000001B">
      <w:pPr>
        <w:pStyle w:val="Heading3"/>
        <w:spacing w:after="0" w:before="0" w:lineRule="auto"/>
        <w:ind w:left="0" w:firstLine="0"/>
        <w:jc w:val="left"/>
        <w:rPr>
          <w:rFonts w:ascii="Calibri" w:cs="Calibri" w:eastAsia="Calibri" w:hAnsi="Calibri"/>
          <w:sz w:val="22"/>
          <w:szCs w:val="22"/>
        </w:rPr>
      </w:pPr>
      <w:bookmarkStart w:colFirst="0" w:colLast="0" w:name="_heading=h.ia7c7rz5dzt1" w:id="9"/>
      <w:bookmarkEnd w:id="9"/>
      <w:r w:rsidDel="00000000" w:rsidR="00000000" w:rsidRPr="00000000">
        <w:rPr>
          <w:rFonts w:ascii="Calibri" w:cs="Calibri" w:eastAsia="Calibri" w:hAnsi="Calibri"/>
          <w:sz w:val="22"/>
          <w:szCs w:val="22"/>
          <w:rtl w:val="0"/>
        </w:rPr>
        <w:t xml:space="preserve">Introduction: </w:t>
      </w:r>
    </w:p>
    <w:p w:rsidR="00000000" w:rsidDel="00000000" w:rsidP="00000000" w:rsidRDefault="00000000" w:rsidRPr="00000000" w14:paraId="0000001C">
      <w:pPr>
        <w:pStyle w:val="Heading3"/>
        <w:spacing w:after="0" w:before="0" w:lineRule="auto"/>
        <w:ind w:left="0" w:firstLine="720"/>
        <w:jc w:val="left"/>
        <w:rPr>
          <w:rFonts w:ascii="Calibri" w:cs="Calibri" w:eastAsia="Calibri" w:hAnsi="Calibri"/>
          <w:b w:val="0"/>
          <w:i w:val="0"/>
          <w:sz w:val="22"/>
          <w:szCs w:val="22"/>
        </w:rPr>
      </w:pPr>
      <w:bookmarkStart w:colFirst="0" w:colLast="0" w:name="_heading=h.90hnlsd096uh" w:id="10"/>
      <w:bookmarkEnd w:id="10"/>
      <w:r w:rsidDel="00000000" w:rsidR="00000000" w:rsidRPr="00000000">
        <w:rPr>
          <w:rFonts w:ascii="Calibri" w:cs="Calibri" w:eastAsia="Calibri" w:hAnsi="Calibri"/>
          <w:b w:val="0"/>
          <w:i w:val="0"/>
          <w:sz w:val="22"/>
          <w:szCs w:val="22"/>
          <w:rtl w:val="0"/>
        </w:rPr>
        <w:t xml:space="preserve">Social media has become a fundamental aspect of adolescent life, shaping the way young individuals communicate, express themselves, and form relationships. While platforms such as TikTok, Instagram, and Snapchat offer opportunities for connection and creativity, they also pose significant risks to mental health. Adolescents are particularly vulnerable to the harmful effects of social media due to developmental factors and a tendency toward peer-driven behavior. Issues such as cyberbullying, social comparison, and exposure to curated content have been shown to contribute to increased rates of anxiety, depression, and other emotional distress. Addressing these challenges requires a critical understanding of the complex dynamics between social media use and adolescent mental health.</w:t>
      </w:r>
    </w:p>
    <w:p w:rsidR="00000000" w:rsidDel="00000000" w:rsidP="00000000" w:rsidRDefault="00000000" w:rsidRPr="00000000" w14:paraId="0000001D">
      <w:pPr>
        <w:pStyle w:val="Heading3"/>
        <w:spacing w:after="0" w:before="0" w:lineRule="auto"/>
        <w:ind w:left="0" w:firstLine="720"/>
        <w:jc w:val="left"/>
        <w:rPr>
          <w:rFonts w:ascii="Calibri" w:cs="Calibri" w:eastAsia="Calibri" w:hAnsi="Calibri"/>
          <w:sz w:val="22"/>
          <w:szCs w:val="22"/>
        </w:rPr>
      </w:pPr>
      <w:bookmarkStart w:colFirst="0" w:colLast="0" w:name="_heading=h.m4r9fvka376y" w:id="11"/>
      <w:bookmarkEnd w:id="11"/>
      <w:r w:rsidDel="00000000" w:rsidR="00000000" w:rsidRPr="00000000">
        <w:rPr>
          <w:rFonts w:ascii="Calibri" w:cs="Calibri" w:eastAsia="Calibri" w:hAnsi="Calibri"/>
          <w:b w:val="0"/>
          <w:i w:val="0"/>
          <w:sz w:val="22"/>
          <w:szCs w:val="22"/>
          <w:rtl w:val="0"/>
        </w:rPr>
        <w:t xml:space="preserve">The negative consequences of excessive social media use have been widely documented. Studies reveal that adolescents who engage in prolonged use are more likely to experience feelings of inadequacy, isolation, and emotional exhaustion. Algorithm-driven content tailored to individual vulnerabilities exacerbates these risks, exposing adolescents to harmful material that can reinforce negative thought patterns. Furthermore, social comparison fueled by idealized portrayals of peers' lives creates an environment of constant pressure to conform to unattainable standards. These factors underscore the urgent need for interventions that focus on digital literacy, boundary-setting, and strategies to mitigate the psychological toll of social media on youth.</w:t>
      </w:r>
      <w:r w:rsidDel="00000000" w:rsidR="00000000" w:rsidRPr="00000000">
        <w:rPr>
          <w:rtl w:val="0"/>
        </w:rPr>
      </w:r>
    </w:p>
    <w:p w:rsidR="00000000" w:rsidDel="00000000" w:rsidP="00000000" w:rsidRDefault="00000000" w:rsidRPr="00000000" w14:paraId="0000001E">
      <w:pPr>
        <w:pStyle w:val="Heading3"/>
        <w:spacing w:after="0" w:before="0" w:lineRule="auto"/>
        <w:ind w:left="0" w:firstLine="0"/>
        <w:jc w:val="left"/>
        <w:rPr>
          <w:rFonts w:ascii="Calibri" w:cs="Calibri" w:eastAsia="Calibri" w:hAnsi="Calibri"/>
          <w:sz w:val="22"/>
          <w:szCs w:val="22"/>
        </w:rPr>
      </w:pPr>
      <w:bookmarkStart w:colFirst="0" w:colLast="0" w:name="_heading=h.oa3gwx5eajfd" w:id="12"/>
      <w:bookmarkEnd w:id="12"/>
      <w:r w:rsidDel="00000000" w:rsidR="00000000" w:rsidRPr="00000000">
        <w:rPr>
          <w:rFonts w:ascii="Calibri" w:cs="Calibri" w:eastAsia="Calibri" w:hAnsi="Calibri"/>
          <w:sz w:val="22"/>
          <w:szCs w:val="22"/>
          <w:rtl w:val="0"/>
        </w:rPr>
        <w:t xml:space="preserve">Conclusion</w:t>
      </w:r>
    </w:p>
    <w:p w:rsidR="00000000" w:rsidDel="00000000" w:rsidP="00000000" w:rsidRDefault="00000000" w:rsidRPr="00000000" w14:paraId="0000001F">
      <w:pPr>
        <w:pStyle w:val="Heading3"/>
        <w:spacing w:after="0" w:before="0" w:lineRule="auto"/>
        <w:ind w:left="0" w:firstLine="720"/>
        <w:jc w:val="left"/>
        <w:rPr>
          <w:rFonts w:ascii="Calibri" w:cs="Calibri" w:eastAsia="Calibri" w:hAnsi="Calibri"/>
          <w:sz w:val="22"/>
          <w:szCs w:val="22"/>
        </w:rPr>
      </w:pPr>
      <w:bookmarkStart w:colFirst="0" w:colLast="0" w:name="_heading=h.dg7r94h7sg4i" w:id="13"/>
      <w:bookmarkEnd w:id="13"/>
      <w:r w:rsidDel="00000000" w:rsidR="00000000" w:rsidRPr="00000000">
        <w:rPr>
          <w:rFonts w:ascii="Calibri" w:cs="Calibri" w:eastAsia="Calibri" w:hAnsi="Calibri"/>
          <w:b w:val="0"/>
          <w:i w:val="0"/>
          <w:sz w:val="22"/>
          <w:szCs w:val="22"/>
          <w:rtl w:val="0"/>
        </w:rPr>
        <w:t xml:space="preserve">While the risks are undeniable, social media also holds potential as a positive force when used responsibly. Platforms can foster belonging, facilitate access to information, and encourage creative expression, benefiting mental health under the right circumstances. Advocacy for balanced and intentional use of social media is crucial to empowering adolescents to navigate the digital landscape effectively. Evidence-based solutions, such as promoting self-awareness, curating digital environments, and encouraging healthy social media habits, can transform social media from a source of distress to a tool for connection and growth. By addressing both the challenges and opportunities, society can help adolescents build healthier relationships with social media, ultimately promoting their well-being.</w:t>
      </w:r>
      <w:r w:rsidDel="00000000" w:rsidR="00000000" w:rsidRPr="00000000">
        <w:rPr>
          <w:rtl w:val="0"/>
        </w:rPr>
      </w:r>
    </w:p>
    <w:p w:rsidR="00000000" w:rsidDel="00000000" w:rsidP="00000000" w:rsidRDefault="00000000" w:rsidRPr="00000000" w14:paraId="00000020">
      <w:pPr>
        <w:pStyle w:val="Heading1"/>
        <w:spacing w:after="240" w:before="240" w:lineRule="auto"/>
        <w:ind w:left="0" w:firstLine="0"/>
        <w:jc w:val="left"/>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spacing w:after="240" w:before="240" w:lineRule="auto"/>
        <w:ind w:left="0" w:firstLine="0"/>
        <w:rPr>
          <w:rFonts w:ascii="Calibri" w:cs="Calibri" w:eastAsia="Calibri" w:hAnsi="Calibri"/>
          <w:sz w:val="22"/>
          <w:szCs w:val="22"/>
        </w:rPr>
      </w:pPr>
      <w:r w:rsidDel="00000000" w:rsidR="00000000" w:rsidRPr="00000000">
        <w:rPr>
          <w:rFonts w:ascii="Calibri" w:cs="Calibri" w:eastAsia="Calibri" w:hAnsi="Calibri"/>
          <w:i w:val="0"/>
          <w:sz w:val="22"/>
          <w:szCs w:val="22"/>
          <w:rtl w:val="0"/>
        </w:rPr>
        <w:t xml:space="preserve">References</w:t>
      </w:r>
      <w:r w:rsidDel="00000000" w:rsidR="00000000" w:rsidRPr="00000000">
        <w:rPr>
          <w:rtl w:val="0"/>
        </w:rPr>
      </w:r>
    </w:p>
    <w:p w:rsidR="00000000" w:rsidDel="00000000" w:rsidP="00000000" w:rsidRDefault="00000000" w:rsidRPr="00000000" w14:paraId="00000022">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Adam, S. (2021). The effect of social media on adolescent's mental health and well-being. United Kingdom: Troubador Publishing Limited.</w:t>
      </w:r>
    </w:p>
    <w:p w:rsidR="00000000" w:rsidDel="00000000" w:rsidP="00000000" w:rsidRDefault="00000000" w:rsidRPr="00000000" w14:paraId="00000023">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Antonio, V., Fabiana, R., Julio, T., Castaldelli-Maia, J., Abdulbari, B., Smith, A., &amp; Liebrenz, M. (2024). Social media use and emerging mental health issues. Industrial Psychiatry Journal, 33, S261-S264. </w:t>
      </w:r>
      <w:hyperlink r:id="rId7">
        <w:r w:rsidDel="00000000" w:rsidR="00000000" w:rsidRPr="00000000">
          <w:rPr>
            <w:rFonts w:ascii="Calibri" w:cs="Calibri" w:eastAsia="Calibri" w:hAnsi="Calibri"/>
            <w:color w:val="1155cc"/>
            <w:sz w:val="22"/>
            <w:szCs w:val="22"/>
            <w:u w:val="single"/>
            <w:rtl w:val="0"/>
          </w:rPr>
          <w:t xml:space="preserve">https://doi.org/10.4103/ipj.ipj_45_24</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5">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Armitage, J. M., Collishaw, S., &amp; Sellers, R. (2024). Explaining long-term trends in adolescent emotional problems: What we know from population-based studies. Discover Social Science and Health, 4(1), 14. </w:t>
      </w:r>
      <w:hyperlink r:id="rId8">
        <w:r w:rsidDel="00000000" w:rsidR="00000000" w:rsidRPr="00000000">
          <w:rPr>
            <w:rFonts w:ascii="Calibri" w:cs="Calibri" w:eastAsia="Calibri" w:hAnsi="Calibri"/>
            <w:color w:val="1155cc"/>
            <w:sz w:val="22"/>
            <w:szCs w:val="22"/>
            <w:u w:val="single"/>
            <w:rtl w:val="0"/>
          </w:rPr>
          <w:t xml:space="preserve">https://doi.org/10.1007/s44155-024-00076-2</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7">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Coyne, S. M., Weinstein, E., Sheppard, J. A., Spencer, J., Gale, M., Megan, V. A., ... Banks, K. (2023). Analysis of social media use, mental health, and gender identity among US youths. JAMA Network Open, 6(7). </w:t>
      </w:r>
      <w:hyperlink r:id="rId9">
        <w:r w:rsidDel="00000000" w:rsidR="00000000" w:rsidRPr="00000000">
          <w:rPr>
            <w:rFonts w:ascii="Calibri" w:cs="Calibri" w:eastAsia="Calibri" w:hAnsi="Calibri"/>
            <w:color w:val="1155cc"/>
            <w:sz w:val="22"/>
            <w:szCs w:val="22"/>
            <w:u w:val="single"/>
            <w:rtl w:val="0"/>
          </w:rPr>
          <w:t xml:space="preserve">https://doi.org/10.1001/jamanetworkopen.2023.24389</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9">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Costello, N., Sutton, R., Jones, M., Almassian, M., Raffoul, A., Ojumu, O., ... Austin, S. B. (2023). Algorithms, addiction, and adolescent mental health: An interdisciplinary study to inform state-level policy action to protect youth from the dangers of social media. American Journal of Law and Medicine, 49(2-3), 135-172. </w:t>
      </w:r>
      <w:hyperlink r:id="rId10">
        <w:r w:rsidDel="00000000" w:rsidR="00000000" w:rsidRPr="00000000">
          <w:rPr>
            <w:rFonts w:ascii="Calibri" w:cs="Calibri" w:eastAsia="Calibri" w:hAnsi="Calibri"/>
            <w:color w:val="1155cc"/>
            <w:sz w:val="22"/>
            <w:szCs w:val="22"/>
            <w:u w:val="single"/>
            <w:rtl w:val="0"/>
          </w:rPr>
          <w:t xml:space="preserve">https://doi.org/10.1017/amj.2023.25</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B">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spacing w:line="276" w:lineRule="auto"/>
        <w:ind w:left="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Durlofsky, P. (2020). Logged in and stressed out: How social media is affecting your mental health and what you can do about it. United States: Rowman &amp; Littlefield Publishers.</w:t>
      </w:r>
    </w:p>
    <w:p w:rsidR="00000000" w:rsidDel="00000000" w:rsidP="00000000" w:rsidRDefault="00000000" w:rsidRPr="00000000" w14:paraId="0000002D">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Janhavi, A. V., van Dam, R. M., Samari, E., Chang, S., Seow, E., Yi, C. C., ... Subramaniam, M. (2022). Social media-driven routes to positive mental health among youth: Qualitative enquiry and concept mapping study. JMIR Pediatrics and Parenting, 5(1). </w:t>
      </w:r>
      <w:hyperlink r:id="rId11">
        <w:r w:rsidDel="00000000" w:rsidR="00000000" w:rsidRPr="00000000">
          <w:rPr>
            <w:rFonts w:ascii="Calibri" w:cs="Calibri" w:eastAsia="Calibri" w:hAnsi="Calibri"/>
            <w:color w:val="1155cc"/>
            <w:sz w:val="22"/>
            <w:szCs w:val="22"/>
            <w:u w:val="single"/>
            <w:rtl w:val="0"/>
          </w:rPr>
          <w:t xml:space="preserve">https://doi.org/10.2196/32758</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F">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Khalaf, A. M., Alubied, A. A., Khalaf, A. M., &amp; Rifaey, A. A. (2023). The impact of social media on the mental health of adolescents and young adults: A systematic review. Cureus, 15(8). </w:t>
      </w:r>
      <w:hyperlink r:id="rId12">
        <w:r w:rsidDel="00000000" w:rsidR="00000000" w:rsidRPr="00000000">
          <w:rPr>
            <w:rFonts w:ascii="Calibri" w:cs="Calibri" w:eastAsia="Calibri" w:hAnsi="Calibri"/>
            <w:color w:val="1155cc"/>
            <w:sz w:val="22"/>
            <w:szCs w:val="22"/>
            <w:u w:val="single"/>
            <w:rtl w:val="0"/>
          </w:rPr>
          <w:t xml:space="preserve">https://doi.org/10.7759/cureus.42990</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1">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Klinger, D., Plener, P. L., Marboe, G., Karwautz, A., Kothgassner, O. D., &amp; Dienlin, T. (2024). Exploring the relationship between media use and depressive symptoms among gender diverse youth: Findings of the mental health days study. Child and Adolescent Psychiatry and Mental Health, 18, 1-13. </w:t>
      </w:r>
      <w:hyperlink r:id="rId13">
        <w:r w:rsidDel="00000000" w:rsidR="00000000" w:rsidRPr="00000000">
          <w:rPr>
            <w:rFonts w:ascii="Calibri" w:cs="Calibri" w:eastAsia="Calibri" w:hAnsi="Calibri"/>
            <w:color w:val="1155cc"/>
            <w:sz w:val="22"/>
            <w:szCs w:val="22"/>
            <w:u w:val="single"/>
            <w:rtl w:val="0"/>
          </w:rPr>
          <w:t xml:space="preserve">https://doi.org/10.1186/s13034-024-00797-x</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3">
      <w:pPr>
        <w:spacing w:line="276" w:lineRule="auto"/>
        <w:ind w:left="720" w:hanging="72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line="276" w:lineRule="auto"/>
        <w:ind w:left="72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Maltby, J., Rayes, T., Nage, A., Sharif, S., Omar, M., &amp; Nichani, S. (2024). Synthesizing perspectives: Crafting an interdisciplinary view of social media’s impact on young people’s mental health. PLoS One, 19(7). </w:t>
      </w:r>
      <w:hyperlink r:id="rId14">
        <w:r w:rsidDel="00000000" w:rsidR="00000000" w:rsidRPr="00000000">
          <w:rPr>
            <w:rFonts w:ascii="Calibri" w:cs="Calibri" w:eastAsia="Calibri" w:hAnsi="Calibri"/>
            <w:color w:val="1155cc"/>
            <w:sz w:val="22"/>
            <w:szCs w:val="22"/>
            <w:u w:val="single"/>
            <w:rtl w:val="0"/>
          </w:rPr>
          <w:t xml:space="preserve">https://doi.org/10.1371/journal.pone.0307164</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sectPr>
      <w:headerReference r:id="rId15" w:type="default"/>
      <w:headerReference r:id="rId16" w:type="first"/>
      <w:footerReference r:id="rId1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tabs>
        <w:tab w:val="right" w:leader="none" w:pos="936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Cynthia K. Loving    #COM-822   Persuasive Communication    Assignment #1</w:t>
      <w:tab/>
      <w:t xml:space="preserve">4/12/2025</w:t>
    </w:r>
  </w:p>
  <w:p w:rsidR="00000000" w:rsidDel="00000000" w:rsidP="00000000" w:rsidRDefault="00000000" w:rsidRPr="00000000" w14:paraId="00000036">
    <w:pPr>
      <w:tabs>
        <w:tab w:val="right" w:leader="none" w:pos="9360"/>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right" w:leader="none" w:pos="9360"/>
      </w:tabs>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tabs>
        <w:tab w:val="right" w:leader="none" w:pos="9360"/>
      </w:tabs>
      <w:rPr/>
    </w:pPr>
    <w:r w:rsidDel="00000000" w:rsidR="00000000" w:rsidRPr="00000000">
      <w:rPr>
        <w:rFonts w:ascii="Calibri" w:cs="Calibri" w:eastAsia="Calibri" w:hAnsi="Calibri"/>
        <w:sz w:val="22"/>
        <w:szCs w:val="22"/>
        <w:rtl w:val="0"/>
      </w:rPr>
      <w:t xml:space="preserve">Cynthia K. Loving    #COM-822   Persuasive Communication    Assignment #1</w:t>
      <w:tab/>
      <w:t xml:space="preserve">4/12/2025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196/32758" TargetMode="External"/><Relationship Id="rId10" Type="http://schemas.openxmlformats.org/officeDocument/2006/relationships/hyperlink" Target="https://doi.org/10.1017/amj.2023.25" TargetMode="External"/><Relationship Id="rId13" Type="http://schemas.openxmlformats.org/officeDocument/2006/relationships/hyperlink" Target="https://doi.org/10.1186/s13034-024-00797-x" TargetMode="External"/><Relationship Id="rId12" Type="http://schemas.openxmlformats.org/officeDocument/2006/relationships/hyperlink" Target="https://doi.org/10.7759/cureus.429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1/jamanetworkopen.2023.24389" TargetMode="External"/><Relationship Id="rId15" Type="http://schemas.openxmlformats.org/officeDocument/2006/relationships/header" Target="header1.xml"/><Relationship Id="rId14" Type="http://schemas.openxmlformats.org/officeDocument/2006/relationships/hyperlink" Target="https://doi.org/10.1371/journal.pone.0307164"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4103/ipj.ipj_45_24" TargetMode="External"/><Relationship Id="rId8" Type="http://schemas.openxmlformats.org/officeDocument/2006/relationships/hyperlink" Target="https://doi.org/10.1007/s44155-024-000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cueAjGigaPUlKGWvIFoA3Umg==">CgMxLjAyDmgubmowZzl2bXJjcG1kMgloLjMwajB6bGwyCWguMWZvYjl0ZTIJaC4zem55c2g3MgloLjJldDkycDAyCGgudHlqY3d0MgloLjNkeTZ2a20yDmguM3RkZzdxcXE5c2F3Mg5oLnRqaXQ0eWZtNXFiYzIOaC5pYTdjN3J6NWR6dDEyDmguOTBobmxzZDA5NnVoMg5oLm00cjlmdmthMzc2eTIOaC5vYTNnd3g1ZWFqZmQyDmguZGc3cjk0aDdzZzRpOAByITFwOTlEeEFtZnA1OEdEZXBtRzNDQ1l1dEpHbGF6SEZM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