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6594" w:rsidRDefault="001F6594">
      <w:pPr>
        <w:keepLines/>
        <w:pBdr>
          <w:top w:val="nil"/>
          <w:left w:val="nil"/>
          <w:bottom w:val="nil"/>
          <w:right w:val="nil"/>
          <w:between w:val="nil"/>
        </w:pBdr>
        <w:ind w:left="720" w:hanging="720"/>
      </w:pPr>
    </w:p>
    <w:p w14:paraId="00000002" w14:textId="77777777" w:rsidR="001F6594" w:rsidRDefault="001F6594">
      <w:pPr>
        <w:pBdr>
          <w:top w:val="nil"/>
          <w:left w:val="nil"/>
          <w:bottom w:val="nil"/>
          <w:right w:val="nil"/>
          <w:between w:val="nil"/>
        </w:pBdr>
        <w:jc w:val="center"/>
        <w:rPr>
          <w:color w:val="000000"/>
        </w:rPr>
      </w:pPr>
    </w:p>
    <w:p w14:paraId="00000003" w14:textId="77777777" w:rsidR="001F6594" w:rsidRDefault="001F6594">
      <w:pPr>
        <w:pBdr>
          <w:top w:val="nil"/>
          <w:left w:val="nil"/>
          <w:bottom w:val="nil"/>
          <w:right w:val="nil"/>
          <w:between w:val="nil"/>
        </w:pBdr>
        <w:jc w:val="center"/>
        <w:rPr>
          <w:color w:val="000000"/>
        </w:rPr>
      </w:pPr>
    </w:p>
    <w:p w14:paraId="00000004" w14:textId="77777777" w:rsidR="001F6594" w:rsidRDefault="001F6594">
      <w:pPr>
        <w:pBdr>
          <w:top w:val="nil"/>
          <w:left w:val="nil"/>
          <w:bottom w:val="nil"/>
          <w:right w:val="nil"/>
          <w:between w:val="nil"/>
        </w:pBdr>
        <w:ind w:firstLine="0"/>
        <w:jc w:val="center"/>
        <w:rPr>
          <w:color w:val="000000"/>
        </w:rPr>
      </w:pPr>
    </w:p>
    <w:p w14:paraId="00000005" w14:textId="77777777" w:rsidR="001F6594" w:rsidRDefault="001F6594">
      <w:pPr>
        <w:pBdr>
          <w:top w:val="nil"/>
          <w:left w:val="nil"/>
          <w:bottom w:val="nil"/>
          <w:right w:val="nil"/>
          <w:between w:val="nil"/>
        </w:pBdr>
        <w:ind w:firstLine="0"/>
        <w:jc w:val="center"/>
        <w:rPr>
          <w:color w:val="000000"/>
        </w:rPr>
      </w:pPr>
    </w:p>
    <w:p w14:paraId="00000006" w14:textId="77777777" w:rsidR="001F6594" w:rsidRDefault="001F6594">
      <w:pPr>
        <w:pBdr>
          <w:top w:val="nil"/>
          <w:left w:val="nil"/>
          <w:bottom w:val="nil"/>
          <w:right w:val="nil"/>
          <w:between w:val="nil"/>
        </w:pBdr>
        <w:ind w:firstLine="0"/>
        <w:jc w:val="center"/>
        <w:rPr>
          <w:color w:val="000000"/>
        </w:rPr>
      </w:pPr>
    </w:p>
    <w:p w14:paraId="294D8BA6" w14:textId="312BCF46" w:rsidR="00616F76" w:rsidRPr="00616F76" w:rsidRDefault="00260355" w:rsidP="00616F76">
      <w:pPr>
        <w:tabs>
          <w:tab w:val="clear" w:pos="8640"/>
        </w:tabs>
        <w:spacing w:line="240" w:lineRule="auto"/>
        <w:ind w:firstLine="0"/>
        <w:jc w:val="center"/>
      </w:pPr>
      <w:r>
        <w:t>Comm-822 Persuasive Communications</w:t>
      </w:r>
    </w:p>
    <w:p w14:paraId="1EF33AA5" w14:textId="77777777" w:rsidR="00616F76" w:rsidRPr="00616F76" w:rsidRDefault="00616F76" w:rsidP="00616F76">
      <w:pPr>
        <w:tabs>
          <w:tab w:val="clear" w:pos="8640"/>
        </w:tabs>
        <w:spacing w:line="240" w:lineRule="auto"/>
        <w:ind w:firstLine="0"/>
        <w:jc w:val="center"/>
      </w:pPr>
    </w:p>
    <w:p w14:paraId="741D8F86" w14:textId="77777777" w:rsidR="00616F76" w:rsidRPr="00616F76" w:rsidRDefault="00616F76" w:rsidP="00616F76">
      <w:pPr>
        <w:tabs>
          <w:tab w:val="clear" w:pos="8640"/>
        </w:tabs>
        <w:spacing w:line="240" w:lineRule="auto"/>
        <w:ind w:firstLine="0"/>
        <w:jc w:val="center"/>
      </w:pPr>
      <w:r w:rsidRPr="00616F76">
        <w:t>Omega Graduate School</w:t>
      </w:r>
    </w:p>
    <w:p w14:paraId="2D1801BD" w14:textId="77777777" w:rsidR="00616F76" w:rsidRPr="00616F76" w:rsidRDefault="00616F76" w:rsidP="00616F76">
      <w:pPr>
        <w:tabs>
          <w:tab w:val="clear" w:pos="8640"/>
        </w:tabs>
        <w:spacing w:line="240" w:lineRule="auto"/>
        <w:ind w:firstLine="0"/>
        <w:jc w:val="center"/>
      </w:pPr>
    </w:p>
    <w:p w14:paraId="0D078575" w14:textId="0B56B087" w:rsidR="00616F76" w:rsidRPr="00616F76" w:rsidRDefault="00FC36E6" w:rsidP="00616F76">
      <w:pPr>
        <w:tabs>
          <w:tab w:val="clear" w:pos="8640"/>
        </w:tabs>
        <w:spacing w:line="240" w:lineRule="auto"/>
        <w:ind w:firstLine="0"/>
        <w:jc w:val="center"/>
      </w:pPr>
      <w:r>
        <w:t>April 16, 2025</w:t>
      </w:r>
    </w:p>
    <w:p w14:paraId="74978C27" w14:textId="77777777" w:rsidR="00616F76" w:rsidRPr="00616F76" w:rsidRDefault="00616F76" w:rsidP="00616F76">
      <w:pPr>
        <w:tabs>
          <w:tab w:val="clear" w:pos="8640"/>
        </w:tabs>
        <w:spacing w:line="240" w:lineRule="auto"/>
        <w:ind w:firstLine="0"/>
        <w:jc w:val="center"/>
      </w:pPr>
    </w:p>
    <w:p w14:paraId="74E8AC46" w14:textId="77777777" w:rsidR="00616F76" w:rsidRPr="00616F76" w:rsidRDefault="00616F76" w:rsidP="00616F76">
      <w:pPr>
        <w:tabs>
          <w:tab w:val="clear" w:pos="8640"/>
        </w:tabs>
        <w:spacing w:line="240" w:lineRule="auto"/>
        <w:ind w:firstLine="0"/>
        <w:jc w:val="center"/>
      </w:pPr>
    </w:p>
    <w:p w14:paraId="1D26003A" w14:textId="77777777" w:rsidR="00616F76" w:rsidRPr="00616F76" w:rsidRDefault="00616F76" w:rsidP="00616F76">
      <w:pPr>
        <w:tabs>
          <w:tab w:val="clear" w:pos="8640"/>
        </w:tabs>
        <w:spacing w:line="240" w:lineRule="auto"/>
        <w:ind w:firstLine="0"/>
        <w:jc w:val="center"/>
      </w:pPr>
    </w:p>
    <w:p w14:paraId="55E38237" w14:textId="77777777" w:rsidR="00616F76" w:rsidRPr="00616F76" w:rsidRDefault="00616F76" w:rsidP="00616F76">
      <w:pPr>
        <w:tabs>
          <w:tab w:val="clear" w:pos="8640"/>
        </w:tabs>
        <w:spacing w:line="240" w:lineRule="auto"/>
        <w:ind w:firstLine="0"/>
        <w:jc w:val="center"/>
      </w:pPr>
    </w:p>
    <w:p w14:paraId="14076D52" w14:textId="77777777" w:rsidR="00616F76" w:rsidRPr="00616F76" w:rsidRDefault="00616F76" w:rsidP="00616F76">
      <w:pPr>
        <w:tabs>
          <w:tab w:val="clear" w:pos="8640"/>
        </w:tabs>
        <w:spacing w:line="240" w:lineRule="auto"/>
        <w:ind w:firstLine="0"/>
        <w:jc w:val="center"/>
      </w:pPr>
    </w:p>
    <w:p w14:paraId="7BF9A77F" w14:textId="77777777" w:rsidR="00616F76" w:rsidRPr="00616F76" w:rsidRDefault="00616F76" w:rsidP="00616F76">
      <w:pPr>
        <w:tabs>
          <w:tab w:val="clear" w:pos="8640"/>
        </w:tabs>
        <w:spacing w:line="240" w:lineRule="auto"/>
        <w:ind w:firstLine="0"/>
        <w:jc w:val="center"/>
      </w:pPr>
      <w:r w:rsidRPr="00616F76">
        <w:t>Professor</w:t>
      </w:r>
    </w:p>
    <w:p w14:paraId="339BA2A2" w14:textId="77777777" w:rsidR="00616F76" w:rsidRPr="00616F76" w:rsidRDefault="00616F76" w:rsidP="00616F76">
      <w:pPr>
        <w:tabs>
          <w:tab w:val="clear" w:pos="8640"/>
        </w:tabs>
        <w:spacing w:line="240" w:lineRule="auto"/>
        <w:ind w:firstLine="0"/>
        <w:jc w:val="center"/>
      </w:pPr>
    </w:p>
    <w:p w14:paraId="74BADF1D" w14:textId="77777777" w:rsidR="00616F76" w:rsidRPr="00616F76" w:rsidRDefault="00616F76" w:rsidP="00616F76">
      <w:pPr>
        <w:tabs>
          <w:tab w:val="clear" w:pos="8640"/>
        </w:tabs>
        <w:spacing w:line="240" w:lineRule="auto"/>
        <w:ind w:firstLine="0"/>
        <w:jc w:val="center"/>
      </w:pPr>
    </w:p>
    <w:p w14:paraId="400E5991" w14:textId="6B213B28" w:rsidR="00616F76" w:rsidRPr="00616F76" w:rsidRDefault="00616F76" w:rsidP="00616F76">
      <w:pPr>
        <w:tabs>
          <w:tab w:val="clear" w:pos="8640"/>
        </w:tabs>
        <w:spacing w:line="240" w:lineRule="auto"/>
        <w:ind w:firstLine="0"/>
        <w:jc w:val="center"/>
      </w:pPr>
      <w:r w:rsidRPr="00616F76">
        <w:t xml:space="preserve">Dr. </w:t>
      </w:r>
      <w:r w:rsidR="00FC36E6">
        <w:t>McClane</w:t>
      </w:r>
    </w:p>
    <w:p w14:paraId="00000017" w14:textId="77777777" w:rsidR="001F6594" w:rsidRDefault="001F6594">
      <w:pPr>
        <w:pBdr>
          <w:top w:val="nil"/>
          <w:left w:val="nil"/>
          <w:bottom w:val="nil"/>
          <w:right w:val="nil"/>
          <w:between w:val="nil"/>
        </w:pBdr>
        <w:ind w:firstLine="0"/>
        <w:jc w:val="center"/>
      </w:pPr>
    </w:p>
    <w:p w14:paraId="00000018" w14:textId="77777777" w:rsidR="001F6594" w:rsidRDefault="00B0123A">
      <w:pPr>
        <w:spacing w:line="240" w:lineRule="auto"/>
        <w:ind w:firstLine="0"/>
      </w:pPr>
      <w:r>
        <w:br w:type="page"/>
      </w:r>
    </w:p>
    <w:p w14:paraId="10532136" w14:textId="77777777" w:rsidR="004B2D2E" w:rsidRDefault="004B2D2E" w:rsidP="004B2D2E">
      <w:pPr>
        <w:ind w:firstLine="0"/>
      </w:pPr>
      <w:r>
        <w:lastRenderedPageBreak/>
        <w:t>Assignment #1 – Thesis Statement</w:t>
      </w:r>
    </w:p>
    <w:p w14:paraId="602DC744" w14:textId="77777777" w:rsidR="004B2D2E" w:rsidRDefault="004B2D2E" w:rsidP="004B2D2E">
      <w:pPr>
        <w:ind w:firstLine="0"/>
      </w:pPr>
      <w:r>
        <w:t>1. Generate a thesis statement for your persuasive essay.</w:t>
      </w:r>
    </w:p>
    <w:p w14:paraId="574273D0" w14:textId="77777777" w:rsidR="004B2D2E" w:rsidRDefault="004B2D2E" w:rsidP="004B2D2E">
      <w:pPr>
        <w:ind w:firstLine="0"/>
      </w:pPr>
      <w:r>
        <w:t>a. Using the OGS Forum Paper Template, complete the following:</w:t>
      </w:r>
    </w:p>
    <w:p w14:paraId="2B61D2EC" w14:textId="77777777" w:rsidR="004B2D2E" w:rsidRDefault="004B2D2E" w:rsidP="004B2D2E">
      <w:pPr>
        <w:ind w:firstLine="0"/>
      </w:pPr>
      <w:proofErr w:type="spellStart"/>
      <w:r>
        <w:t>i</w:t>
      </w:r>
      <w:proofErr w:type="spellEnd"/>
      <w:r>
        <w:t>. Enter your essay title on the title page and the first page of the essay.</w:t>
      </w:r>
    </w:p>
    <w:p w14:paraId="62E571D6" w14:textId="77777777" w:rsidR="004B2D2E" w:rsidRDefault="004B2D2E" w:rsidP="004B2D2E">
      <w:pPr>
        <w:ind w:firstLine="0"/>
      </w:pPr>
      <w:r>
        <w:t>Complete the rest of the title page.</w:t>
      </w:r>
    </w:p>
    <w:p w14:paraId="174D113C" w14:textId="77777777" w:rsidR="004B2D2E" w:rsidRDefault="004B2D2E" w:rsidP="004B2D2E">
      <w:pPr>
        <w:ind w:firstLine="0"/>
      </w:pPr>
      <w:r>
        <w:t>ii. Use the Thesis Statement Generator to draft a thesis statement.</w:t>
      </w:r>
    </w:p>
    <w:p w14:paraId="029AF342" w14:textId="77777777" w:rsidR="004B2D2E" w:rsidRDefault="004B2D2E" w:rsidP="004B2D2E">
      <w:pPr>
        <w:ind w:firstLine="0"/>
      </w:pPr>
      <w:r>
        <w:t>Use only the “generate example” to view several examples of a</w:t>
      </w:r>
    </w:p>
    <w:p w14:paraId="0D72D0E5" w14:textId="77777777" w:rsidR="004B2D2E" w:rsidRDefault="004B2D2E" w:rsidP="004B2D2E">
      <w:pPr>
        <w:ind w:firstLine="0"/>
      </w:pPr>
      <w:r>
        <w:t>well-written thesis statement.</w:t>
      </w:r>
    </w:p>
    <w:p w14:paraId="08C4913A" w14:textId="77777777" w:rsidR="004B2D2E" w:rsidRDefault="004B2D2E" w:rsidP="004B2D2E">
      <w:pPr>
        <w:ind w:firstLine="0"/>
      </w:pPr>
      <w:r>
        <w:t>iii. On the Thesis Statement page, enter a clear, concise thesis</w:t>
      </w:r>
    </w:p>
    <w:p w14:paraId="780412BE" w14:textId="77777777" w:rsidR="004B2D2E" w:rsidRDefault="004B2D2E" w:rsidP="004B2D2E">
      <w:pPr>
        <w:ind w:firstLine="0"/>
      </w:pPr>
      <w:r>
        <w:t>statement of the argumentative position.</w:t>
      </w:r>
    </w:p>
    <w:p w14:paraId="4F4FF776" w14:textId="77777777" w:rsidR="004B2D2E" w:rsidRDefault="004B2D2E" w:rsidP="004B2D2E">
      <w:pPr>
        <w:ind w:firstLine="0"/>
      </w:pPr>
      <w:r>
        <w:t>iv. In the body of the paper, write a three-paragraph description of the</w:t>
      </w:r>
    </w:p>
    <w:p w14:paraId="49D54E32" w14:textId="77777777" w:rsidR="004B2D2E" w:rsidRDefault="004B2D2E" w:rsidP="004B2D2E">
      <w:pPr>
        <w:ind w:firstLine="0"/>
      </w:pPr>
      <w:r>
        <w:t>topic that includes the basic logic behind your argument.</w:t>
      </w:r>
    </w:p>
    <w:p w14:paraId="1725B653" w14:textId="77777777" w:rsidR="004B2D2E" w:rsidRDefault="004B2D2E" w:rsidP="004B2D2E">
      <w:pPr>
        <w:ind w:firstLine="0"/>
      </w:pPr>
      <w:r>
        <w:t>v. In the Works Cited section, enter a minimum of 11 references relevant to</w:t>
      </w:r>
    </w:p>
    <w:p w14:paraId="1CD03FAF" w14:textId="77777777" w:rsidR="004B2D2E" w:rsidRDefault="004B2D2E" w:rsidP="004B2D2E">
      <w:pPr>
        <w:ind w:firstLine="0"/>
      </w:pPr>
      <w:r>
        <w:t xml:space="preserve">your topic. Include no more than two </w:t>
      </w:r>
      <w:proofErr w:type="gramStart"/>
      <w:r>
        <w:t>books;</w:t>
      </w:r>
      <w:proofErr w:type="gramEnd"/>
      <w:r>
        <w:t xml:space="preserve"> the remaining references</w:t>
      </w:r>
    </w:p>
    <w:p w14:paraId="7C27D285" w14:textId="77777777" w:rsidR="004B2D2E" w:rsidRDefault="004B2D2E" w:rsidP="004B2D2E">
      <w:pPr>
        <w:ind w:firstLine="0"/>
      </w:pPr>
      <w:r>
        <w:t>should be for journal articles from a minimum of four different academic</w:t>
      </w:r>
    </w:p>
    <w:p w14:paraId="1EC43021" w14:textId="77777777" w:rsidR="004B2D2E" w:rsidRDefault="004B2D2E" w:rsidP="004B2D2E">
      <w:pPr>
        <w:ind w:firstLine="0"/>
      </w:pPr>
      <w:r>
        <w:t xml:space="preserve">journals. Use only primary research articles with </w:t>
      </w:r>
      <w:proofErr w:type="gramStart"/>
      <w:r>
        <w:t>a majority of</w:t>
      </w:r>
      <w:proofErr w:type="gramEnd"/>
      <w:r>
        <w:t xml:space="preserve"> them</w:t>
      </w:r>
    </w:p>
    <w:p w14:paraId="00000020" w14:textId="6777268C" w:rsidR="001F6594" w:rsidRDefault="004B2D2E" w:rsidP="004B2D2E">
      <w:pPr>
        <w:ind w:firstLine="0"/>
      </w:pPr>
      <w:r>
        <w:t>published within the past 5 years. Include references to both</w:t>
      </w:r>
    </w:p>
    <w:p w14:paraId="00000021" w14:textId="77777777" w:rsidR="001F6594" w:rsidRDefault="001F6594"/>
    <w:p w14:paraId="00000022" w14:textId="77777777" w:rsidR="001F6594" w:rsidRDefault="001F6594"/>
    <w:p w14:paraId="00000023" w14:textId="77777777" w:rsidR="001F6594" w:rsidRDefault="001F6594"/>
    <w:p w14:paraId="00000024" w14:textId="77777777" w:rsidR="001F6594" w:rsidRDefault="001F6594"/>
    <w:p w14:paraId="00000025" w14:textId="77777777" w:rsidR="001F6594" w:rsidRDefault="001F6594"/>
    <w:p w14:paraId="00000026" w14:textId="77777777" w:rsidR="001F6594" w:rsidRDefault="001F6594"/>
    <w:p w14:paraId="00000027" w14:textId="1CFE19CF" w:rsidR="001F6594" w:rsidRPr="00D5398C" w:rsidRDefault="00F14634" w:rsidP="00D5398C">
      <w:pPr>
        <w:ind w:firstLine="0"/>
        <w:rPr>
          <w:b/>
          <w:bCs/>
        </w:rPr>
      </w:pPr>
      <w:r w:rsidRPr="00D5398C">
        <w:rPr>
          <w:b/>
          <w:bCs/>
        </w:rPr>
        <w:lastRenderedPageBreak/>
        <w:t>Thesis Statement:</w:t>
      </w:r>
    </w:p>
    <w:p w14:paraId="1EC0DC61" w14:textId="4409A98B" w:rsidR="00D5398C" w:rsidRDefault="00D5398C" w:rsidP="00D5398C">
      <w:pPr>
        <w:ind w:firstLine="0"/>
      </w:pPr>
      <w:r w:rsidRPr="00D5398C">
        <w:t>While students should be respected in their identity, parents should have a primary role in decisions regarding their child’s gender expression in school</w:t>
      </w:r>
      <w:r>
        <w:t xml:space="preserve">, especially in grades K–5, </w:t>
      </w:r>
      <w:r w:rsidRPr="00D5398C">
        <w:t>because young children are still developing the maturity and understanding needed to make such significant choices independently.</w:t>
      </w:r>
    </w:p>
    <w:p w14:paraId="0CEF7EA0" w14:textId="77777777" w:rsidR="004F6B51" w:rsidRDefault="00B9799F" w:rsidP="00D5398C">
      <w:pPr>
        <w:ind w:firstLine="0"/>
      </w:pPr>
      <w:r>
        <w:t xml:space="preserve">     </w:t>
      </w:r>
    </w:p>
    <w:p w14:paraId="64C43AA4" w14:textId="77777777" w:rsidR="004F6B51" w:rsidRDefault="004F6B51" w:rsidP="00D5398C">
      <w:pPr>
        <w:ind w:firstLine="0"/>
      </w:pPr>
    </w:p>
    <w:p w14:paraId="491A59CB" w14:textId="77777777" w:rsidR="004F6B51" w:rsidRDefault="004F6B51" w:rsidP="00D5398C">
      <w:pPr>
        <w:ind w:firstLine="0"/>
      </w:pPr>
    </w:p>
    <w:p w14:paraId="25C36692" w14:textId="77777777" w:rsidR="004F6B51" w:rsidRDefault="004F6B51" w:rsidP="00D5398C">
      <w:pPr>
        <w:ind w:firstLine="0"/>
      </w:pPr>
    </w:p>
    <w:p w14:paraId="20F6135A" w14:textId="77777777" w:rsidR="004F6B51" w:rsidRDefault="004F6B51" w:rsidP="00D5398C">
      <w:pPr>
        <w:ind w:firstLine="0"/>
      </w:pPr>
    </w:p>
    <w:p w14:paraId="14653CF5" w14:textId="77777777" w:rsidR="004F6B51" w:rsidRDefault="004F6B51" w:rsidP="00D5398C">
      <w:pPr>
        <w:ind w:firstLine="0"/>
      </w:pPr>
    </w:p>
    <w:p w14:paraId="56A53DB5" w14:textId="77777777" w:rsidR="004F6B51" w:rsidRDefault="004F6B51" w:rsidP="00D5398C">
      <w:pPr>
        <w:ind w:firstLine="0"/>
      </w:pPr>
    </w:p>
    <w:p w14:paraId="72FCF503" w14:textId="77777777" w:rsidR="004F6B51" w:rsidRDefault="004F6B51" w:rsidP="00D5398C">
      <w:pPr>
        <w:ind w:firstLine="0"/>
      </w:pPr>
    </w:p>
    <w:p w14:paraId="438A0768" w14:textId="77777777" w:rsidR="004F6B51" w:rsidRDefault="004F6B51" w:rsidP="00D5398C">
      <w:pPr>
        <w:ind w:firstLine="0"/>
      </w:pPr>
    </w:p>
    <w:p w14:paraId="56F5DAFB" w14:textId="77777777" w:rsidR="004F6B51" w:rsidRDefault="004F6B51" w:rsidP="00D5398C">
      <w:pPr>
        <w:ind w:firstLine="0"/>
      </w:pPr>
    </w:p>
    <w:p w14:paraId="6B124550" w14:textId="77777777" w:rsidR="004F6B51" w:rsidRDefault="004F6B51" w:rsidP="00D5398C">
      <w:pPr>
        <w:ind w:firstLine="0"/>
      </w:pPr>
    </w:p>
    <w:p w14:paraId="2EC63DB2" w14:textId="77777777" w:rsidR="004F6B51" w:rsidRDefault="004F6B51" w:rsidP="00D5398C">
      <w:pPr>
        <w:ind w:firstLine="0"/>
      </w:pPr>
    </w:p>
    <w:p w14:paraId="6EACD26B" w14:textId="77777777" w:rsidR="004F6B51" w:rsidRDefault="004F6B51" w:rsidP="00D5398C">
      <w:pPr>
        <w:ind w:firstLine="0"/>
      </w:pPr>
    </w:p>
    <w:p w14:paraId="6F22AC45" w14:textId="77777777" w:rsidR="004F6B51" w:rsidRDefault="004F6B51" w:rsidP="00D5398C">
      <w:pPr>
        <w:ind w:firstLine="0"/>
      </w:pPr>
    </w:p>
    <w:p w14:paraId="164F6B3C" w14:textId="77777777" w:rsidR="004F6B51" w:rsidRDefault="004F6B51" w:rsidP="00D5398C">
      <w:pPr>
        <w:ind w:firstLine="0"/>
      </w:pPr>
    </w:p>
    <w:p w14:paraId="254542DB" w14:textId="77777777" w:rsidR="004F6B51" w:rsidRDefault="004F6B51" w:rsidP="00D5398C">
      <w:pPr>
        <w:ind w:firstLine="0"/>
      </w:pPr>
    </w:p>
    <w:p w14:paraId="600B86F5" w14:textId="77777777" w:rsidR="004F6B51" w:rsidRDefault="004F6B51" w:rsidP="00D5398C">
      <w:pPr>
        <w:ind w:firstLine="0"/>
      </w:pPr>
    </w:p>
    <w:p w14:paraId="34447C14" w14:textId="3E73BDC6" w:rsidR="00B26708" w:rsidRDefault="00634291" w:rsidP="00D5398C">
      <w:pPr>
        <w:ind w:firstLine="0"/>
      </w:pPr>
      <w:r>
        <w:lastRenderedPageBreak/>
        <w:t xml:space="preserve">     </w:t>
      </w:r>
      <w:r w:rsidR="00B9799F">
        <w:t xml:space="preserve">Young children in their developmental stages are not capable of making life-altering decisions or choosing to alter their gender because they lack the mental capacity during this time. </w:t>
      </w:r>
      <w:r w:rsidR="00592D4B">
        <w:t>This also includes the option for students to identify as a different gender than their biological sex in schools, particularly in elementary education. Research indicates that the adolescent brain</w:t>
      </w:r>
      <w:r w:rsidR="00F343F8">
        <w:t xml:space="preserve"> is not as fully developed as an adult's brain </w:t>
      </w:r>
      <w:r>
        <w:t>in terms of</w:t>
      </w:r>
      <w:r w:rsidR="00F343F8">
        <w:t xml:space="preserve"> reasoning and rational thinking</w:t>
      </w:r>
      <w:r w:rsidR="00592D4B">
        <w:t xml:space="preserve">. If this is the case, then why would we permit young children to make life-changing decisions or choose their gender as casually as picking an ice cream flavor? </w:t>
      </w:r>
      <w:r w:rsidR="00A52C8A">
        <w:t xml:space="preserve">Therefore, we must genuinely assess whether it is fair to permit them to conceal their gender options from their parents, with the school's support. </w:t>
      </w:r>
    </w:p>
    <w:p w14:paraId="4062FD47" w14:textId="4BCFFFB6" w:rsidR="00875375" w:rsidRDefault="00875375" w:rsidP="00D5398C">
      <w:pPr>
        <w:ind w:firstLine="0"/>
      </w:pPr>
      <w:r>
        <w:t xml:space="preserve">     </w:t>
      </w:r>
      <w:r w:rsidR="00227CFF">
        <w:t xml:space="preserve">Parents of minor children are responsible for all aspects of their upbringing, including welfare, education, and medical support. The Supreme Court has recognized that </w:t>
      </w:r>
      <w:proofErr w:type="gramStart"/>
      <w:r w:rsidR="00227CFF">
        <w:t>as long as</w:t>
      </w:r>
      <w:proofErr w:type="gramEnd"/>
      <w:r w:rsidR="00227CFF">
        <w:t xml:space="preserve"> a parent is fit to raise their child, the state has no right to intervene on the child’s behalf. Therefore, gender expression and selection fall under this umbrella and should be the overarching right of the parent to guide their child, not anyone else’s, including their child’s school, which operates under state authority. Parents should </w:t>
      </w:r>
      <w:proofErr w:type="gramStart"/>
      <w:r w:rsidR="00227CFF">
        <w:t>have</w:t>
      </w:r>
      <w:proofErr w:type="gramEnd"/>
      <w:r w:rsidR="00227CFF">
        <w:t xml:space="preserve"> the final decision regarding their child’s gender expression or identity, as this upholds parents' rights and maintains an appropriate balance between the law and the personal rights of all parents. </w:t>
      </w:r>
    </w:p>
    <w:p w14:paraId="15B673FE" w14:textId="3F66DEE3" w:rsidR="00263B9E" w:rsidRDefault="00263B9E" w:rsidP="00263B9E">
      <w:pPr>
        <w:ind w:firstLine="0"/>
      </w:pPr>
      <w:r>
        <w:t xml:space="preserve">     As an elementary school principal, I have been tasked with leading children, collaborating with teachers, and partnering with all community members as peacefully as possible. Our children are navigating a very challenging world, and the choices they make are often unstable, as they are young individuals with less than two decades of experience. Given this limited experience, how can we permit them to make decisions while excluding their parents, who are responsible for their care and upbringing? When schools allow parents to be excluded from these </w:t>
      </w:r>
      <w:r>
        <w:lastRenderedPageBreak/>
        <w:t xml:space="preserve">discussions, they undermine parental authority and position themselves as unauthorized co-parents or ambassadors for the children, which is not always in the </w:t>
      </w:r>
      <w:r w:rsidR="00180D83">
        <w:t>child's best interest</w:t>
      </w:r>
      <w:r>
        <w:t xml:space="preserve">. </w:t>
      </w:r>
      <w:r w:rsidR="00180D83">
        <w:t xml:space="preserve">As children are still developing their maturity and growth, the need for consistent parental guidance is necessary; therefore, parents should be aware of all important decisions and choices that students make in school. </w:t>
      </w:r>
    </w:p>
    <w:p w14:paraId="222BAD2E" w14:textId="138C8EF3" w:rsidR="00EE1578" w:rsidRPr="00D5398C" w:rsidRDefault="00263B9E" w:rsidP="00263B9E">
      <w:pPr>
        <w:ind w:firstLine="0"/>
      </w:pPr>
      <w:r>
        <w:t xml:space="preserve">     </w:t>
      </w:r>
    </w:p>
    <w:p w14:paraId="7AF03046" w14:textId="77777777" w:rsidR="00F14634" w:rsidRDefault="00F14634"/>
    <w:p w14:paraId="00000028" w14:textId="77777777" w:rsidR="001F6594" w:rsidRDefault="001F6594"/>
    <w:p w14:paraId="00000029" w14:textId="77777777" w:rsidR="001F6594" w:rsidRDefault="001F6594"/>
    <w:p w14:paraId="0000002A" w14:textId="77777777" w:rsidR="001F6594" w:rsidRDefault="001F6594"/>
    <w:p w14:paraId="0000002B" w14:textId="77777777" w:rsidR="001F6594" w:rsidRDefault="001F6594"/>
    <w:p w14:paraId="0075683A" w14:textId="77777777" w:rsidR="00EE1578" w:rsidRDefault="00EE1578"/>
    <w:p w14:paraId="3D771968" w14:textId="77777777" w:rsidR="00EE1578" w:rsidRDefault="00EE1578"/>
    <w:p w14:paraId="02DAF5B2" w14:textId="77777777" w:rsidR="00EE1578" w:rsidRDefault="00EE1578"/>
    <w:p w14:paraId="01BEA47F" w14:textId="77777777" w:rsidR="00EE1578" w:rsidRDefault="00EE1578"/>
    <w:p w14:paraId="24AEB188" w14:textId="77777777" w:rsidR="00EE1578" w:rsidRDefault="00EE1578"/>
    <w:p w14:paraId="366D74DE" w14:textId="77777777" w:rsidR="00EE1578" w:rsidRDefault="00EE1578"/>
    <w:p w14:paraId="29CC2A80" w14:textId="77777777" w:rsidR="004723F0" w:rsidRDefault="004723F0"/>
    <w:p w14:paraId="3ECB2D57" w14:textId="77777777" w:rsidR="00980179" w:rsidRDefault="00980179" w:rsidP="004723F0">
      <w:pPr>
        <w:ind w:firstLine="0"/>
        <w:jc w:val="both"/>
      </w:pPr>
    </w:p>
    <w:p w14:paraId="2A713493" w14:textId="77777777" w:rsidR="00980179" w:rsidRDefault="00980179" w:rsidP="004723F0">
      <w:pPr>
        <w:ind w:firstLine="0"/>
        <w:jc w:val="both"/>
      </w:pPr>
    </w:p>
    <w:p w14:paraId="5348D168" w14:textId="77777777" w:rsidR="00980179" w:rsidRDefault="00980179" w:rsidP="004723F0">
      <w:pPr>
        <w:ind w:firstLine="0"/>
        <w:jc w:val="both"/>
      </w:pPr>
    </w:p>
    <w:p w14:paraId="42CDCD09" w14:textId="77777777" w:rsidR="00980179" w:rsidRDefault="00980179" w:rsidP="004723F0">
      <w:pPr>
        <w:ind w:firstLine="0"/>
        <w:jc w:val="both"/>
      </w:pPr>
    </w:p>
    <w:p w14:paraId="0000003B" w14:textId="2B965F2B" w:rsidR="001F6594" w:rsidRDefault="00062FEF" w:rsidP="004723F0">
      <w:pPr>
        <w:ind w:firstLine="0"/>
        <w:jc w:val="both"/>
      </w:pPr>
      <w:r>
        <w:tab/>
        <w:t xml:space="preserve">         </w:t>
      </w:r>
    </w:p>
    <w:p w14:paraId="3A587E3C" w14:textId="46173532" w:rsidR="00162CB5" w:rsidRDefault="00162CB5" w:rsidP="00162CB5">
      <w:pPr>
        <w:spacing w:line="240" w:lineRule="auto"/>
        <w:ind w:left="720" w:hanging="720"/>
        <w:jc w:val="center"/>
      </w:pPr>
      <w:r>
        <w:lastRenderedPageBreak/>
        <w:t>Works Cited</w:t>
      </w:r>
    </w:p>
    <w:p w14:paraId="2EAC0C93" w14:textId="77777777" w:rsidR="00162CB5" w:rsidRDefault="00162CB5" w:rsidP="00162CB5">
      <w:pPr>
        <w:spacing w:line="240" w:lineRule="auto"/>
        <w:ind w:left="720" w:hanging="720"/>
        <w:jc w:val="center"/>
      </w:pPr>
    </w:p>
    <w:p w14:paraId="08F3A58D" w14:textId="51DD8587" w:rsidR="00090B79" w:rsidRDefault="00090B79" w:rsidP="00090B79">
      <w:pPr>
        <w:spacing w:line="240" w:lineRule="auto"/>
        <w:ind w:left="720" w:hanging="720"/>
      </w:pPr>
      <w:r w:rsidRPr="00090B79">
        <w:t xml:space="preserve">Ashley, F. (2024). Parental rights over transgender youth: Furthering a pressing and substantial </w:t>
      </w:r>
      <w:proofErr w:type="gramStart"/>
      <w:r w:rsidRPr="00090B79">
        <w:t>objective?.</w:t>
      </w:r>
      <w:proofErr w:type="gramEnd"/>
      <w:r w:rsidRPr="00090B79">
        <w:t> </w:t>
      </w:r>
      <w:r w:rsidRPr="00090B79">
        <w:rPr>
          <w:i/>
          <w:iCs/>
        </w:rPr>
        <w:t>Alta. L. Rev.</w:t>
      </w:r>
      <w:r w:rsidRPr="00090B79">
        <w:t>, </w:t>
      </w:r>
      <w:r w:rsidRPr="00090B79">
        <w:rPr>
          <w:i/>
          <w:iCs/>
        </w:rPr>
        <w:t>62</w:t>
      </w:r>
      <w:r w:rsidRPr="00090B79">
        <w:t>, 87.</w:t>
      </w:r>
    </w:p>
    <w:p w14:paraId="48895A33" w14:textId="77777777" w:rsidR="00C32386" w:rsidRDefault="00C32386" w:rsidP="00090B79">
      <w:pPr>
        <w:spacing w:line="240" w:lineRule="auto"/>
        <w:ind w:left="720" w:hanging="720"/>
      </w:pPr>
    </w:p>
    <w:p w14:paraId="50E3FCEC" w14:textId="74DE4B1C" w:rsidR="00C32386" w:rsidRDefault="00C32386" w:rsidP="00090B79">
      <w:pPr>
        <w:spacing w:line="240" w:lineRule="auto"/>
        <w:ind w:left="720" w:hanging="720"/>
      </w:pPr>
      <w:r w:rsidRPr="00C32386">
        <w:t>Baker, K. J. (2023). When Students Change Gender Identity, and Parents Don't Know. </w:t>
      </w:r>
      <w:r w:rsidRPr="00C32386">
        <w:rPr>
          <w:i/>
          <w:iCs/>
        </w:rPr>
        <w:t>International New York Times</w:t>
      </w:r>
      <w:r w:rsidRPr="00C32386">
        <w:t>, NA-NA.</w:t>
      </w:r>
    </w:p>
    <w:p w14:paraId="103CF276" w14:textId="77777777" w:rsidR="000734AD" w:rsidRDefault="000734AD" w:rsidP="00090B79">
      <w:pPr>
        <w:spacing w:line="240" w:lineRule="auto"/>
        <w:ind w:left="720" w:hanging="720"/>
      </w:pPr>
    </w:p>
    <w:p w14:paraId="0EC74112" w14:textId="77777777" w:rsidR="000734AD" w:rsidRPr="001B4B46" w:rsidRDefault="000734AD" w:rsidP="000734AD">
      <w:pPr>
        <w:spacing w:line="240" w:lineRule="auto"/>
        <w:ind w:left="720" w:hanging="720"/>
      </w:pPr>
      <w:r w:rsidRPr="001B4B46">
        <w:t xml:space="preserve">Di </w:t>
      </w:r>
      <w:proofErr w:type="spellStart"/>
      <w:r w:rsidRPr="001B4B46">
        <w:t>Ceglie</w:t>
      </w:r>
      <w:proofErr w:type="spellEnd"/>
      <w:r w:rsidRPr="001B4B46">
        <w:t>, D. (2014). Gender dysphoria in young people. </w:t>
      </w:r>
      <w:r w:rsidRPr="001B4B46">
        <w:rPr>
          <w:i/>
          <w:iCs/>
        </w:rPr>
        <w:t xml:space="preserve">Clinical Topics in Child and Adolescent Psychiatry; </w:t>
      </w:r>
      <w:proofErr w:type="spellStart"/>
      <w:r w:rsidRPr="001B4B46">
        <w:rPr>
          <w:i/>
          <w:iCs/>
        </w:rPr>
        <w:t>Huline</w:t>
      </w:r>
      <w:proofErr w:type="spellEnd"/>
      <w:r w:rsidRPr="001B4B46">
        <w:rPr>
          <w:i/>
          <w:iCs/>
        </w:rPr>
        <w:t>-Dickens, S., Ed</w:t>
      </w:r>
      <w:r w:rsidRPr="001B4B46">
        <w:t>, 349-364.</w:t>
      </w:r>
    </w:p>
    <w:p w14:paraId="60C49C75" w14:textId="77777777" w:rsidR="000734AD" w:rsidRDefault="000734AD" w:rsidP="000734AD">
      <w:pPr>
        <w:spacing w:line="240" w:lineRule="auto"/>
        <w:ind w:firstLine="0"/>
      </w:pPr>
    </w:p>
    <w:p w14:paraId="66A96CDD" w14:textId="37109A04" w:rsidR="004723F0" w:rsidRDefault="00090B79" w:rsidP="000734AD">
      <w:pPr>
        <w:spacing w:line="240" w:lineRule="auto"/>
      </w:pPr>
      <w:r>
        <w:tab/>
      </w:r>
    </w:p>
    <w:p w14:paraId="2465C528" w14:textId="056D28ED" w:rsidR="00C16E22" w:rsidRDefault="00C124B5" w:rsidP="00C124B5">
      <w:pPr>
        <w:spacing w:line="240" w:lineRule="auto"/>
        <w:ind w:left="720" w:hanging="720"/>
      </w:pPr>
      <w:r w:rsidRPr="00C124B5">
        <w:t>Diekema, D. (2020). Adolescent brain development and medical decision-making. </w:t>
      </w:r>
      <w:r w:rsidRPr="00C124B5">
        <w:rPr>
          <w:i/>
          <w:iCs/>
        </w:rPr>
        <w:t>Pediatrics</w:t>
      </w:r>
      <w:r w:rsidRPr="00C124B5">
        <w:t>, 146(Supplement 1), S18-S24. </w:t>
      </w:r>
      <w:hyperlink r:id="rId7" w:history="1">
        <w:r w:rsidRPr="00C124B5">
          <w:rPr>
            <w:rStyle w:val="Hyperlink"/>
          </w:rPr>
          <w:t>https://doi.org/10.1542/peds.2020-0818F</w:t>
        </w:r>
      </w:hyperlink>
    </w:p>
    <w:p w14:paraId="215F018C" w14:textId="77777777" w:rsidR="00A11EE9" w:rsidRDefault="00A11EE9" w:rsidP="001B4B46">
      <w:pPr>
        <w:spacing w:line="240" w:lineRule="auto"/>
        <w:ind w:firstLine="0"/>
      </w:pPr>
    </w:p>
    <w:p w14:paraId="406D0641" w14:textId="06ECAC20" w:rsidR="00A11EE9" w:rsidRDefault="00A11EE9" w:rsidP="00A11EE9">
      <w:pPr>
        <w:spacing w:line="240" w:lineRule="auto"/>
        <w:ind w:left="720" w:hanging="720"/>
      </w:pPr>
      <w:r>
        <w:rPr>
          <w:rStyle w:val="relative"/>
        </w:rPr>
        <w:t xml:space="preserve">Francis, F. L. (2022). </w:t>
      </w:r>
      <w:r>
        <w:rPr>
          <w:rStyle w:val="Emphasis"/>
        </w:rPr>
        <w:t>Who decides: What the Constitution says about parental authority and the rights of minor children to seek gender transition treatment</w:t>
      </w:r>
      <w:r>
        <w:rPr>
          <w:rStyle w:val="relative"/>
        </w:rPr>
        <w:t xml:space="preserve">. </w:t>
      </w:r>
      <w:r w:rsidRPr="002C0E0F">
        <w:rPr>
          <w:rStyle w:val="Emphasis"/>
          <w:i w:val="0"/>
          <w:iCs w:val="0"/>
        </w:rPr>
        <w:t>Southern Illinois University Law Journal, 46</w:t>
      </w:r>
      <w:r w:rsidRPr="002C0E0F">
        <w:rPr>
          <w:rStyle w:val="relative"/>
        </w:rPr>
        <w:t>, 535–573.</w:t>
      </w:r>
    </w:p>
    <w:p w14:paraId="0A034FE0" w14:textId="77777777" w:rsidR="00B5664D" w:rsidRDefault="00B5664D" w:rsidP="00A11EE9">
      <w:pPr>
        <w:spacing w:line="240" w:lineRule="auto"/>
        <w:ind w:left="720" w:hanging="720"/>
      </w:pPr>
    </w:p>
    <w:p w14:paraId="581F3825" w14:textId="71B9FB5A" w:rsidR="00B5664D" w:rsidRDefault="00B5664D" w:rsidP="00A11EE9">
      <w:pPr>
        <w:spacing w:line="240" w:lineRule="auto"/>
        <w:ind w:left="720" w:hanging="720"/>
      </w:pPr>
      <w:r w:rsidRPr="00B5664D">
        <w:t>In loco parentis, the First Amendment, and parental rights – Can they co-exist in public schools? (2023). Texas Tech Law Review, 55(3), 461–500.</w:t>
      </w:r>
    </w:p>
    <w:p w14:paraId="13D9B1A6" w14:textId="77777777" w:rsidR="00070642" w:rsidRDefault="00070642" w:rsidP="00A11EE9">
      <w:pPr>
        <w:spacing w:line="240" w:lineRule="auto"/>
        <w:ind w:left="720" w:hanging="720"/>
      </w:pPr>
    </w:p>
    <w:p w14:paraId="139331C7" w14:textId="30DE0125" w:rsidR="00070642" w:rsidRPr="002C0E0F" w:rsidRDefault="00070642" w:rsidP="00A11EE9">
      <w:pPr>
        <w:spacing w:line="240" w:lineRule="auto"/>
        <w:ind w:left="720" w:hanging="720"/>
      </w:pPr>
      <w:r w:rsidRPr="00070642">
        <w:t>Kao, C. (2023). Safeguarding parental rights and protecting children from federally mandated gender ideology.</w:t>
      </w:r>
    </w:p>
    <w:p w14:paraId="0CA82DDC" w14:textId="77777777" w:rsidR="002C0E0F" w:rsidRPr="002C0E0F" w:rsidRDefault="002C0E0F" w:rsidP="002C0E0F">
      <w:pPr>
        <w:spacing w:line="240" w:lineRule="auto"/>
        <w:ind w:firstLine="0"/>
      </w:pPr>
    </w:p>
    <w:p w14:paraId="0080EB34" w14:textId="6058163C" w:rsidR="00A11EE9" w:rsidRDefault="002C0E0F" w:rsidP="00C124B5">
      <w:pPr>
        <w:spacing w:line="240" w:lineRule="auto"/>
        <w:ind w:left="720" w:hanging="720"/>
      </w:pPr>
      <w:r w:rsidRPr="002C0E0F">
        <w:t xml:space="preserve">Moschella, M. (2023). </w:t>
      </w:r>
      <w:r w:rsidRPr="002C0E0F">
        <w:rPr>
          <w:i/>
          <w:iCs/>
        </w:rPr>
        <w:t>Natural law, parental rights, and the defense of "liberal" limits on government: An analysis of the Mortara case and its contemporary parallels</w:t>
      </w:r>
      <w:r w:rsidRPr="002C0E0F">
        <w:t>. Notre Dame Law Review, 98(4), 1559–1606</w:t>
      </w:r>
    </w:p>
    <w:p w14:paraId="69939842" w14:textId="77777777" w:rsidR="00A36BFD" w:rsidRDefault="00A36BFD" w:rsidP="00C124B5">
      <w:pPr>
        <w:spacing w:line="240" w:lineRule="auto"/>
        <w:ind w:left="720" w:hanging="720"/>
      </w:pPr>
    </w:p>
    <w:p w14:paraId="5BC373A9" w14:textId="5DBE1514" w:rsidR="00A36BFD" w:rsidRDefault="00A36BFD" w:rsidP="00C124B5">
      <w:pPr>
        <w:spacing w:line="240" w:lineRule="auto"/>
        <w:ind w:left="720" w:hanging="720"/>
      </w:pPr>
      <w:proofErr w:type="spellStart"/>
      <w:r w:rsidRPr="00A36BFD">
        <w:t>Skordis</w:t>
      </w:r>
      <w:proofErr w:type="spellEnd"/>
      <w:r w:rsidRPr="00A36BFD">
        <w:t xml:space="preserve">, N., Kyriakou, A., Dror, S., </w:t>
      </w:r>
      <w:proofErr w:type="spellStart"/>
      <w:r w:rsidRPr="00A36BFD">
        <w:t>Mushailov</w:t>
      </w:r>
      <w:proofErr w:type="spellEnd"/>
      <w:r w:rsidRPr="00A36BFD">
        <w:t>, A., &amp; Nicolaides, N. C. (2020). Gender dysphoria in children and adolescents: an overview. </w:t>
      </w:r>
      <w:r w:rsidRPr="00A36BFD">
        <w:rPr>
          <w:i/>
          <w:iCs/>
        </w:rPr>
        <w:t>Hormones</w:t>
      </w:r>
      <w:r w:rsidRPr="00A36BFD">
        <w:t>, </w:t>
      </w:r>
      <w:r w:rsidRPr="00A36BFD">
        <w:rPr>
          <w:i/>
          <w:iCs/>
        </w:rPr>
        <w:t>19</w:t>
      </w:r>
      <w:r w:rsidRPr="00A36BFD">
        <w:t>(3), 267-276</w:t>
      </w:r>
    </w:p>
    <w:p w14:paraId="3B145788" w14:textId="77777777" w:rsidR="002F2DA1" w:rsidRDefault="002F2DA1" w:rsidP="00C124B5">
      <w:pPr>
        <w:spacing w:line="240" w:lineRule="auto"/>
        <w:ind w:left="720" w:hanging="720"/>
      </w:pPr>
    </w:p>
    <w:p w14:paraId="377F4E2C" w14:textId="61E9AC27" w:rsidR="006537C9" w:rsidRDefault="003A1994" w:rsidP="00C124B5">
      <w:pPr>
        <w:spacing w:line="240" w:lineRule="auto"/>
        <w:ind w:left="720" w:hanging="720"/>
      </w:pPr>
      <w:r w:rsidRPr="003A1994">
        <w:t>Tobin-Tyler, E. (2023). The Past and Future of Parental Rights: Politics, Power, Pluralism, and Public Health. </w:t>
      </w:r>
      <w:r w:rsidRPr="003A1994">
        <w:rPr>
          <w:i/>
          <w:iCs/>
        </w:rPr>
        <w:t xml:space="preserve">Va. J. Soc. </w:t>
      </w:r>
      <w:proofErr w:type="spellStart"/>
      <w:r w:rsidRPr="003A1994">
        <w:rPr>
          <w:i/>
          <w:iCs/>
        </w:rPr>
        <w:t>Pol'y</w:t>
      </w:r>
      <w:proofErr w:type="spellEnd"/>
      <w:r w:rsidRPr="003A1994">
        <w:rPr>
          <w:i/>
          <w:iCs/>
        </w:rPr>
        <w:t xml:space="preserve"> &amp; L.</w:t>
      </w:r>
      <w:r w:rsidRPr="003A1994">
        <w:t>, </w:t>
      </w:r>
      <w:r w:rsidRPr="003A1994">
        <w:rPr>
          <w:i/>
          <w:iCs/>
        </w:rPr>
        <w:t>30</w:t>
      </w:r>
      <w:r w:rsidRPr="003A1994">
        <w:t>, 312.</w:t>
      </w:r>
    </w:p>
    <w:p w14:paraId="2581150D" w14:textId="77777777" w:rsidR="00673D51" w:rsidRDefault="00673D51" w:rsidP="00C124B5">
      <w:pPr>
        <w:spacing w:line="240" w:lineRule="auto"/>
        <w:ind w:left="720" w:hanging="720"/>
      </w:pPr>
    </w:p>
    <w:p w14:paraId="0B0CA5D8" w14:textId="33BA37B0" w:rsidR="00673D51" w:rsidRDefault="00673D51" w:rsidP="00C124B5">
      <w:pPr>
        <w:spacing w:line="240" w:lineRule="auto"/>
        <w:ind w:left="720" w:hanging="720"/>
      </w:pPr>
      <w:r w:rsidRPr="00673D51">
        <w:t>Yarhouse, M. A. (2015). </w:t>
      </w:r>
      <w:r w:rsidRPr="00673D51">
        <w:rPr>
          <w:i/>
          <w:iCs/>
        </w:rPr>
        <w:t>Understanding gender dysphoria</w:t>
      </w:r>
      <w:r w:rsidRPr="00673D51">
        <w:t>. IVP Academic.</w:t>
      </w:r>
    </w:p>
    <w:p w14:paraId="5334D3EB" w14:textId="77777777" w:rsidR="001B4B46" w:rsidRDefault="001B4B46" w:rsidP="00C124B5">
      <w:pPr>
        <w:spacing w:line="240" w:lineRule="auto"/>
        <w:ind w:left="720" w:hanging="720"/>
      </w:pPr>
    </w:p>
    <w:p w14:paraId="78AE1CC0" w14:textId="77777777" w:rsidR="00A36BFD" w:rsidRDefault="00A36BFD" w:rsidP="00C124B5">
      <w:pPr>
        <w:spacing w:line="240" w:lineRule="auto"/>
        <w:ind w:left="720" w:hanging="720"/>
      </w:pPr>
    </w:p>
    <w:p w14:paraId="5AD99C86" w14:textId="0CCDF6C3" w:rsidR="00A36BFD" w:rsidRDefault="00A36BFD" w:rsidP="00C124B5">
      <w:pPr>
        <w:spacing w:line="240" w:lineRule="auto"/>
        <w:ind w:left="720" w:hanging="720"/>
      </w:pPr>
      <w:r w:rsidRPr="00A36BFD">
        <w:t>.</w:t>
      </w:r>
    </w:p>
    <w:p w14:paraId="0EBFA967" w14:textId="77777777" w:rsidR="00090B79" w:rsidRDefault="00090B79" w:rsidP="00C124B5">
      <w:pPr>
        <w:spacing w:line="240" w:lineRule="auto"/>
        <w:ind w:left="720" w:hanging="720"/>
      </w:pPr>
    </w:p>
    <w:p w14:paraId="41EF1984" w14:textId="77777777" w:rsidR="00663831" w:rsidRPr="006950A0" w:rsidRDefault="00663831" w:rsidP="00CC3AF5">
      <w:pPr>
        <w:suppressAutoHyphens/>
        <w:autoSpaceDE w:val="0"/>
        <w:autoSpaceDN w:val="0"/>
        <w:spacing w:line="240" w:lineRule="auto"/>
      </w:pPr>
    </w:p>
    <w:p w14:paraId="20EEA57D" w14:textId="77777777" w:rsidR="00E55E1E" w:rsidRDefault="00E55E1E" w:rsidP="00CC3AF5">
      <w:pPr>
        <w:spacing w:line="240" w:lineRule="auto"/>
        <w:rPr>
          <w:i/>
          <w:iCs/>
        </w:rPr>
      </w:pPr>
    </w:p>
    <w:p w14:paraId="0C86AF6E" w14:textId="77777777" w:rsidR="00E55E1E" w:rsidRDefault="00E55E1E">
      <w:pPr>
        <w:spacing w:line="240" w:lineRule="auto"/>
        <w:ind w:firstLine="0"/>
        <w:rPr>
          <w:bCs/>
          <w:i/>
          <w:iCs/>
        </w:rPr>
      </w:pPr>
    </w:p>
    <w:p w14:paraId="7EBDA6AC" w14:textId="77777777" w:rsidR="0094410E" w:rsidRDefault="0094410E">
      <w:pPr>
        <w:spacing w:line="240" w:lineRule="auto"/>
        <w:ind w:firstLine="0"/>
      </w:pPr>
    </w:p>
    <w:sectPr w:rsidR="0094410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8880" w14:textId="77777777" w:rsidR="006F31F5" w:rsidRDefault="006F31F5">
      <w:pPr>
        <w:spacing w:line="240" w:lineRule="auto"/>
      </w:pPr>
      <w:r>
        <w:separator/>
      </w:r>
    </w:p>
  </w:endnote>
  <w:endnote w:type="continuationSeparator" w:id="0">
    <w:p w14:paraId="6089229C" w14:textId="77777777" w:rsidR="006F31F5" w:rsidRDefault="006F3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88F33" w14:textId="77777777" w:rsidR="006F31F5" w:rsidRDefault="006F31F5">
      <w:pPr>
        <w:spacing w:line="240" w:lineRule="auto"/>
      </w:pPr>
      <w:r>
        <w:separator/>
      </w:r>
    </w:p>
  </w:footnote>
  <w:footnote w:type="continuationSeparator" w:id="0">
    <w:p w14:paraId="760F1B27" w14:textId="77777777" w:rsidR="006F31F5" w:rsidRDefault="006F31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DBD8F8D" w:rsidR="001F6594" w:rsidRDefault="00E0413F">
    <w:pPr>
      <w:pBdr>
        <w:top w:val="nil"/>
        <w:left w:val="nil"/>
        <w:bottom w:val="nil"/>
        <w:right w:val="nil"/>
        <w:between w:val="nil"/>
      </w:pBdr>
      <w:tabs>
        <w:tab w:val="right" w:pos="9360"/>
      </w:tabs>
      <w:ind w:firstLine="0"/>
      <w:rPr>
        <w:color w:val="000000"/>
      </w:rPr>
    </w:pPr>
    <w:r>
      <w:rPr>
        <w:sz w:val="20"/>
        <w:szCs w:val="20"/>
      </w:rPr>
      <w:t>Regina Matthews</w:t>
    </w:r>
    <w:r w:rsidR="001A3757">
      <w:rPr>
        <w:sz w:val="20"/>
        <w:szCs w:val="20"/>
      </w:rPr>
      <w:t xml:space="preserve"> Comm 822 </w:t>
    </w:r>
    <w:r w:rsidR="00B0123A">
      <w:rPr>
        <w:sz w:val="20"/>
        <w:szCs w:val="20"/>
      </w:rPr>
      <w:t xml:space="preserve">  </w:t>
    </w:r>
    <w:r w:rsidR="00801F0E">
      <w:rPr>
        <w:sz w:val="20"/>
        <w:szCs w:val="20"/>
      </w:rPr>
      <w:t xml:space="preserve">Persuasive </w:t>
    </w:r>
    <w:proofErr w:type="gramStart"/>
    <w:r w:rsidR="00801F0E">
      <w:rPr>
        <w:sz w:val="20"/>
        <w:szCs w:val="20"/>
      </w:rPr>
      <w:t xml:space="preserve">Communications </w:t>
    </w:r>
    <w:r w:rsidR="00260355">
      <w:rPr>
        <w:sz w:val="20"/>
        <w:szCs w:val="20"/>
      </w:rPr>
      <w:t xml:space="preserve"> </w:t>
    </w:r>
    <w:proofErr w:type="spellStart"/>
    <w:r w:rsidR="00260355">
      <w:rPr>
        <w:sz w:val="20"/>
        <w:szCs w:val="20"/>
      </w:rPr>
      <w:t>Subterm</w:t>
    </w:r>
    <w:proofErr w:type="spellEnd"/>
    <w:proofErr w:type="gramEnd"/>
    <w:r w:rsidR="00260355">
      <w:rPr>
        <w:sz w:val="20"/>
        <w:szCs w:val="20"/>
      </w:rPr>
      <w:t xml:space="preserve"> </w:t>
    </w:r>
    <w:proofErr w:type="gramStart"/>
    <w:r w:rsidR="00260355">
      <w:rPr>
        <w:sz w:val="20"/>
        <w:szCs w:val="20"/>
      </w:rPr>
      <w:t xml:space="preserve">B  </w:t>
    </w:r>
    <w:r w:rsidR="00663BD3">
      <w:rPr>
        <w:sz w:val="20"/>
        <w:szCs w:val="20"/>
      </w:rPr>
      <w:t>Assignment</w:t>
    </w:r>
    <w:proofErr w:type="gramEnd"/>
    <w:r w:rsidR="00663BD3">
      <w:rPr>
        <w:sz w:val="20"/>
        <w:szCs w:val="20"/>
      </w:rPr>
      <w:t xml:space="preserve"> #1</w:t>
    </w:r>
    <w:r w:rsidR="00260355">
      <w:rPr>
        <w:sz w:val="20"/>
        <w:szCs w:val="20"/>
      </w:rPr>
      <w:t xml:space="preserve">   4/16/25</w:t>
    </w:r>
    <w:r w:rsidR="00B0123A">
      <w:tab/>
      <w:t xml:space="preserve"> </w:t>
    </w:r>
    <w:r w:rsidR="00B0123A">
      <w:rPr>
        <w:color w:val="000000"/>
      </w:rPr>
      <w:t xml:space="preserve">                                       </w:t>
    </w:r>
    <w:r w:rsidR="00B0123A">
      <w:rPr>
        <w:color w:val="000000"/>
      </w:rPr>
      <w:fldChar w:fldCharType="begin"/>
    </w:r>
    <w:r w:rsidR="00B0123A">
      <w:rPr>
        <w:color w:val="000000"/>
      </w:rPr>
      <w:instrText>PAGE</w:instrText>
    </w:r>
    <w:r w:rsidR="00B0123A">
      <w:rPr>
        <w:color w:val="000000"/>
      </w:rPr>
      <w:fldChar w:fldCharType="separate"/>
    </w:r>
    <w:r w:rsidR="00C97B42">
      <w:rPr>
        <w:noProof/>
        <w:color w:val="000000"/>
      </w:rPr>
      <w:t>1</w:t>
    </w:r>
    <w:r w:rsidR="00B0123A">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94"/>
    <w:rsid w:val="0000599A"/>
    <w:rsid w:val="00030889"/>
    <w:rsid w:val="0003709C"/>
    <w:rsid w:val="00062FEF"/>
    <w:rsid w:val="00070642"/>
    <w:rsid w:val="000734AD"/>
    <w:rsid w:val="00084B7B"/>
    <w:rsid w:val="00090B79"/>
    <w:rsid w:val="000A65F0"/>
    <w:rsid w:val="000D163C"/>
    <w:rsid w:val="000D2E34"/>
    <w:rsid w:val="000D3E9B"/>
    <w:rsid w:val="000E4626"/>
    <w:rsid w:val="00100FB4"/>
    <w:rsid w:val="00104CDA"/>
    <w:rsid w:val="0010507A"/>
    <w:rsid w:val="00105967"/>
    <w:rsid w:val="0011185D"/>
    <w:rsid w:val="001367A6"/>
    <w:rsid w:val="00137251"/>
    <w:rsid w:val="001411EF"/>
    <w:rsid w:val="00144F06"/>
    <w:rsid w:val="001512F1"/>
    <w:rsid w:val="00152F49"/>
    <w:rsid w:val="00162CB5"/>
    <w:rsid w:val="001809FC"/>
    <w:rsid w:val="00180D83"/>
    <w:rsid w:val="00197C43"/>
    <w:rsid w:val="001A3757"/>
    <w:rsid w:val="001A6775"/>
    <w:rsid w:val="001A6F43"/>
    <w:rsid w:val="001B1F4E"/>
    <w:rsid w:val="001B4B46"/>
    <w:rsid w:val="001F6474"/>
    <w:rsid w:val="001F6594"/>
    <w:rsid w:val="00210B43"/>
    <w:rsid w:val="00227CFF"/>
    <w:rsid w:val="0023544D"/>
    <w:rsid w:val="00251925"/>
    <w:rsid w:val="00254D16"/>
    <w:rsid w:val="00260355"/>
    <w:rsid w:val="00262221"/>
    <w:rsid w:val="00263B9E"/>
    <w:rsid w:val="002679C7"/>
    <w:rsid w:val="00276F06"/>
    <w:rsid w:val="00280355"/>
    <w:rsid w:val="0028446E"/>
    <w:rsid w:val="00291454"/>
    <w:rsid w:val="002A0F48"/>
    <w:rsid w:val="002A43E6"/>
    <w:rsid w:val="002B3854"/>
    <w:rsid w:val="002C0E0F"/>
    <w:rsid w:val="002F2DA1"/>
    <w:rsid w:val="003124FD"/>
    <w:rsid w:val="00315DFE"/>
    <w:rsid w:val="00343D32"/>
    <w:rsid w:val="00345596"/>
    <w:rsid w:val="00346F6E"/>
    <w:rsid w:val="003773CC"/>
    <w:rsid w:val="003810EB"/>
    <w:rsid w:val="00394D36"/>
    <w:rsid w:val="003A1994"/>
    <w:rsid w:val="003A1F09"/>
    <w:rsid w:val="003A3249"/>
    <w:rsid w:val="003A430B"/>
    <w:rsid w:val="003D0BCA"/>
    <w:rsid w:val="003D1A62"/>
    <w:rsid w:val="003E230A"/>
    <w:rsid w:val="003E689C"/>
    <w:rsid w:val="003E7F03"/>
    <w:rsid w:val="004079BC"/>
    <w:rsid w:val="00412E88"/>
    <w:rsid w:val="00430AB2"/>
    <w:rsid w:val="004351FB"/>
    <w:rsid w:val="004372B9"/>
    <w:rsid w:val="00446269"/>
    <w:rsid w:val="00461653"/>
    <w:rsid w:val="00463A74"/>
    <w:rsid w:val="004671FC"/>
    <w:rsid w:val="004709C2"/>
    <w:rsid w:val="0047222A"/>
    <w:rsid w:val="004723F0"/>
    <w:rsid w:val="00481049"/>
    <w:rsid w:val="00487023"/>
    <w:rsid w:val="00490C34"/>
    <w:rsid w:val="00491318"/>
    <w:rsid w:val="00494DB4"/>
    <w:rsid w:val="004B2D2E"/>
    <w:rsid w:val="004C32DC"/>
    <w:rsid w:val="004C7EC4"/>
    <w:rsid w:val="004E3080"/>
    <w:rsid w:val="004E6779"/>
    <w:rsid w:val="004F6B51"/>
    <w:rsid w:val="004F786F"/>
    <w:rsid w:val="00512160"/>
    <w:rsid w:val="00540F94"/>
    <w:rsid w:val="00543B97"/>
    <w:rsid w:val="0055555F"/>
    <w:rsid w:val="00561B14"/>
    <w:rsid w:val="00564909"/>
    <w:rsid w:val="00575FD7"/>
    <w:rsid w:val="005855DD"/>
    <w:rsid w:val="005856B2"/>
    <w:rsid w:val="00585DA6"/>
    <w:rsid w:val="00592D4B"/>
    <w:rsid w:val="005A28C9"/>
    <w:rsid w:val="005A33D5"/>
    <w:rsid w:val="005B6908"/>
    <w:rsid w:val="006068CA"/>
    <w:rsid w:val="00616939"/>
    <w:rsid w:val="00616F76"/>
    <w:rsid w:val="00625843"/>
    <w:rsid w:val="00634291"/>
    <w:rsid w:val="00650E32"/>
    <w:rsid w:val="006521B3"/>
    <w:rsid w:val="006537C9"/>
    <w:rsid w:val="0066167A"/>
    <w:rsid w:val="00663831"/>
    <w:rsid w:val="00663BD3"/>
    <w:rsid w:val="00667744"/>
    <w:rsid w:val="00673D51"/>
    <w:rsid w:val="00684463"/>
    <w:rsid w:val="00694D39"/>
    <w:rsid w:val="006950A0"/>
    <w:rsid w:val="006B4ED7"/>
    <w:rsid w:val="006C76D0"/>
    <w:rsid w:val="006F31F5"/>
    <w:rsid w:val="007005BF"/>
    <w:rsid w:val="007063C8"/>
    <w:rsid w:val="00717AB3"/>
    <w:rsid w:val="00724977"/>
    <w:rsid w:val="00725A55"/>
    <w:rsid w:val="00741A5F"/>
    <w:rsid w:val="00747286"/>
    <w:rsid w:val="00756FB1"/>
    <w:rsid w:val="00765935"/>
    <w:rsid w:val="007714BD"/>
    <w:rsid w:val="0078137E"/>
    <w:rsid w:val="0079062F"/>
    <w:rsid w:val="0079328A"/>
    <w:rsid w:val="00800085"/>
    <w:rsid w:val="00801F0E"/>
    <w:rsid w:val="008079FF"/>
    <w:rsid w:val="00807ADE"/>
    <w:rsid w:val="008259A2"/>
    <w:rsid w:val="00842DB1"/>
    <w:rsid w:val="00874D11"/>
    <w:rsid w:val="00875375"/>
    <w:rsid w:val="008771C8"/>
    <w:rsid w:val="008771EA"/>
    <w:rsid w:val="00884996"/>
    <w:rsid w:val="008A55A7"/>
    <w:rsid w:val="008B0838"/>
    <w:rsid w:val="008D6A6F"/>
    <w:rsid w:val="0091508E"/>
    <w:rsid w:val="00915324"/>
    <w:rsid w:val="00943121"/>
    <w:rsid w:val="0094410E"/>
    <w:rsid w:val="00944B60"/>
    <w:rsid w:val="00946979"/>
    <w:rsid w:val="00964581"/>
    <w:rsid w:val="00967172"/>
    <w:rsid w:val="00980179"/>
    <w:rsid w:val="0098017A"/>
    <w:rsid w:val="00980BF1"/>
    <w:rsid w:val="00992310"/>
    <w:rsid w:val="009A53AB"/>
    <w:rsid w:val="009C3BBD"/>
    <w:rsid w:val="009D2DB7"/>
    <w:rsid w:val="009D5428"/>
    <w:rsid w:val="009D7269"/>
    <w:rsid w:val="009E312E"/>
    <w:rsid w:val="009E4370"/>
    <w:rsid w:val="00A117F6"/>
    <w:rsid w:val="00A11EE9"/>
    <w:rsid w:val="00A17DA7"/>
    <w:rsid w:val="00A21E06"/>
    <w:rsid w:val="00A36BFD"/>
    <w:rsid w:val="00A459E7"/>
    <w:rsid w:val="00A52C8A"/>
    <w:rsid w:val="00A579EA"/>
    <w:rsid w:val="00A64202"/>
    <w:rsid w:val="00A81AE8"/>
    <w:rsid w:val="00A8467D"/>
    <w:rsid w:val="00A923E0"/>
    <w:rsid w:val="00AA4E52"/>
    <w:rsid w:val="00AB1AD1"/>
    <w:rsid w:val="00AB232C"/>
    <w:rsid w:val="00AB5BF0"/>
    <w:rsid w:val="00AD1918"/>
    <w:rsid w:val="00AE28E6"/>
    <w:rsid w:val="00B00180"/>
    <w:rsid w:val="00B0123A"/>
    <w:rsid w:val="00B17F47"/>
    <w:rsid w:val="00B26708"/>
    <w:rsid w:val="00B42659"/>
    <w:rsid w:val="00B553C4"/>
    <w:rsid w:val="00B5664D"/>
    <w:rsid w:val="00B762C3"/>
    <w:rsid w:val="00B9799F"/>
    <w:rsid w:val="00BA26E7"/>
    <w:rsid w:val="00BB07A2"/>
    <w:rsid w:val="00BB7F05"/>
    <w:rsid w:val="00BC13F2"/>
    <w:rsid w:val="00BF1F76"/>
    <w:rsid w:val="00C124B5"/>
    <w:rsid w:val="00C12F72"/>
    <w:rsid w:val="00C14713"/>
    <w:rsid w:val="00C16E22"/>
    <w:rsid w:val="00C27204"/>
    <w:rsid w:val="00C31884"/>
    <w:rsid w:val="00C32386"/>
    <w:rsid w:val="00C345D0"/>
    <w:rsid w:val="00C3737C"/>
    <w:rsid w:val="00C4553C"/>
    <w:rsid w:val="00C76811"/>
    <w:rsid w:val="00C942C0"/>
    <w:rsid w:val="00C95EE3"/>
    <w:rsid w:val="00C97B42"/>
    <w:rsid w:val="00CC3AF5"/>
    <w:rsid w:val="00CC6CE7"/>
    <w:rsid w:val="00CD71A3"/>
    <w:rsid w:val="00CF77DF"/>
    <w:rsid w:val="00D125B2"/>
    <w:rsid w:val="00D12D8F"/>
    <w:rsid w:val="00D3035F"/>
    <w:rsid w:val="00D5398C"/>
    <w:rsid w:val="00D54B1D"/>
    <w:rsid w:val="00D62EC8"/>
    <w:rsid w:val="00D76D83"/>
    <w:rsid w:val="00D83311"/>
    <w:rsid w:val="00DB64B3"/>
    <w:rsid w:val="00DB65E4"/>
    <w:rsid w:val="00DC4B56"/>
    <w:rsid w:val="00DC51EB"/>
    <w:rsid w:val="00DD2524"/>
    <w:rsid w:val="00DD642F"/>
    <w:rsid w:val="00E0413F"/>
    <w:rsid w:val="00E17937"/>
    <w:rsid w:val="00E20B23"/>
    <w:rsid w:val="00E22C8A"/>
    <w:rsid w:val="00E356A8"/>
    <w:rsid w:val="00E53D32"/>
    <w:rsid w:val="00E55E1E"/>
    <w:rsid w:val="00E77329"/>
    <w:rsid w:val="00EC11C6"/>
    <w:rsid w:val="00EE1578"/>
    <w:rsid w:val="00F01A02"/>
    <w:rsid w:val="00F134EB"/>
    <w:rsid w:val="00F14634"/>
    <w:rsid w:val="00F343F8"/>
    <w:rsid w:val="00F43E74"/>
    <w:rsid w:val="00F544F6"/>
    <w:rsid w:val="00F54AE7"/>
    <w:rsid w:val="00F54FA4"/>
    <w:rsid w:val="00F64F3D"/>
    <w:rsid w:val="00F82678"/>
    <w:rsid w:val="00F83792"/>
    <w:rsid w:val="00F96433"/>
    <w:rsid w:val="00FB0B7A"/>
    <w:rsid w:val="00FB1F2C"/>
    <w:rsid w:val="00FC36E6"/>
    <w:rsid w:val="00FC58A3"/>
    <w:rsid w:val="00FE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E60B"/>
  <w15:docId w15:val="{A317FA96-9C24-4DD6-8231-886AC44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950A0"/>
    <w:rPr>
      <w:color w:val="605E5C"/>
      <w:shd w:val="clear" w:color="auto" w:fill="E1DFDD"/>
    </w:rPr>
  </w:style>
  <w:style w:type="character" w:customStyle="1" w:styleId="relative">
    <w:name w:val="relative"/>
    <w:basedOn w:val="DefaultParagraphFont"/>
    <w:rsid w:val="004723F0"/>
  </w:style>
  <w:style w:type="character" w:styleId="Emphasis">
    <w:name w:val="Emphasis"/>
    <w:basedOn w:val="DefaultParagraphFont"/>
    <w:uiPriority w:val="20"/>
    <w:qFormat/>
    <w:rsid w:val="004723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43721">
      <w:bodyDiv w:val="1"/>
      <w:marLeft w:val="0"/>
      <w:marRight w:val="0"/>
      <w:marTop w:val="0"/>
      <w:marBottom w:val="0"/>
      <w:divBdr>
        <w:top w:val="none" w:sz="0" w:space="0" w:color="auto"/>
        <w:left w:val="none" w:sz="0" w:space="0" w:color="auto"/>
        <w:bottom w:val="none" w:sz="0" w:space="0" w:color="auto"/>
        <w:right w:val="none" w:sz="0" w:space="0" w:color="auto"/>
      </w:divBdr>
    </w:div>
    <w:div w:id="1608612257">
      <w:bodyDiv w:val="1"/>
      <w:marLeft w:val="0"/>
      <w:marRight w:val="0"/>
      <w:marTop w:val="0"/>
      <w:marBottom w:val="0"/>
      <w:divBdr>
        <w:top w:val="none" w:sz="0" w:space="0" w:color="auto"/>
        <w:left w:val="none" w:sz="0" w:space="0" w:color="auto"/>
        <w:bottom w:val="none" w:sz="0" w:space="0" w:color="auto"/>
        <w:right w:val="none" w:sz="0" w:space="0" w:color="auto"/>
      </w:divBdr>
      <w:divsChild>
        <w:div w:id="1262490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542/peds.2020-0818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866</Words>
  <Characters>4824</Characters>
  <Application>Microsoft Office Word</Application>
  <DocSecurity>0</DocSecurity>
  <Lines>160</Lines>
  <Paragraphs>47</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Matthews, Regina</cp:lastModifiedBy>
  <cp:revision>54</cp:revision>
  <dcterms:created xsi:type="dcterms:W3CDTF">2025-04-16T20:01:00Z</dcterms:created>
  <dcterms:modified xsi:type="dcterms:W3CDTF">2025-04-17T00:01:00Z</dcterms:modified>
</cp:coreProperties>
</file>