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537ED" w:rsidRDefault="00B537ED">
      <w:pPr>
        <w:keepLines/>
        <w:pBdr>
          <w:top w:val="nil"/>
          <w:left w:val="nil"/>
          <w:bottom w:val="nil"/>
          <w:right w:val="nil"/>
          <w:between w:val="nil"/>
        </w:pBdr>
        <w:tabs>
          <w:tab w:val="right" w:pos="8640"/>
        </w:tabs>
        <w:spacing w:line="480" w:lineRule="auto"/>
        <w:ind w:left="720" w:hanging="720"/>
        <w:rPr>
          <w:color w:val="000000"/>
        </w:rPr>
      </w:pPr>
    </w:p>
    <w:p w14:paraId="00000002" w14:textId="77777777" w:rsidR="00B537ED" w:rsidRDefault="00B537ED">
      <w:pPr>
        <w:pBdr>
          <w:top w:val="nil"/>
          <w:left w:val="nil"/>
          <w:bottom w:val="nil"/>
          <w:right w:val="nil"/>
          <w:between w:val="nil"/>
        </w:pBdr>
        <w:tabs>
          <w:tab w:val="right" w:pos="8640"/>
        </w:tabs>
        <w:spacing w:line="480" w:lineRule="auto"/>
        <w:ind w:firstLine="720"/>
        <w:jc w:val="center"/>
        <w:rPr>
          <w:color w:val="000000"/>
        </w:rPr>
      </w:pPr>
    </w:p>
    <w:p w14:paraId="00000003" w14:textId="77777777" w:rsidR="00B537ED" w:rsidRDefault="00B537ED">
      <w:pPr>
        <w:pBdr>
          <w:top w:val="nil"/>
          <w:left w:val="nil"/>
          <w:bottom w:val="nil"/>
          <w:right w:val="nil"/>
          <w:between w:val="nil"/>
        </w:pBdr>
        <w:tabs>
          <w:tab w:val="right" w:pos="8640"/>
        </w:tabs>
        <w:spacing w:line="480" w:lineRule="auto"/>
        <w:ind w:firstLine="720"/>
        <w:jc w:val="center"/>
        <w:rPr>
          <w:color w:val="000000"/>
        </w:rPr>
      </w:pPr>
    </w:p>
    <w:p w14:paraId="00000004" w14:textId="77777777" w:rsidR="00B537ED" w:rsidRDefault="00B537ED">
      <w:pPr>
        <w:pBdr>
          <w:top w:val="nil"/>
          <w:left w:val="nil"/>
          <w:bottom w:val="nil"/>
          <w:right w:val="nil"/>
          <w:between w:val="nil"/>
        </w:pBdr>
        <w:tabs>
          <w:tab w:val="right" w:pos="8640"/>
        </w:tabs>
        <w:spacing w:line="480" w:lineRule="auto"/>
        <w:jc w:val="center"/>
        <w:rPr>
          <w:color w:val="000000"/>
        </w:rPr>
      </w:pPr>
    </w:p>
    <w:p w14:paraId="00000005" w14:textId="77777777" w:rsidR="00B537ED" w:rsidRDefault="00B537ED">
      <w:pPr>
        <w:pBdr>
          <w:top w:val="nil"/>
          <w:left w:val="nil"/>
          <w:bottom w:val="nil"/>
          <w:right w:val="nil"/>
          <w:between w:val="nil"/>
        </w:pBdr>
        <w:tabs>
          <w:tab w:val="right" w:pos="8640"/>
        </w:tabs>
        <w:spacing w:line="480" w:lineRule="auto"/>
        <w:jc w:val="center"/>
      </w:pPr>
    </w:p>
    <w:p w14:paraId="00000006" w14:textId="77777777" w:rsidR="00B537ED" w:rsidRDefault="00B537ED">
      <w:pPr>
        <w:pBdr>
          <w:top w:val="nil"/>
          <w:left w:val="nil"/>
          <w:bottom w:val="nil"/>
          <w:right w:val="nil"/>
          <w:between w:val="nil"/>
        </w:pBdr>
        <w:tabs>
          <w:tab w:val="right" w:pos="8640"/>
        </w:tabs>
        <w:spacing w:line="480" w:lineRule="auto"/>
        <w:jc w:val="center"/>
      </w:pPr>
    </w:p>
    <w:p w14:paraId="00000007" w14:textId="77777777" w:rsidR="00B537ED" w:rsidRDefault="00B537ED">
      <w:pPr>
        <w:pBdr>
          <w:top w:val="nil"/>
          <w:left w:val="nil"/>
          <w:bottom w:val="nil"/>
          <w:right w:val="nil"/>
          <w:between w:val="nil"/>
        </w:pBdr>
        <w:tabs>
          <w:tab w:val="right" w:pos="8640"/>
        </w:tabs>
        <w:spacing w:line="480" w:lineRule="auto"/>
      </w:pPr>
    </w:p>
    <w:p w14:paraId="00000008" w14:textId="77777777" w:rsidR="00B537ED" w:rsidRDefault="00B537ED">
      <w:pPr>
        <w:pBdr>
          <w:top w:val="nil"/>
          <w:left w:val="nil"/>
          <w:bottom w:val="nil"/>
          <w:right w:val="nil"/>
          <w:between w:val="nil"/>
        </w:pBdr>
        <w:tabs>
          <w:tab w:val="right" w:pos="8640"/>
        </w:tabs>
        <w:spacing w:line="480" w:lineRule="auto"/>
        <w:jc w:val="center"/>
        <w:rPr>
          <w:color w:val="000000"/>
        </w:rPr>
      </w:pPr>
    </w:p>
    <w:p w14:paraId="00000009" w14:textId="77777777" w:rsidR="00B537ED" w:rsidRDefault="00000000">
      <w:pPr>
        <w:pBdr>
          <w:top w:val="nil"/>
          <w:left w:val="nil"/>
          <w:bottom w:val="nil"/>
          <w:right w:val="nil"/>
          <w:between w:val="nil"/>
        </w:pBdr>
        <w:tabs>
          <w:tab w:val="right" w:pos="8640"/>
        </w:tabs>
        <w:spacing w:line="480" w:lineRule="auto"/>
        <w:jc w:val="center"/>
        <w:rPr>
          <w:color w:val="000000"/>
        </w:rPr>
      </w:pPr>
      <w:commentRangeStart w:id="0"/>
      <w:r>
        <w:rPr>
          <w:color w:val="000000"/>
        </w:rPr>
        <w:t>Faith-Learning Integration and Interdisciplinary Studies</w:t>
      </w:r>
      <w:commentRangeEnd w:id="0"/>
      <w:r w:rsidR="001F15E5">
        <w:rPr>
          <w:rStyle w:val="CommentReference"/>
        </w:rPr>
        <w:commentReference w:id="0"/>
      </w:r>
    </w:p>
    <w:p w14:paraId="0000000A" w14:textId="77777777" w:rsidR="00B537ED" w:rsidRDefault="00B537ED">
      <w:pPr>
        <w:pBdr>
          <w:top w:val="nil"/>
          <w:left w:val="nil"/>
          <w:bottom w:val="nil"/>
          <w:right w:val="nil"/>
          <w:between w:val="nil"/>
        </w:pBdr>
        <w:tabs>
          <w:tab w:val="right" w:pos="8640"/>
        </w:tabs>
        <w:spacing w:line="480" w:lineRule="auto"/>
        <w:jc w:val="center"/>
        <w:rPr>
          <w:color w:val="000000"/>
        </w:rPr>
      </w:pPr>
    </w:p>
    <w:p w14:paraId="0000000B" w14:textId="77777777" w:rsidR="00B537ED" w:rsidRDefault="00000000">
      <w:pPr>
        <w:pBdr>
          <w:top w:val="nil"/>
          <w:left w:val="nil"/>
          <w:bottom w:val="nil"/>
          <w:right w:val="nil"/>
          <w:between w:val="nil"/>
        </w:pBdr>
        <w:tabs>
          <w:tab w:val="right" w:pos="8640"/>
        </w:tabs>
        <w:spacing w:line="480" w:lineRule="auto"/>
        <w:jc w:val="center"/>
        <w:rPr>
          <w:color w:val="000000"/>
        </w:rPr>
      </w:pPr>
      <w:r>
        <w:rPr>
          <w:color w:val="000000"/>
        </w:rPr>
        <w:t>Semaj Corry Zachary</w:t>
      </w:r>
    </w:p>
    <w:p w14:paraId="0000000C" w14:textId="77777777" w:rsidR="00B537ED" w:rsidRDefault="00B537ED">
      <w:pPr>
        <w:pBdr>
          <w:top w:val="nil"/>
          <w:left w:val="nil"/>
          <w:bottom w:val="nil"/>
          <w:right w:val="nil"/>
          <w:between w:val="nil"/>
        </w:pBdr>
        <w:tabs>
          <w:tab w:val="right" w:pos="8640"/>
        </w:tabs>
        <w:spacing w:line="480" w:lineRule="auto"/>
        <w:jc w:val="center"/>
        <w:rPr>
          <w:color w:val="000000"/>
        </w:rPr>
      </w:pPr>
    </w:p>
    <w:p w14:paraId="0000000D" w14:textId="77777777" w:rsidR="00B537ED" w:rsidRDefault="00000000">
      <w:pPr>
        <w:pBdr>
          <w:top w:val="nil"/>
          <w:left w:val="nil"/>
          <w:bottom w:val="nil"/>
          <w:right w:val="nil"/>
          <w:between w:val="nil"/>
        </w:pBdr>
        <w:tabs>
          <w:tab w:val="right" w:pos="8640"/>
        </w:tabs>
        <w:spacing w:line="480" w:lineRule="auto"/>
        <w:jc w:val="center"/>
        <w:rPr>
          <w:color w:val="000000"/>
        </w:rPr>
      </w:pPr>
      <w:r>
        <w:rPr>
          <w:color w:val="000000"/>
        </w:rPr>
        <w:t>Omega Graduate School</w:t>
      </w:r>
    </w:p>
    <w:p w14:paraId="0000000E" w14:textId="77777777" w:rsidR="00B537ED" w:rsidRDefault="00B537ED">
      <w:pPr>
        <w:pBdr>
          <w:top w:val="nil"/>
          <w:left w:val="nil"/>
          <w:bottom w:val="nil"/>
          <w:right w:val="nil"/>
          <w:between w:val="nil"/>
        </w:pBdr>
        <w:tabs>
          <w:tab w:val="right" w:pos="8640"/>
        </w:tabs>
        <w:spacing w:line="480" w:lineRule="auto"/>
        <w:jc w:val="center"/>
        <w:rPr>
          <w:color w:val="000000"/>
        </w:rPr>
      </w:pPr>
    </w:p>
    <w:p w14:paraId="0000000F" w14:textId="77777777" w:rsidR="00B537ED" w:rsidRDefault="00000000">
      <w:pPr>
        <w:pBdr>
          <w:top w:val="nil"/>
          <w:left w:val="nil"/>
          <w:bottom w:val="nil"/>
          <w:right w:val="nil"/>
          <w:between w:val="nil"/>
        </w:pBdr>
        <w:tabs>
          <w:tab w:val="right" w:pos="8640"/>
        </w:tabs>
        <w:spacing w:line="480" w:lineRule="auto"/>
        <w:jc w:val="center"/>
        <w:rPr>
          <w:color w:val="000000"/>
        </w:rPr>
      </w:pPr>
      <w:r>
        <w:rPr>
          <w:color w:val="000000"/>
        </w:rPr>
        <w:t>March 16, 2025</w:t>
      </w:r>
    </w:p>
    <w:p w14:paraId="00000010" w14:textId="77777777" w:rsidR="00B537ED" w:rsidRDefault="00B537ED">
      <w:pPr>
        <w:pBdr>
          <w:top w:val="nil"/>
          <w:left w:val="nil"/>
          <w:bottom w:val="nil"/>
          <w:right w:val="nil"/>
          <w:between w:val="nil"/>
        </w:pBdr>
        <w:tabs>
          <w:tab w:val="right" w:pos="8640"/>
        </w:tabs>
        <w:spacing w:line="480" w:lineRule="auto"/>
        <w:jc w:val="center"/>
        <w:rPr>
          <w:color w:val="000000"/>
        </w:rPr>
      </w:pPr>
    </w:p>
    <w:p w14:paraId="00000011" w14:textId="77777777" w:rsidR="00B537ED" w:rsidRDefault="00B537ED">
      <w:pPr>
        <w:pBdr>
          <w:top w:val="nil"/>
          <w:left w:val="nil"/>
          <w:bottom w:val="nil"/>
          <w:right w:val="nil"/>
          <w:between w:val="nil"/>
        </w:pBdr>
        <w:tabs>
          <w:tab w:val="right" w:pos="8640"/>
        </w:tabs>
        <w:spacing w:line="480" w:lineRule="auto"/>
        <w:rPr>
          <w:color w:val="000000"/>
        </w:rPr>
      </w:pPr>
    </w:p>
    <w:p w14:paraId="00000012" w14:textId="77777777" w:rsidR="00B537ED" w:rsidRDefault="00000000">
      <w:pPr>
        <w:pBdr>
          <w:top w:val="nil"/>
          <w:left w:val="nil"/>
          <w:bottom w:val="nil"/>
          <w:right w:val="nil"/>
          <w:between w:val="nil"/>
        </w:pBdr>
        <w:tabs>
          <w:tab w:val="right" w:pos="8640"/>
        </w:tabs>
        <w:spacing w:line="480" w:lineRule="auto"/>
        <w:jc w:val="center"/>
        <w:rPr>
          <w:color w:val="000000"/>
        </w:rPr>
      </w:pPr>
      <w:r>
        <w:rPr>
          <w:color w:val="000000"/>
        </w:rPr>
        <w:t>Dr. David Ward</w:t>
      </w:r>
    </w:p>
    <w:p w14:paraId="00000013" w14:textId="77777777" w:rsidR="00B537ED" w:rsidRDefault="00B537ED">
      <w:pPr>
        <w:pBdr>
          <w:top w:val="nil"/>
          <w:left w:val="nil"/>
          <w:bottom w:val="nil"/>
          <w:right w:val="nil"/>
          <w:between w:val="nil"/>
        </w:pBdr>
        <w:tabs>
          <w:tab w:val="right" w:pos="8640"/>
        </w:tabs>
        <w:spacing w:line="480" w:lineRule="auto"/>
        <w:jc w:val="center"/>
        <w:rPr>
          <w:color w:val="000000"/>
        </w:rPr>
      </w:pPr>
    </w:p>
    <w:p w14:paraId="00000014" w14:textId="77777777" w:rsidR="00B537ED" w:rsidRDefault="00000000">
      <w:pPr>
        <w:pBdr>
          <w:top w:val="nil"/>
          <w:left w:val="nil"/>
          <w:bottom w:val="nil"/>
          <w:right w:val="nil"/>
          <w:between w:val="nil"/>
        </w:pBdr>
        <w:tabs>
          <w:tab w:val="right" w:pos="8640"/>
        </w:tabs>
        <w:spacing w:line="480" w:lineRule="auto"/>
        <w:rPr>
          <w:color w:val="000000"/>
        </w:rPr>
      </w:pPr>
      <w:r>
        <w:br w:type="page"/>
      </w:r>
    </w:p>
    <w:p w14:paraId="00000015" w14:textId="77777777" w:rsidR="00B537ED" w:rsidRDefault="00000000">
      <w:pPr>
        <w:pBdr>
          <w:top w:val="nil"/>
          <w:left w:val="nil"/>
          <w:bottom w:val="nil"/>
          <w:right w:val="nil"/>
          <w:between w:val="nil"/>
        </w:pBdr>
        <w:spacing w:after="240" w:line="480" w:lineRule="auto"/>
        <w:jc w:val="center"/>
        <w:rPr>
          <w:color w:val="000000"/>
        </w:rPr>
      </w:pPr>
      <w:r>
        <w:rPr>
          <w:b/>
          <w:color w:val="000000"/>
        </w:rPr>
        <w:lastRenderedPageBreak/>
        <w:t>Worldview Literacy in Research and the Digital Divide in Washington, DC Schools</w:t>
      </w:r>
    </w:p>
    <w:p w14:paraId="00000016" w14:textId="77777777" w:rsidR="00B537ED" w:rsidRDefault="00000000">
      <w:pPr>
        <w:pBdr>
          <w:top w:val="nil"/>
          <w:left w:val="nil"/>
          <w:bottom w:val="nil"/>
          <w:right w:val="nil"/>
          <w:between w:val="nil"/>
        </w:pBdr>
        <w:spacing w:after="240" w:line="480" w:lineRule="auto"/>
        <w:rPr>
          <w:color w:val="000000"/>
        </w:rPr>
      </w:pPr>
      <w:r>
        <w:rPr>
          <w:color w:val="000000"/>
        </w:rPr>
        <w:tab/>
        <w:t xml:space="preserve">Worldview literacy in research serves as a crucial tool for understanding how different cultural, social, and technological perspectives shape academic inquiry. </w:t>
      </w:r>
      <w:commentRangeStart w:id="1"/>
      <w:r>
        <w:rPr>
          <w:color w:val="000000"/>
        </w:rPr>
        <w:t xml:space="preserve">It involves recognizing biases, integrating diverse viewpoints, and ensuring inclusivity in research methods. </w:t>
      </w:r>
      <w:commentRangeEnd w:id="1"/>
      <w:r w:rsidR="001C7F28">
        <w:rPr>
          <w:rStyle w:val="CommentReference"/>
        </w:rPr>
        <w:commentReference w:id="1"/>
      </w:r>
      <w:r>
        <w:rPr>
          <w:color w:val="000000"/>
        </w:rPr>
        <w:t xml:space="preserve">One pressing issue where worldview literacy can be applied is the persistent digital divide in underprivileged schools in Washington, DC. </w:t>
      </w:r>
      <w:commentRangeStart w:id="2"/>
      <w:r>
        <w:rPr>
          <w:color w:val="000000"/>
        </w:rPr>
        <w:t>This paper explores how integrating worldview literacy into research can provide a more comprehensive understanding of the technological disparities in low-income schools and propose solutions informed by both academic and faith-based perspectives (</w:t>
      </w:r>
      <w:proofErr w:type="spellStart"/>
      <w:r>
        <w:t>Kimanen</w:t>
      </w:r>
      <w:proofErr w:type="spellEnd"/>
      <w:r>
        <w:rPr>
          <w:color w:val="000000"/>
        </w:rPr>
        <w:t>, 2023).</w:t>
      </w:r>
      <w:commentRangeEnd w:id="2"/>
      <w:r w:rsidR="001F15E5">
        <w:rPr>
          <w:rStyle w:val="CommentReference"/>
        </w:rPr>
        <w:commentReference w:id="2"/>
      </w:r>
    </w:p>
    <w:p w14:paraId="00000017" w14:textId="77777777" w:rsidR="00B537ED" w:rsidRDefault="00000000">
      <w:pPr>
        <w:pBdr>
          <w:top w:val="nil"/>
          <w:left w:val="nil"/>
          <w:bottom w:val="nil"/>
          <w:right w:val="nil"/>
          <w:between w:val="nil"/>
        </w:pBdr>
        <w:spacing w:after="240" w:line="480" w:lineRule="auto"/>
        <w:jc w:val="center"/>
        <w:rPr>
          <w:color w:val="000000"/>
        </w:rPr>
      </w:pPr>
      <w:r>
        <w:rPr>
          <w:b/>
          <w:color w:val="000000"/>
        </w:rPr>
        <w:t>Step 1: Observations Raising the Need for Inquiry</w:t>
      </w:r>
    </w:p>
    <w:p w14:paraId="00000018" w14:textId="77777777" w:rsidR="00B537ED" w:rsidRDefault="00000000">
      <w:pPr>
        <w:pBdr>
          <w:top w:val="nil"/>
          <w:left w:val="nil"/>
          <w:bottom w:val="nil"/>
          <w:right w:val="nil"/>
          <w:between w:val="nil"/>
        </w:pBdr>
        <w:spacing w:after="240" w:line="480" w:lineRule="auto"/>
      </w:pPr>
      <w:r>
        <w:rPr>
          <w:color w:val="000000"/>
        </w:rPr>
        <w:tab/>
      </w:r>
      <w:commentRangeStart w:id="3"/>
      <w:r>
        <w:rPr>
          <w:color w:val="000000"/>
        </w:rPr>
        <w:t xml:space="preserve">The subject of this research is the digital divide in Washington, DC schools and how worldview literacy can contribute to addressing this issue. </w:t>
      </w:r>
      <w:commentRangeEnd w:id="3"/>
      <w:r w:rsidR="00F73D2F">
        <w:rPr>
          <w:rStyle w:val="CommentReference"/>
        </w:rPr>
        <w:commentReference w:id="3"/>
      </w:r>
      <w:r>
        <w:rPr>
          <w:color w:val="000000"/>
        </w:rPr>
        <w:t>This topic is of personal and professional interest as it intersects with education, technology, and social equity. My background in educational leadership and social advocacy aligns with the need to explore the role of worldview literacy in mitigating disparities in digital access (</w:t>
      </w:r>
      <w:r>
        <w:t>Shaw</w:t>
      </w:r>
      <w:r>
        <w:rPr>
          <w:color w:val="000000"/>
        </w:rPr>
        <w:t>, 202</w:t>
      </w:r>
      <w:r>
        <w:t>2</w:t>
      </w:r>
      <w:r>
        <w:rPr>
          <w:color w:val="000000"/>
        </w:rPr>
        <w:t xml:space="preserve">). Researching this subject is crucial because the lack of technological resources in underprivileged schools exacerbates educational inequities and limits students’ future opportunities (Wang, 2013). </w:t>
      </w:r>
      <w:commentRangeStart w:id="4"/>
      <w:r>
        <w:rPr>
          <w:color w:val="000000"/>
        </w:rPr>
        <w:t xml:space="preserve">Perspectives from education, technology policy, sociology, and theology must be integrated to provide a well-rounded understanding of the issue. </w:t>
      </w:r>
      <w:commentRangeEnd w:id="4"/>
      <w:r w:rsidR="00F73D2F">
        <w:rPr>
          <w:rStyle w:val="CommentReference"/>
        </w:rPr>
        <w:commentReference w:id="4"/>
      </w:r>
      <w:r>
        <w:rPr>
          <w:color w:val="000000"/>
        </w:rPr>
        <w:t>A faith-integrated approach offers moral and ethical perspectives that reinforce the urgency of bridging the digital divide and promoting educational justice (</w:t>
      </w:r>
      <w:r>
        <w:t>Valk et al., 2020</w:t>
      </w:r>
      <w:r>
        <w:rPr>
          <w:color w:val="000000"/>
        </w:rPr>
        <w:t>).</w:t>
      </w:r>
      <w:r>
        <w:br w:type="page"/>
      </w:r>
    </w:p>
    <w:p w14:paraId="00000019" w14:textId="77777777" w:rsidR="00B537ED" w:rsidRDefault="00B537ED">
      <w:pPr>
        <w:pBdr>
          <w:top w:val="nil"/>
          <w:left w:val="nil"/>
          <w:bottom w:val="nil"/>
          <w:right w:val="nil"/>
          <w:between w:val="nil"/>
        </w:pBdr>
        <w:spacing w:after="240" w:line="480" w:lineRule="auto"/>
      </w:pPr>
    </w:p>
    <w:p w14:paraId="0000001A" w14:textId="77777777" w:rsidR="00B537ED" w:rsidRDefault="00000000">
      <w:pPr>
        <w:pBdr>
          <w:top w:val="nil"/>
          <w:left w:val="nil"/>
          <w:bottom w:val="nil"/>
          <w:right w:val="nil"/>
          <w:between w:val="nil"/>
        </w:pBdr>
        <w:spacing w:after="240" w:line="480" w:lineRule="auto"/>
        <w:jc w:val="center"/>
        <w:rPr>
          <w:color w:val="000000"/>
        </w:rPr>
      </w:pPr>
      <w:commentRangeStart w:id="5"/>
      <w:r>
        <w:rPr>
          <w:b/>
          <w:color w:val="000000"/>
        </w:rPr>
        <w:t>Step 2: Literature Review - Hermeneutical Inquiry</w:t>
      </w:r>
      <w:commentRangeEnd w:id="5"/>
      <w:r w:rsidR="00FE27F4">
        <w:rPr>
          <w:rStyle w:val="CommentReference"/>
        </w:rPr>
        <w:commentReference w:id="5"/>
      </w:r>
    </w:p>
    <w:p w14:paraId="0000001B" w14:textId="77777777" w:rsidR="00B537ED" w:rsidRDefault="00000000">
      <w:pPr>
        <w:pBdr>
          <w:top w:val="nil"/>
          <w:left w:val="nil"/>
          <w:bottom w:val="nil"/>
          <w:right w:val="nil"/>
          <w:between w:val="nil"/>
        </w:pBdr>
        <w:spacing w:after="240" w:line="480" w:lineRule="auto"/>
        <w:rPr>
          <w:color w:val="000000"/>
        </w:rPr>
      </w:pPr>
      <w:r>
        <w:rPr>
          <w:color w:val="000000"/>
        </w:rPr>
        <w:tab/>
        <w:t xml:space="preserve">Research has shown that digital inequities stem from socioeconomic disparities and inadequate policy implementation. </w:t>
      </w:r>
      <w:commentRangeStart w:id="6"/>
      <w:r>
        <w:rPr>
          <w:color w:val="000000"/>
        </w:rPr>
        <w:t>Historically, technological advancements have often been unevenly distributed, leaving marginalized communities behind (</w:t>
      </w:r>
      <w:r>
        <w:t>Bon et al., 2023</w:t>
      </w:r>
      <w:r>
        <w:rPr>
          <w:color w:val="000000"/>
        </w:rPr>
        <w:t xml:space="preserve">). </w:t>
      </w:r>
      <w:commentRangeEnd w:id="6"/>
      <w:r w:rsidR="00F73D2F">
        <w:rPr>
          <w:rStyle w:val="CommentReference"/>
        </w:rPr>
        <w:commentReference w:id="6"/>
      </w:r>
      <w:commentRangeStart w:id="7"/>
      <w:r>
        <w:rPr>
          <w:color w:val="000000"/>
        </w:rPr>
        <w:t>Education policy, digital literacy, and social justice studies have all addressed this issue from different angles, emphasizing the need for a multidisciplinary approach (Kurdi, 2023).</w:t>
      </w:r>
      <w:commentRangeEnd w:id="7"/>
      <w:r w:rsidR="00F73D2F">
        <w:rPr>
          <w:rStyle w:val="CommentReference"/>
        </w:rPr>
        <w:commentReference w:id="7"/>
      </w:r>
    </w:p>
    <w:p w14:paraId="0000001C" w14:textId="77777777" w:rsidR="00B537ED" w:rsidRDefault="00000000">
      <w:pPr>
        <w:pBdr>
          <w:top w:val="nil"/>
          <w:left w:val="nil"/>
          <w:bottom w:val="nil"/>
          <w:right w:val="nil"/>
          <w:between w:val="nil"/>
        </w:pBdr>
        <w:spacing w:after="240" w:line="480" w:lineRule="auto"/>
        <w:jc w:val="center"/>
        <w:rPr>
          <w:color w:val="000000"/>
        </w:rPr>
      </w:pPr>
      <w:r>
        <w:rPr>
          <w:b/>
          <w:color w:val="000000"/>
        </w:rPr>
        <w:t>Step 3: Faith-Learning Integration Inquiry</w:t>
      </w:r>
    </w:p>
    <w:p w14:paraId="0000001D" w14:textId="77777777" w:rsidR="00B537ED" w:rsidRDefault="00000000">
      <w:pPr>
        <w:pBdr>
          <w:top w:val="nil"/>
          <w:left w:val="nil"/>
          <w:bottom w:val="nil"/>
          <w:right w:val="nil"/>
          <w:between w:val="nil"/>
        </w:pBdr>
        <w:spacing w:after="240" w:line="480" w:lineRule="auto"/>
        <w:rPr>
          <w:color w:val="000000"/>
        </w:rPr>
      </w:pPr>
      <w:r>
        <w:rPr>
          <w:color w:val="000000"/>
        </w:rPr>
        <w:tab/>
        <w:t>While the Bible does not directly address digital disparities, biblical principles of justice and stewardship provide a moral foundation for advocating equal access to education (</w:t>
      </w:r>
      <w:r>
        <w:t>Valk et al., 2020</w:t>
      </w:r>
      <w:r>
        <w:rPr>
          <w:color w:val="000000"/>
        </w:rPr>
        <w:t xml:space="preserve">). </w:t>
      </w:r>
      <w:commentRangeStart w:id="8"/>
      <w:r>
        <w:rPr>
          <w:color w:val="000000"/>
        </w:rPr>
        <w:t>Many faith-based institutions have historically led initiatives to bridge educational gaps, reinforcing the role of Christian advocacy in technological equity (</w:t>
      </w:r>
      <w:r>
        <w:t>Bon et al., 2023</w:t>
      </w:r>
      <w:r>
        <w:rPr>
          <w:color w:val="000000"/>
        </w:rPr>
        <w:t xml:space="preserve">). </w:t>
      </w:r>
      <w:commentRangeEnd w:id="8"/>
      <w:r w:rsidR="00AC1EBD">
        <w:rPr>
          <w:rStyle w:val="CommentReference"/>
        </w:rPr>
        <w:commentReference w:id="8"/>
      </w:r>
      <w:r>
        <w:rPr>
          <w:color w:val="000000"/>
        </w:rPr>
        <w:t>Combining theological principles with contemporary research can lead to more holistic and ethically driven solutions to digital inequities (</w:t>
      </w:r>
      <w:r>
        <w:t>Shaw</w:t>
      </w:r>
      <w:r>
        <w:rPr>
          <w:color w:val="000000"/>
        </w:rPr>
        <w:t>, 2023).</w:t>
      </w:r>
    </w:p>
    <w:p w14:paraId="0000001E" w14:textId="77777777" w:rsidR="00B537ED" w:rsidRDefault="00000000">
      <w:pPr>
        <w:pBdr>
          <w:top w:val="nil"/>
          <w:left w:val="nil"/>
          <w:bottom w:val="nil"/>
          <w:right w:val="nil"/>
          <w:between w:val="nil"/>
        </w:pBdr>
        <w:spacing w:after="240" w:line="480" w:lineRule="auto"/>
        <w:jc w:val="center"/>
        <w:rPr>
          <w:color w:val="000000"/>
        </w:rPr>
      </w:pPr>
      <w:r>
        <w:rPr>
          <w:b/>
          <w:color w:val="000000"/>
        </w:rPr>
        <w:t>Step 4: Synthesized Interdisciplinary Formulation</w:t>
      </w:r>
    </w:p>
    <w:p w14:paraId="0000001F" w14:textId="77777777" w:rsidR="00B537ED" w:rsidRDefault="00000000">
      <w:pPr>
        <w:pBdr>
          <w:top w:val="nil"/>
          <w:left w:val="nil"/>
          <w:bottom w:val="nil"/>
          <w:right w:val="nil"/>
          <w:between w:val="nil"/>
        </w:pBdr>
        <w:spacing w:after="240" w:line="480" w:lineRule="auto"/>
        <w:rPr>
          <w:color w:val="000000"/>
        </w:rPr>
      </w:pPr>
      <w:r>
        <w:rPr>
          <w:color w:val="000000"/>
        </w:rPr>
        <w:tab/>
        <w:t xml:space="preserve">The research problem centers on the digital divide in underprivileged schools in Washington, DC, which limits students’ educational opportunities and perpetuates social inequality (Wang, 2013). </w:t>
      </w:r>
      <w:commentRangeStart w:id="9"/>
      <w:r>
        <w:rPr>
          <w:color w:val="000000"/>
        </w:rPr>
        <w:t>The research hypothesis suggests that schools that integrate worldview literacy and faith-based digital equity initiatives will show higher levels of student engagement and academic performance (</w:t>
      </w:r>
      <w:r>
        <w:t>Shaw</w:t>
      </w:r>
      <w:r>
        <w:rPr>
          <w:color w:val="000000"/>
        </w:rPr>
        <w:t>, 202</w:t>
      </w:r>
      <w:r>
        <w:t>2</w:t>
      </w:r>
      <w:r>
        <w:rPr>
          <w:color w:val="000000"/>
        </w:rPr>
        <w:t>).</w:t>
      </w:r>
      <w:commentRangeEnd w:id="9"/>
      <w:r w:rsidR="00FB489C">
        <w:rPr>
          <w:rStyle w:val="CommentReference"/>
        </w:rPr>
        <w:commentReference w:id="9"/>
      </w:r>
    </w:p>
    <w:p w14:paraId="00000020" w14:textId="77777777" w:rsidR="00B537ED" w:rsidRDefault="00000000">
      <w:pPr>
        <w:pBdr>
          <w:top w:val="nil"/>
          <w:left w:val="nil"/>
          <w:bottom w:val="nil"/>
          <w:right w:val="nil"/>
          <w:between w:val="nil"/>
        </w:pBdr>
        <w:spacing w:after="240" w:line="480" w:lineRule="auto"/>
        <w:jc w:val="center"/>
        <w:rPr>
          <w:color w:val="000000"/>
        </w:rPr>
      </w:pPr>
      <w:r>
        <w:rPr>
          <w:b/>
          <w:color w:val="000000"/>
        </w:rPr>
        <w:lastRenderedPageBreak/>
        <w:t>Step 5: Critical and Contextual Communication</w:t>
      </w:r>
    </w:p>
    <w:p w14:paraId="00000021" w14:textId="77777777" w:rsidR="00B537ED" w:rsidRDefault="00000000">
      <w:pPr>
        <w:pBdr>
          <w:top w:val="nil"/>
          <w:left w:val="nil"/>
          <w:bottom w:val="nil"/>
          <w:right w:val="nil"/>
          <w:between w:val="nil"/>
        </w:pBdr>
        <w:spacing w:after="240" w:line="480" w:lineRule="auto"/>
        <w:rPr>
          <w:color w:val="000000"/>
        </w:rPr>
      </w:pPr>
      <w:r>
        <w:rPr>
          <w:color w:val="000000"/>
        </w:rPr>
        <w:tab/>
        <w:t>Some critics argue that faith-based approaches to education may lack neutrality. However, integrating ethical considerations with academic research ensures a balanced approach (</w:t>
      </w:r>
      <w:r>
        <w:t>Valk et al., 2020</w:t>
      </w:r>
      <w:r>
        <w:rPr>
          <w:color w:val="000000"/>
        </w:rPr>
        <w:t>). Resistance to faith-based advocacy in education can be mitigated by demonstrating the tangible benefits of such initiatives in bridging technological gaps. Presenting research findings through educational conferences, policy briefs, and faith-based community programs can enhance the impact of this research (</w:t>
      </w:r>
      <w:r>
        <w:t>Shaw, 2023</w:t>
      </w:r>
      <w:r>
        <w:rPr>
          <w:color w:val="000000"/>
        </w:rPr>
        <w:t>).</w:t>
      </w:r>
    </w:p>
    <w:p w14:paraId="00000022" w14:textId="77777777" w:rsidR="00B537ED" w:rsidRDefault="00000000">
      <w:pPr>
        <w:pBdr>
          <w:top w:val="nil"/>
          <w:left w:val="nil"/>
          <w:bottom w:val="nil"/>
          <w:right w:val="nil"/>
          <w:between w:val="nil"/>
        </w:pBdr>
        <w:spacing w:after="240" w:line="480" w:lineRule="auto"/>
        <w:jc w:val="center"/>
        <w:rPr>
          <w:color w:val="000000"/>
        </w:rPr>
      </w:pPr>
      <w:r>
        <w:rPr>
          <w:b/>
          <w:color w:val="000000"/>
        </w:rPr>
        <w:t>Step 6: Ethical &amp; Social Orthopraxis (Leadership Actions)</w:t>
      </w:r>
    </w:p>
    <w:p w14:paraId="00000023" w14:textId="77777777" w:rsidR="00B537ED" w:rsidRDefault="00000000">
      <w:pPr>
        <w:pBdr>
          <w:top w:val="nil"/>
          <w:left w:val="nil"/>
          <w:bottom w:val="nil"/>
          <w:right w:val="nil"/>
          <w:between w:val="nil"/>
        </w:pBdr>
        <w:spacing w:after="240" w:line="480" w:lineRule="auto"/>
        <w:rPr>
          <w:color w:val="000000"/>
        </w:rPr>
      </w:pPr>
      <w:r>
        <w:rPr>
          <w:color w:val="000000"/>
        </w:rPr>
        <w:tab/>
        <w:t xml:space="preserve">Personal applications include advocating for digital literacy programs in local communities and supporting nonprofit initiatives aimed at technological inclusion (Kurdi, 2023). </w:t>
      </w:r>
      <w:commentRangeStart w:id="10"/>
      <w:r>
        <w:rPr>
          <w:color w:val="000000"/>
        </w:rPr>
        <w:t xml:space="preserve">Church and community involvement can </w:t>
      </w:r>
      <w:r>
        <w:t>involve</w:t>
      </w:r>
      <w:r>
        <w:rPr>
          <w:color w:val="000000"/>
        </w:rPr>
        <w:t xml:space="preserve"> partnerships with faith-based organizations to provide technological training and resources to underserved schools. </w:t>
      </w:r>
      <w:commentRangeEnd w:id="10"/>
      <w:r w:rsidR="00835371">
        <w:rPr>
          <w:rStyle w:val="CommentReference"/>
        </w:rPr>
        <w:commentReference w:id="10"/>
      </w:r>
      <w:r>
        <w:rPr>
          <w:color w:val="000000"/>
        </w:rPr>
        <w:t>In the workplace, technology firms and policymakers should be encouraged to prioritize digital equity initiatives in their corporate social responsibility programs (</w:t>
      </w:r>
      <w:r>
        <w:t>Bon et al., 2023</w:t>
      </w:r>
      <w:r>
        <w:rPr>
          <w:color w:val="000000"/>
        </w:rPr>
        <w:t>).</w:t>
      </w:r>
    </w:p>
    <w:p w14:paraId="00000024" w14:textId="77777777" w:rsidR="00B537ED" w:rsidRDefault="00000000">
      <w:pPr>
        <w:pBdr>
          <w:top w:val="nil"/>
          <w:left w:val="nil"/>
          <w:bottom w:val="nil"/>
          <w:right w:val="nil"/>
          <w:between w:val="nil"/>
        </w:pBdr>
        <w:spacing w:after="240" w:line="480" w:lineRule="auto"/>
        <w:jc w:val="center"/>
        <w:rPr>
          <w:color w:val="000000"/>
        </w:rPr>
      </w:pPr>
      <w:r>
        <w:rPr>
          <w:b/>
          <w:color w:val="000000"/>
        </w:rPr>
        <w:t>Step 7: Reflective Evaluation</w:t>
      </w:r>
    </w:p>
    <w:p w14:paraId="00000025" w14:textId="77777777" w:rsidR="00B537ED" w:rsidRDefault="00000000">
      <w:pPr>
        <w:pBdr>
          <w:top w:val="nil"/>
          <w:left w:val="nil"/>
          <w:bottom w:val="nil"/>
          <w:right w:val="nil"/>
          <w:between w:val="nil"/>
        </w:pBdr>
        <w:spacing w:after="240" w:line="480" w:lineRule="auto"/>
        <w:rPr>
          <w:color w:val="000000"/>
        </w:rPr>
      </w:pPr>
      <w:r>
        <w:rPr>
          <w:color w:val="000000"/>
        </w:rPr>
        <w:tab/>
      </w:r>
      <w:commentRangeStart w:id="11"/>
      <w:r>
        <w:rPr>
          <w:color w:val="000000"/>
        </w:rPr>
        <w:t xml:space="preserve">The research effectively addresses the root causes of the digital divide and highlights faith-based solutions. </w:t>
      </w:r>
      <w:commentRangeEnd w:id="11"/>
      <w:r w:rsidR="00835371">
        <w:rPr>
          <w:rStyle w:val="CommentReference"/>
        </w:rPr>
        <w:commentReference w:id="11"/>
      </w:r>
      <w:r>
        <w:rPr>
          <w:color w:val="000000"/>
        </w:rPr>
        <w:t>Additional studies could explore the long-term impact of faith-based digital literacy programs. While the integration of worldview literacy into education policies is promising, overcoming political and cultural resistance remains a challenge (</w:t>
      </w:r>
      <w:r>
        <w:t>Shaw, 2022</w:t>
      </w:r>
      <w:r>
        <w:rPr>
          <w:color w:val="000000"/>
        </w:rPr>
        <w:t>).</w:t>
      </w:r>
      <w:r>
        <w:br w:type="page"/>
      </w:r>
    </w:p>
    <w:p w14:paraId="00000026" w14:textId="77777777" w:rsidR="00B537ED" w:rsidRDefault="00B537ED">
      <w:pPr>
        <w:pBdr>
          <w:top w:val="nil"/>
          <w:left w:val="nil"/>
          <w:bottom w:val="nil"/>
          <w:right w:val="nil"/>
          <w:between w:val="nil"/>
        </w:pBdr>
        <w:spacing w:after="240" w:line="480" w:lineRule="auto"/>
      </w:pPr>
    </w:p>
    <w:p w14:paraId="00000027" w14:textId="77777777" w:rsidR="00B537ED" w:rsidRDefault="00000000">
      <w:pPr>
        <w:pBdr>
          <w:top w:val="nil"/>
          <w:left w:val="nil"/>
          <w:bottom w:val="nil"/>
          <w:right w:val="nil"/>
          <w:between w:val="nil"/>
        </w:pBdr>
        <w:spacing w:after="240" w:line="480" w:lineRule="auto"/>
        <w:jc w:val="center"/>
        <w:rPr>
          <w:color w:val="000000"/>
        </w:rPr>
      </w:pPr>
      <w:r>
        <w:rPr>
          <w:b/>
          <w:color w:val="000000"/>
        </w:rPr>
        <w:t>Conclusion</w:t>
      </w:r>
    </w:p>
    <w:p w14:paraId="00000028" w14:textId="77777777" w:rsidR="00B537ED" w:rsidRDefault="00000000">
      <w:pPr>
        <w:pBdr>
          <w:top w:val="nil"/>
          <w:left w:val="nil"/>
          <w:bottom w:val="nil"/>
          <w:right w:val="nil"/>
          <w:between w:val="nil"/>
        </w:pBdr>
        <w:spacing w:after="240" w:line="480" w:lineRule="auto"/>
        <w:rPr>
          <w:color w:val="000000"/>
        </w:rPr>
      </w:pPr>
      <w:r>
        <w:rPr>
          <w:color w:val="000000"/>
        </w:rPr>
        <w:tab/>
        <w:t>Worldview literacy is a vital component of ethical and inclusive research, particularly in addressing systemic issues such as the digital divide in Washington, DC schools. By incorporating diverse perspectives, recognizing biases, and integrating faith-learning principles, researchers and policymakers can develop more effective solutions. The intersection of academic research and faith-based service provides a powerful framework for fostering digital equity, ensuring that all students, regardless of socioeconomic background, have access to the technological resources necessary for academic success (</w:t>
      </w:r>
      <w:r>
        <w:t>Bon et al., 2023</w:t>
      </w:r>
      <w:r>
        <w:rPr>
          <w:color w:val="000000"/>
        </w:rPr>
        <w:t>).</w:t>
      </w:r>
    </w:p>
    <w:p w14:paraId="00000029" w14:textId="77777777" w:rsidR="00B537ED" w:rsidRDefault="00000000">
      <w:pPr>
        <w:pBdr>
          <w:top w:val="nil"/>
          <w:left w:val="nil"/>
          <w:bottom w:val="nil"/>
          <w:right w:val="nil"/>
          <w:between w:val="nil"/>
        </w:pBdr>
        <w:spacing w:after="240" w:line="480" w:lineRule="auto"/>
        <w:rPr>
          <w:rFonts w:ascii="Helvetica Neue" w:eastAsia="Helvetica Neue" w:hAnsi="Helvetica Neue" w:cs="Helvetica Neue"/>
          <w:color w:val="000000"/>
        </w:rPr>
      </w:pPr>
      <w:r>
        <w:br w:type="page"/>
      </w:r>
    </w:p>
    <w:p w14:paraId="0000002A" w14:textId="77777777" w:rsidR="00B537ED" w:rsidRDefault="00000000">
      <w:pPr>
        <w:pBdr>
          <w:top w:val="nil"/>
          <w:left w:val="nil"/>
          <w:bottom w:val="nil"/>
          <w:right w:val="nil"/>
          <w:between w:val="nil"/>
        </w:pBdr>
        <w:spacing w:after="240" w:line="480" w:lineRule="auto"/>
        <w:jc w:val="center"/>
        <w:rPr>
          <w:color w:val="000000"/>
        </w:rPr>
      </w:pPr>
      <w:commentRangeStart w:id="12"/>
      <w:r>
        <w:rPr>
          <w:b/>
          <w:color w:val="000000"/>
        </w:rPr>
        <w:lastRenderedPageBreak/>
        <w:t>References</w:t>
      </w:r>
      <w:commentRangeEnd w:id="12"/>
      <w:r w:rsidR="00B377DB">
        <w:rPr>
          <w:rStyle w:val="CommentReference"/>
        </w:rPr>
        <w:commentReference w:id="12"/>
      </w:r>
    </w:p>
    <w:p w14:paraId="0000002B" w14:textId="77777777" w:rsidR="00B537ED" w:rsidRDefault="00000000">
      <w:pPr>
        <w:spacing w:line="480" w:lineRule="auto"/>
        <w:ind w:left="720" w:hanging="720"/>
      </w:pPr>
      <w:commentRangeStart w:id="13"/>
      <w:r>
        <w:t>Bon, A., Saa-</w:t>
      </w:r>
      <w:proofErr w:type="spellStart"/>
      <w:r>
        <w:t>Dittoh</w:t>
      </w:r>
      <w:proofErr w:type="spellEnd"/>
      <w:r>
        <w:t xml:space="preserve">, F., &amp; Akkermans, H. (2023). Bridging the Digital Divide. </w:t>
      </w:r>
      <w:r>
        <w:rPr>
          <w:i/>
        </w:rPr>
        <w:t>Introduction to Digital Humanism</w:t>
      </w:r>
      <w:r>
        <w:t>, 283–298. https://doi.org/10.1007/978-3-031-45304-5_19</w:t>
      </w:r>
      <w:commentRangeEnd w:id="13"/>
      <w:r w:rsidR="00B377DB">
        <w:rPr>
          <w:rStyle w:val="CommentReference"/>
        </w:rPr>
        <w:commentReference w:id="13"/>
      </w:r>
    </w:p>
    <w:p w14:paraId="0000002C" w14:textId="77777777" w:rsidR="00B537ED" w:rsidRDefault="00000000">
      <w:pPr>
        <w:spacing w:after="240" w:line="480" w:lineRule="auto"/>
        <w:ind w:left="720" w:hanging="720"/>
      </w:pPr>
      <w:proofErr w:type="spellStart"/>
      <w:r>
        <w:t>Kimanen</w:t>
      </w:r>
      <w:proofErr w:type="spellEnd"/>
      <w:r>
        <w:t xml:space="preserve">, A. (2023). Worldview literacy as a part of teacher professionalism. </w:t>
      </w:r>
      <w:r>
        <w:rPr>
          <w:i/>
        </w:rPr>
        <w:t>Intercultural Education, 34</w:t>
      </w:r>
      <w:r>
        <w:t>(1), 1–15. https://doi.org/10.1080/14675986.2022.2161766</w:t>
      </w:r>
    </w:p>
    <w:p w14:paraId="0000002D" w14:textId="77777777" w:rsidR="00B537ED" w:rsidRDefault="00000000">
      <w:pPr>
        <w:pBdr>
          <w:top w:val="nil"/>
          <w:left w:val="nil"/>
          <w:bottom w:val="nil"/>
          <w:right w:val="nil"/>
          <w:between w:val="nil"/>
        </w:pBdr>
        <w:spacing w:after="240" w:line="480" w:lineRule="auto"/>
        <w:ind w:left="720" w:hanging="720"/>
        <w:rPr>
          <w:i/>
          <w:color w:val="000000"/>
        </w:rPr>
      </w:pPr>
      <w:commentRangeStart w:id="14"/>
      <w:r>
        <w:rPr>
          <w:color w:val="000000"/>
        </w:rPr>
        <w:t xml:space="preserve">Kurdi, M. S. (2023). The role of technology in promoting cultural competence: A comprehensive review in multicultural education. </w:t>
      </w:r>
      <w:r>
        <w:rPr>
          <w:i/>
          <w:color w:val="000000"/>
        </w:rPr>
        <w:t>International Conference on Education, Social Sciences and Technology,</w:t>
      </w:r>
      <w:r>
        <w:rPr>
          <w:color w:val="000000"/>
        </w:rPr>
        <w:t xml:space="preserve"> </w:t>
      </w:r>
      <w:r>
        <w:rPr>
          <w:i/>
        </w:rPr>
        <w:t>(ICESST) (Vol. 2, No. 2, pp. 455-482).</w:t>
      </w:r>
      <w:commentRangeEnd w:id="14"/>
      <w:r w:rsidR="00FE27F4">
        <w:rPr>
          <w:rStyle w:val="CommentReference"/>
        </w:rPr>
        <w:commentReference w:id="14"/>
      </w:r>
    </w:p>
    <w:p w14:paraId="0000002E" w14:textId="77777777" w:rsidR="00B537ED" w:rsidRDefault="00000000">
      <w:pPr>
        <w:spacing w:after="240" w:line="480" w:lineRule="auto"/>
        <w:ind w:left="720" w:hanging="720"/>
      </w:pPr>
      <w:r>
        <w:t xml:space="preserve">Shaw, M. (2023). Worldview literacy as transformative knowledge. </w:t>
      </w:r>
      <w:r>
        <w:rPr>
          <w:i/>
        </w:rPr>
        <w:t>Journal of Transformative Learning, 10</w:t>
      </w:r>
      <w:r>
        <w:t>(1), 123–140.</w:t>
      </w:r>
    </w:p>
    <w:p w14:paraId="0000002F" w14:textId="77777777" w:rsidR="00B537ED" w:rsidRDefault="00000000">
      <w:pPr>
        <w:spacing w:after="240" w:line="480" w:lineRule="auto"/>
        <w:ind w:left="720" w:hanging="720"/>
      </w:pPr>
      <w:r>
        <w:t xml:space="preserve">Shaw, M. (2022). Worldview literacy as intercultural citizenship education: A framework for critical, reflexive engagement in plural democracy.  </w:t>
      </w:r>
      <w:r>
        <w:rPr>
          <w:i/>
        </w:rPr>
        <w:t>Education, Citizenship and Social Justice, 18</w:t>
      </w:r>
      <w:r>
        <w:t>(2), 197-213. https://doi.org/10.1177/17461979211062125</w:t>
      </w:r>
    </w:p>
    <w:p w14:paraId="00000030" w14:textId="77777777" w:rsidR="00B537ED" w:rsidRDefault="00000000">
      <w:pPr>
        <w:spacing w:line="480" w:lineRule="auto"/>
        <w:ind w:left="720" w:hanging="720"/>
      </w:pPr>
      <w:r>
        <w:t xml:space="preserve">Valk, J., Selçuk, M., &amp; Miedema, S. (2020). Worldview literacy in the academy and beyond: Advancing mutual understanding in diverse societies. </w:t>
      </w:r>
      <w:r>
        <w:rPr>
          <w:i/>
        </w:rPr>
        <w:t>Religious Education</w:t>
      </w:r>
      <w:r>
        <w:t xml:space="preserve">, </w:t>
      </w:r>
      <w:r>
        <w:rPr>
          <w:i/>
        </w:rPr>
        <w:t>115</w:t>
      </w:r>
      <w:r>
        <w:t>(3), 364–374. https://doi.org/10.1080/00344087.2020.1768472</w:t>
      </w:r>
    </w:p>
    <w:p w14:paraId="00000031" w14:textId="77777777" w:rsidR="00B537ED" w:rsidRDefault="00000000">
      <w:pPr>
        <w:pBdr>
          <w:top w:val="nil"/>
          <w:left w:val="nil"/>
          <w:bottom w:val="nil"/>
          <w:right w:val="nil"/>
          <w:between w:val="nil"/>
        </w:pBdr>
        <w:spacing w:after="240" w:line="480" w:lineRule="auto"/>
        <w:ind w:left="720" w:hanging="720"/>
        <w:rPr>
          <w:color w:val="000000"/>
        </w:rPr>
      </w:pPr>
      <w:r>
        <w:rPr>
          <w:color w:val="000000"/>
        </w:rPr>
        <w:t xml:space="preserve">Wang, P.-Y. (2013). Examining the digital divide between rural and urban schools: Technology availability, teachers’ integration level and students’ perception. </w:t>
      </w:r>
      <w:r>
        <w:rPr>
          <w:i/>
          <w:color w:val="000000"/>
        </w:rPr>
        <w:t>Journal of Curriculum and Teaching, 2</w:t>
      </w:r>
      <w:r>
        <w:rPr>
          <w:color w:val="000000"/>
        </w:rPr>
        <w:t>(2), 127–142. http://dx.doi.org/10.5430/jct.v2n2p127</w:t>
      </w:r>
    </w:p>
    <w:p w14:paraId="00000032" w14:textId="77777777" w:rsidR="00B537ED" w:rsidRDefault="00B537ED">
      <w:pPr>
        <w:pBdr>
          <w:top w:val="nil"/>
          <w:left w:val="nil"/>
          <w:bottom w:val="nil"/>
          <w:right w:val="nil"/>
          <w:between w:val="nil"/>
        </w:pBdr>
        <w:spacing w:after="240" w:line="480" w:lineRule="auto"/>
        <w:rPr>
          <w:rFonts w:ascii="Helvetica Neue" w:eastAsia="Helvetica Neue" w:hAnsi="Helvetica Neue" w:cs="Helvetica Neue"/>
          <w:color w:val="000000"/>
        </w:rPr>
      </w:pPr>
    </w:p>
    <w:sectPr w:rsidR="00B537ED">
      <w:headerReference w:type="default" r:id="rId10"/>
      <w:footerReference w:type="default" r:id="rId1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avid Ward" w:date="2025-03-30T17:03:00Z" w:initials="DW">
    <w:p w14:paraId="24F6AD08" w14:textId="1F5FB605" w:rsidR="001F15E5" w:rsidRDefault="001F15E5">
      <w:pPr>
        <w:pStyle w:val="CommentText"/>
      </w:pPr>
      <w:r>
        <w:rPr>
          <w:rStyle w:val="CommentReference"/>
        </w:rPr>
        <w:annotationRef/>
      </w:r>
      <w:r>
        <w:t>You mislabeled this assignment as assignment #2 instead of assignment #3.</w:t>
      </w:r>
    </w:p>
  </w:comment>
  <w:comment w:id="1" w:author="David Ward" w:date="2025-03-31T04:52:00Z" w:initials="DW">
    <w:p w14:paraId="405586FA" w14:textId="62B65F4B" w:rsidR="001C7F28" w:rsidRDefault="001C7F28">
      <w:pPr>
        <w:pStyle w:val="CommentText"/>
      </w:pPr>
      <w:r>
        <w:rPr>
          <w:rStyle w:val="CommentReference"/>
        </w:rPr>
        <w:annotationRef/>
      </w:r>
      <w:r>
        <w:t>Worldview literacy needs defining right at the beginning. This key sentence does not quite define worldview literacy.</w:t>
      </w:r>
    </w:p>
  </w:comment>
  <w:comment w:id="2" w:author="David Ward" w:date="2025-03-30T17:05:00Z" w:initials="DW">
    <w:p w14:paraId="2DB8474D" w14:textId="2B371F20" w:rsidR="001F15E5" w:rsidRDefault="001F15E5">
      <w:pPr>
        <w:pStyle w:val="CommentText"/>
      </w:pPr>
      <w:r>
        <w:rPr>
          <w:rStyle w:val="CommentReference"/>
        </w:rPr>
        <w:annotationRef/>
      </w:r>
      <w:r w:rsidRPr="001F15E5">
        <w:t>Semaj, you provide a nice thesis at the end of your opening paragraph to guide your essay:</w:t>
      </w:r>
      <w:r w:rsidRPr="001F15E5">
        <w:t xml:space="preserve"> “</w:t>
      </w:r>
      <w:r w:rsidRPr="001F15E5">
        <w:rPr>
          <w:sz w:val="24"/>
          <w:szCs w:val="24"/>
        </w:rPr>
        <w:t xml:space="preserve">This </w:t>
      </w:r>
      <w:r>
        <w:rPr>
          <w:color w:val="000000"/>
          <w:sz w:val="24"/>
          <w:szCs w:val="24"/>
        </w:rPr>
        <w:t>paper explores how integrating worldview literacy into research can provide a more comprehensive understanding of the technological disparities in low-income schools and propose solutions informed by both academic and faith-based perspectives (</w:t>
      </w:r>
      <w:proofErr w:type="spellStart"/>
      <w:r>
        <w:t>Kimanen</w:t>
      </w:r>
      <w:proofErr w:type="spellEnd"/>
      <w:r>
        <w:rPr>
          <w:color w:val="000000"/>
          <w:sz w:val="24"/>
          <w:szCs w:val="24"/>
        </w:rPr>
        <w:t>, 2023).</w:t>
      </w:r>
      <w:r>
        <w:rPr>
          <w:rStyle w:val="CommentReference"/>
        </w:rPr>
        <w:annotationRef/>
      </w:r>
      <w:r>
        <w:rPr>
          <w:color w:val="000000"/>
          <w:sz w:val="24"/>
          <w:szCs w:val="24"/>
        </w:rPr>
        <w:t>”</w:t>
      </w:r>
    </w:p>
  </w:comment>
  <w:comment w:id="3" w:author="David Ward" w:date="2025-03-31T04:26:00Z" w:initials="DW">
    <w:p w14:paraId="523BA0DE" w14:textId="3EF424A5" w:rsidR="00F73D2F" w:rsidRDefault="00F73D2F">
      <w:pPr>
        <w:pStyle w:val="CommentText"/>
      </w:pPr>
      <w:r>
        <w:rPr>
          <w:rStyle w:val="CommentReference"/>
        </w:rPr>
        <w:annotationRef/>
      </w:r>
      <w:r>
        <w:t xml:space="preserve">It is good that you contextualized this issue to the local city context where you have seen it in action. </w:t>
      </w:r>
    </w:p>
  </w:comment>
  <w:comment w:id="4" w:author="David Ward" w:date="2025-03-31T04:27:00Z" w:initials="DW">
    <w:p w14:paraId="0069C58A" w14:textId="6024303A" w:rsidR="00F73D2F" w:rsidRDefault="00F73D2F">
      <w:pPr>
        <w:pStyle w:val="CommentText"/>
      </w:pPr>
      <w:r>
        <w:rPr>
          <w:rStyle w:val="CommentReference"/>
        </w:rPr>
        <w:annotationRef/>
      </w:r>
      <w:r>
        <w:t>This is a promising interdisciplinary preview of perspectives that will</w:t>
      </w:r>
      <w:r w:rsidR="00AC1EBD">
        <w:t xml:space="preserve"> each</w:t>
      </w:r>
      <w:r>
        <w:t xml:space="preserve"> need</w:t>
      </w:r>
      <w:r w:rsidR="00AC1EBD">
        <w:t xml:space="preserve"> at least </w:t>
      </w:r>
      <w:r>
        <w:t>a brief explanation and i</w:t>
      </w:r>
      <w:r w:rsidR="00AC1EBD">
        <w:t>l</w:t>
      </w:r>
      <w:r>
        <w:t>l</w:t>
      </w:r>
      <w:r w:rsidR="00AC1EBD">
        <w:t>u</w:t>
      </w:r>
      <w:r>
        <w:t>str</w:t>
      </w:r>
      <w:r w:rsidR="00AC1EBD">
        <w:t>a</w:t>
      </w:r>
      <w:r>
        <w:t>tion.</w:t>
      </w:r>
    </w:p>
  </w:comment>
  <w:comment w:id="5" w:author="David Ward" w:date="2025-03-31T04:17:00Z" w:initials="DW">
    <w:p w14:paraId="088CABFE" w14:textId="1EAB3FCD" w:rsidR="00FE27F4" w:rsidRDefault="00FE27F4">
      <w:pPr>
        <w:pStyle w:val="CommentText"/>
      </w:pPr>
      <w:r>
        <w:rPr>
          <w:rStyle w:val="CommentReference"/>
        </w:rPr>
        <w:annotationRef/>
      </w:r>
      <w:r>
        <w:t xml:space="preserve">This section is way too brief to fulfill its purpose. It needs more development and explanation. </w:t>
      </w:r>
      <w:r w:rsidR="00F73D2F">
        <w:t>The term “</w:t>
      </w:r>
      <w:r w:rsidR="00F73D2F">
        <w:rPr>
          <w:color w:val="000000"/>
          <w:sz w:val="24"/>
          <w:szCs w:val="24"/>
        </w:rPr>
        <w:t>digital inequities</w:t>
      </w:r>
      <w:r w:rsidR="00F73D2F">
        <w:rPr>
          <w:color w:val="000000"/>
          <w:sz w:val="24"/>
          <w:szCs w:val="24"/>
        </w:rPr>
        <w:t xml:space="preserve">” needs defining. </w:t>
      </w:r>
    </w:p>
  </w:comment>
  <w:comment w:id="6" w:author="David Ward" w:date="2025-03-31T04:21:00Z" w:initials="DW">
    <w:p w14:paraId="2ABB52B2" w14:textId="1270C9BB" w:rsidR="00F73D2F" w:rsidRDefault="00F73D2F">
      <w:pPr>
        <w:pStyle w:val="CommentText"/>
      </w:pPr>
      <w:r>
        <w:rPr>
          <w:rStyle w:val="CommentReference"/>
        </w:rPr>
        <w:annotationRef/>
      </w:r>
      <w:r>
        <w:t>This claim is a truism that is not self-evident without more explanation with some historical example.</w:t>
      </w:r>
    </w:p>
  </w:comment>
  <w:comment w:id="7" w:author="David Ward" w:date="2025-03-31T04:23:00Z" w:initials="DW">
    <w:p w14:paraId="0BF7B87E" w14:textId="59CAC02F" w:rsidR="00F73D2F" w:rsidRDefault="00F73D2F">
      <w:pPr>
        <w:pStyle w:val="CommentText"/>
      </w:pPr>
      <w:r>
        <w:rPr>
          <w:rStyle w:val="CommentReference"/>
        </w:rPr>
        <w:annotationRef/>
      </w:r>
      <w:r>
        <w:t>You could follow this sentence with at least a sentence or two explaining and illustrating what each angle adds to understanding the issue of digital inequities: educational policy, digital literacy, and social justice studies.</w:t>
      </w:r>
    </w:p>
  </w:comment>
  <w:comment w:id="8" w:author="David Ward" w:date="2025-03-31T04:31:00Z" w:initials="DW">
    <w:p w14:paraId="3F7169AD" w14:textId="530B4526" w:rsidR="00AC1EBD" w:rsidRDefault="00AC1EBD">
      <w:pPr>
        <w:pStyle w:val="CommentText"/>
      </w:pPr>
      <w:r>
        <w:rPr>
          <w:rStyle w:val="CommentReference"/>
        </w:rPr>
        <w:annotationRef/>
      </w:r>
      <w:r>
        <w:t>History is full of illustrations of how Christian scholars throughout history have used whatever latest technology existed to spread the message of the Bible out of a sense of mission and calling. A great example was the Gutenberg Press. John Wycliffe was writing about abuses by the institutional church that needed reforming  in England 250 years before Martin Luther in Germany but the Reformation did not happen until the technology of the printing press spread biblical literacy from the wealthy to the poor classes of people.</w:t>
      </w:r>
    </w:p>
  </w:comment>
  <w:comment w:id="9" w:author="David Ward" w:date="2025-03-31T05:07:00Z" w:initials="DW">
    <w:p w14:paraId="4F850009" w14:textId="2FD435E7" w:rsidR="00FB489C" w:rsidRDefault="00FB489C">
      <w:pPr>
        <w:pStyle w:val="CommentText"/>
      </w:pPr>
      <w:r>
        <w:rPr>
          <w:rStyle w:val="CommentReference"/>
        </w:rPr>
        <w:annotationRef/>
      </w:r>
      <w:r>
        <w:t>What is the correlation between worldview literacy, which is a powerful concept by Shaw (2022), and</w:t>
      </w:r>
      <w:r w:rsidR="00CA1D57">
        <w:t xml:space="preserve"> faith-based</w:t>
      </w:r>
      <w:r>
        <w:t xml:space="preserve"> digit</w:t>
      </w:r>
      <w:r w:rsidR="00CA1D57">
        <w:t>al equity? Are you saying that poorer schools need more computers to teach underserved kids about different religions?</w:t>
      </w:r>
    </w:p>
  </w:comment>
  <w:comment w:id="10" w:author="David Ward" w:date="2025-03-31T05:21:00Z" w:initials="DW">
    <w:p w14:paraId="6C8E2076" w14:textId="07CADE58" w:rsidR="00835371" w:rsidRDefault="00835371">
      <w:pPr>
        <w:pStyle w:val="CommentText"/>
      </w:pPr>
      <w:r>
        <w:rPr>
          <w:rStyle w:val="CommentReference"/>
        </w:rPr>
        <w:annotationRef/>
      </w:r>
      <w:r>
        <w:t>So if churches invested in providing computer literacy training for underserved poor young people to their communities, it could provide opportunities help the kids come to faith?</w:t>
      </w:r>
    </w:p>
  </w:comment>
  <w:comment w:id="11" w:author="David Ward" w:date="2025-03-31T05:27:00Z" w:initials="DW">
    <w:p w14:paraId="7A0DEAF0" w14:textId="4D6D5E7D" w:rsidR="00835371" w:rsidRDefault="00835371">
      <w:pPr>
        <w:pStyle w:val="CommentText"/>
      </w:pPr>
      <w:r>
        <w:rPr>
          <w:rStyle w:val="CommentReference"/>
        </w:rPr>
        <w:annotationRef/>
      </w:r>
      <w:r>
        <w:t xml:space="preserve">What are the root causes? Poverty? Are the faith-based solutions the effectiveness of using computers in religious education?  </w:t>
      </w:r>
      <w:r w:rsidR="00D24F08" w:rsidRPr="00D24F08">
        <w:t>I think if you refocused this essay just about what is meant by "worldview literacy" and how that could be transformational in religious education as Shaw advocates, you could address the issue of digital inequities in a separate research-based essay.</w:t>
      </w:r>
    </w:p>
  </w:comment>
  <w:comment w:id="12" w:author="David Ward" w:date="2025-03-31T03:58:00Z" w:initials="DW">
    <w:p w14:paraId="4929F0F8" w14:textId="11B51D57" w:rsidR="00B377DB" w:rsidRPr="00B377DB" w:rsidRDefault="00B377DB">
      <w:pPr>
        <w:pStyle w:val="CommentText"/>
        <w:rPr>
          <w:b/>
          <w:bCs/>
        </w:rPr>
      </w:pPr>
      <w:r w:rsidRPr="00B377DB">
        <w:rPr>
          <w:rStyle w:val="CommentReference"/>
          <w:b/>
          <w:bCs/>
        </w:rPr>
        <w:annotationRef/>
      </w:r>
      <w:r w:rsidRPr="00B377DB">
        <w:rPr>
          <w:b/>
          <w:bCs/>
        </w:rPr>
        <w:t>Works Cited</w:t>
      </w:r>
    </w:p>
  </w:comment>
  <w:comment w:id="13" w:author="David Ward" w:date="2025-03-31T03:59:00Z" w:initials="DW">
    <w:p w14:paraId="56C9DF72" w14:textId="68985534" w:rsidR="00FE27F4" w:rsidRDefault="00B377DB" w:rsidP="00B377DB">
      <w:pPr>
        <w:spacing w:line="480" w:lineRule="auto"/>
      </w:pPr>
      <w:r>
        <w:rPr>
          <w:rStyle w:val="CommentReference"/>
        </w:rPr>
        <w:annotationRef/>
      </w:r>
      <w:r w:rsidR="00FE27F4">
        <w:t>See APA Manual, p. 326.</w:t>
      </w:r>
    </w:p>
    <w:p w14:paraId="5E7326EF" w14:textId="7175FF23" w:rsidR="00B377DB" w:rsidRDefault="00B377DB" w:rsidP="00B377DB">
      <w:pPr>
        <w:spacing w:line="480" w:lineRule="auto"/>
      </w:pPr>
      <w:r>
        <w:t>Bon, A., Saa-</w:t>
      </w:r>
      <w:proofErr w:type="spellStart"/>
      <w:r>
        <w:t>Dittoh</w:t>
      </w:r>
      <w:proofErr w:type="spellEnd"/>
      <w:r>
        <w:t xml:space="preserve">, F., &amp; Akkermans, H. (2023). Bridging the </w:t>
      </w:r>
      <w:r w:rsidRPr="00B377DB">
        <w:rPr>
          <w:color w:val="FF0000"/>
        </w:rPr>
        <w:t>d</w:t>
      </w:r>
      <w:r w:rsidRPr="00B377DB">
        <w:rPr>
          <w:color w:val="FF0000"/>
        </w:rPr>
        <w:t xml:space="preserve">igital </w:t>
      </w:r>
      <w:r w:rsidRPr="00B377DB">
        <w:rPr>
          <w:color w:val="FF0000"/>
        </w:rPr>
        <w:t>d</w:t>
      </w:r>
      <w:r w:rsidRPr="00B377DB">
        <w:rPr>
          <w:color w:val="FF0000"/>
        </w:rPr>
        <w:t xml:space="preserve">ivide. </w:t>
      </w:r>
      <w:r>
        <w:t xml:space="preserve">In </w:t>
      </w:r>
      <w:r w:rsidRPr="00B377DB">
        <w:rPr>
          <w:color w:val="FF0000"/>
        </w:rPr>
        <w:t>H</w:t>
      </w:r>
      <w:r w:rsidRPr="00B377DB">
        <w:rPr>
          <w:color w:val="FF0000"/>
        </w:rPr>
        <w:t>.</w:t>
      </w:r>
      <w:r w:rsidRPr="00B377DB">
        <w:rPr>
          <w:color w:val="FF0000"/>
        </w:rPr>
        <w:t xml:space="preserve"> </w:t>
      </w:r>
      <w:proofErr w:type="spellStart"/>
      <w:r w:rsidRPr="00B377DB">
        <w:rPr>
          <w:color w:val="FF0000"/>
        </w:rPr>
        <w:t>Werthner</w:t>
      </w:r>
      <w:proofErr w:type="spellEnd"/>
      <w:r w:rsidRPr="00B377DB">
        <w:rPr>
          <w:color w:val="FF0000"/>
        </w:rPr>
        <w:t xml:space="preserve">, et al., </w:t>
      </w:r>
      <w:r w:rsidRPr="00B377DB">
        <w:rPr>
          <w:color w:val="FF0000"/>
        </w:rPr>
        <w:t>(</w:t>
      </w:r>
      <w:r w:rsidRPr="00B377DB">
        <w:rPr>
          <w:color w:val="FF0000"/>
        </w:rPr>
        <w:t>Eds.</w:t>
      </w:r>
      <w:r w:rsidRPr="00B377DB">
        <w:rPr>
          <w:color w:val="FF0000"/>
        </w:rPr>
        <w:t xml:space="preserve">). </w:t>
      </w:r>
      <w:r>
        <w:rPr>
          <w:i/>
        </w:rPr>
        <w:t xml:space="preserve">Introduction to </w:t>
      </w:r>
      <w:r w:rsidRPr="00B377DB">
        <w:rPr>
          <w:i/>
          <w:color w:val="FF0000"/>
        </w:rPr>
        <w:t>d</w:t>
      </w:r>
      <w:r w:rsidRPr="00B377DB">
        <w:rPr>
          <w:i/>
          <w:color w:val="FF0000"/>
        </w:rPr>
        <w:t xml:space="preserve">igital </w:t>
      </w:r>
      <w:r w:rsidRPr="00B377DB">
        <w:rPr>
          <w:i/>
          <w:color w:val="FF0000"/>
        </w:rPr>
        <w:t>h</w:t>
      </w:r>
      <w:r w:rsidRPr="00B377DB">
        <w:rPr>
          <w:i/>
          <w:color w:val="FF0000"/>
        </w:rPr>
        <w:t>umanism</w:t>
      </w:r>
      <w:r w:rsidRPr="00B377DB">
        <w:rPr>
          <w:color w:val="FF0000"/>
        </w:rPr>
        <w:t>,</w:t>
      </w:r>
      <w:r w:rsidRPr="00B377DB">
        <w:rPr>
          <w:color w:val="FF0000"/>
        </w:rPr>
        <w:t xml:space="preserve"> (pp.</w:t>
      </w:r>
      <w:r w:rsidRPr="00B377DB">
        <w:rPr>
          <w:color w:val="FF0000"/>
        </w:rPr>
        <w:t xml:space="preserve"> 283–298</w:t>
      </w:r>
      <w:r w:rsidRPr="00B377DB">
        <w:rPr>
          <w:color w:val="FF0000"/>
        </w:rPr>
        <w:t>)</w:t>
      </w:r>
      <w:r w:rsidRPr="00B377DB">
        <w:rPr>
          <w:color w:val="FF0000"/>
        </w:rPr>
        <w:t xml:space="preserve">. </w:t>
      </w:r>
      <w:r>
        <w:t>https://doi.org/10.1007/978-3-031-45304-5_19</w:t>
      </w:r>
    </w:p>
    <w:p w14:paraId="0667C18E" w14:textId="02A98C26" w:rsidR="00B377DB" w:rsidRDefault="00B377DB">
      <w:pPr>
        <w:pStyle w:val="CommentText"/>
      </w:pPr>
    </w:p>
  </w:comment>
  <w:comment w:id="14" w:author="David Ward" w:date="2025-03-31T04:12:00Z" w:initials="DW">
    <w:p w14:paraId="34DCB9AA" w14:textId="22FBD8CF" w:rsidR="00FE27F4" w:rsidRPr="00FE27F4" w:rsidRDefault="00FE27F4" w:rsidP="00FE27F4">
      <w:pPr>
        <w:pBdr>
          <w:top w:val="nil"/>
          <w:left w:val="nil"/>
          <w:bottom w:val="nil"/>
          <w:right w:val="nil"/>
          <w:between w:val="nil"/>
        </w:pBdr>
        <w:spacing w:after="240" w:line="480" w:lineRule="auto"/>
        <w:rPr>
          <w:i/>
          <w:color w:val="000000"/>
        </w:rPr>
      </w:pPr>
      <w:r>
        <w:rPr>
          <w:rStyle w:val="CommentReference"/>
        </w:rPr>
        <w:annotationRef/>
      </w:r>
      <w:r>
        <w:rPr>
          <w:color w:val="000000"/>
        </w:rPr>
        <w:t xml:space="preserve">Kurdi, M. S. (2023). The role of technology in promoting cultural competence: A comprehensive review in multicultural education. </w:t>
      </w:r>
      <w:r>
        <w:rPr>
          <w:i/>
          <w:color w:val="000000"/>
        </w:rPr>
        <w:t>International Conference on Education, Social Sciences and Technology,</w:t>
      </w:r>
      <w:r>
        <w:rPr>
          <w:color w:val="000000"/>
        </w:rPr>
        <w:t xml:space="preserve"> </w:t>
      </w:r>
      <w:r>
        <w:rPr>
          <w:i/>
        </w:rPr>
        <w:t xml:space="preserve">(ICESST) </w:t>
      </w:r>
      <w:r w:rsidRPr="00FE27F4">
        <w:rPr>
          <w:iCs/>
          <w:color w:val="FF0000"/>
        </w:rPr>
        <w:t>(Vol. 2, No. 2, pp. 455-482).</w:t>
      </w:r>
      <w:r w:rsidRPr="00FE27F4">
        <w:rPr>
          <w:rStyle w:val="CommentReference"/>
          <w:iCs/>
          <w:color w:val="FF0000"/>
        </w:rPr>
        <w:annotationRef/>
      </w:r>
      <w:r>
        <w:rPr>
          <w:iCs/>
          <w:color w:val="FF0000"/>
        </w:rPr>
        <w:t xml:space="preserve"> Retrieved from </w:t>
      </w:r>
    </w:p>
    <w:p w14:paraId="7F697D6B" w14:textId="258EE3E5" w:rsidR="00FE27F4" w:rsidRDefault="00FE27F4">
      <w:pPr>
        <w:pStyle w:val="CommentText"/>
      </w:pPr>
      <w:r w:rsidRPr="00FE27F4">
        <w:rPr>
          <w:color w:val="FF0000"/>
        </w:rPr>
        <w:t>https://ijconf.org/index.php/icesst/article/view/362/391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F6AD08" w15:done="0"/>
  <w15:commentEx w15:paraId="405586FA" w15:done="0"/>
  <w15:commentEx w15:paraId="2DB8474D" w15:done="0"/>
  <w15:commentEx w15:paraId="523BA0DE" w15:done="0"/>
  <w15:commentEx w15:paraId="0069C58A" w15:done="0"/>
  <w15:commentEx w15:paraId="088CABFE" w15:done="0"/>
  <w15:commentEx w15:paraId="2ABB52B2" w15:done="0"/>
  <w15:commentEx w15:paraId="0BF7B87E" w15:done="0"/>
  <w15:commentEx w15:paraId="3F7169AD" w15:done="0"/>
  <w15:commentEx w15:paraId="4F850009" w15:done="0"/>
  <w15:commentEx w15:paraId="6C8E2076" w15:done="0"/>
  <w15:commentEx w15:paraId="7A0DEAF0" w15:done="0"/>
  <w15:commentEx w15:paraId="4929F0F8" w15:done="0"/>
  <w15:commentEx w15:paraId="0667C18E" w15:done="0"/>
  <w15:commentEx w15:paraId="7F697D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96A960" w16cex:dateUtc="2025-03-30T21:03:00Z"/>
  <w16cex:commentExtensible w16cex:durableId="293B766D" w16cex:dateUtc="2025-03-31T08:52:00Z"/>
  <w16cex:commentExtensible w16cex:durableId="778BCC74" w16cex:dateUtc="2025-03-30T21:05:00Z"/>
  <w16cex:commentExtensible w16cex:durableId="2DD7E437" w16cex:dateUtc="2025-03-31T08:26:00Z"/>
  <w16cex:commentExtensible w16cex:durableId="767D56DF" w16cex:dateUtc="2025-03-31T08:27:00Z"/>
  <w16cex:commentExtensible w16cex:durableId="7C001FBD" w16cex:dateUtc="2025-03-31T08:17:00Z"/>
  <w16cex:commentExtensible w16cex:durableId="674A5D3B" w16cex:dateUtc="2025-03-31T08:21:00Z"/>
  <w16cex:commentExtensible w16cex:durableId="49D612BA" w16cex:dateUtc="2025-03-31T08:23:00Z"/>
  <w16cex:commentExtensible w16cex:durableId="5175C298" w16cex:dateUtc="2025-03-31T08:31:00Z"/>
  <w16cex:commentExtensible w16cex:durableId="2563ACC2" w16cex:dateUtc="2025-03-31T09:07:00Z"/>
  <w16cex:commentExtensible w16cex:durableId="1E3D4F2D" w16cex:dateUtc="2025-03-31T09:21:00Z"/>
  <w16cex:commentExtensible w16cex:durableId="485E2ECA" w16cex:dateUtc="2025-03-31T09:27:00Z"/>
  <w16cex:commentExtensible w16cex:durableId="1BEA01A0" w16cex:dateUtc="2025-03-31T07:58:00Z"/>
  <w16cex:commentExtensible w16cex:durableId="59A4FFEE" w16cex:dateUtc="2025-03-31T07:59:00Z"/>
  <w16cex:commentExtensible w16cex:durableId="7E57F87F" w16cex:dateUtc="2025-03-31T08: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F6AD08" w16cid:durableId="0F96A960"/>
  <w16cid:commentId w16cid:paraId="405586FA" w16cid:durableId="293B766D"/>
  <w16cid:commentId w16cid:paraId="2DB8474D" w16cid:durableId="778BCC74"/>
  <w16cid:commentId w16cid:paraId="523BA0DE" w16cid:durableId="2DD7E437"/>
  <w16cid:commentId w16cid:paraId="0069C58A" w16cid:durableId="767D56DF"/>
  <w16cid:commentId w16cid:paraId="088CABFE" w16cid:durableId="7C001FBD"/>
  <w16cid:commentId w16cid:paraId="2ABB52B2" w16cid:durableId="674A5D3B"/>
  <w16cid:commentId w16cid:paraId="0BF7B87E" w16cid:durableId="49D612BA"/>
  <w16cid:commentId w16cid:paraId="3F7169AD" w16cid:durableId="5175C298"/>
  <w16cid:commentId w16cid:paraId="4F850009" w16cid:durableId="2563ACC2"/>
  <w16cid:commentId w16cid:paraId="6C8E2076" w16cid:durableId="1E3D4F2D"/>
  <w16cid:commentId w16cid:paraId="7A0DEAF0" w16cid:durableId="485E2ECA"/>
  <w16cid:commentId w16cid:paraId="4929F0F8" w16cid:durableId="1BEA01A0"/>
  <w16cid:commentId w16cid:paraId="0667C18E" w16cid:durableId="59A4FFEE"/>
  <w16cid:commentId w16cid:paraId="7F697D6B" w16cid:durableId="7E57F8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6FACA" w14:textId="77777777" w:rsidR="003613E9" w:rsidRDefault="003613E9">
      <w:r>
        <w:separator/>
      </w:r>
    </w:p>
  </w:endnote>
  <w:endnote w:type="continuationSeparator" w:id="0">
    <w:p w14:paraId="170966BD" w14:textId="77777777" w:rsidR="003613E9" w:rsidRDefault="00361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AFAD6E8-8F03-49D8-B42B-5B449579F05A}"/>
    <w:embedItalic r:id="rId2" w:fontKey="{7A85A759-BCEF-4D02-B6B5-C65AADA4C3DC}"/>
  </w:font>
  <w:font w:name="Helvetica Neue">
    <w:altName w:val="Arial"/>
    <w:charset w:val="00"/>
    <w:family w:val="roman"/>
    <w:pitch w:val="default"/>
    <w:embedRegular r:id="rId3" w:fontKey="{468F9366-A731-4867-9AE9-4CC4F54CC133}"/>
  </w:font>
  <w:font w:name="Calibri">
    <w:panose1 w:val="020F0502020204030204"/>
    <w:charset w:val="00"/>
    <w:family w:val="swiss"/>
    <w:pitch w:val="variable"/>
    <w:sig w:usb0="E4002EFF" w:usb1="C000247B" w:usb2="00000009" w:usb3="00000000" w:csb0="000001FF" w:csb1="00000000"/>
    <w:embedRegular r:id="rId4" w:fontKey="{8CD5A178-EE66-420B-BF9D-5E35D20ECFE3}"/>
  </w:font>
  <w:font w:name="Cambria">
    <w:panose1 w:val="02040503050406030204"/>
    <w:charset w:val="00"/>
    <w:family w:val="roman"/>
    <w:pitch w:val="variable"/>
    <w:sig w:usb0="E00006FF" w:usb1="420024FF" w:usb2="02000000" w:usb3="00000000" w:csb0="0000019F" w:csb1="00000000"/>
    <w:embedRegular r:id="rId5" w:fontKey="{55940DB6-0B43-45D0-AE82-1ADB5C49EF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B537ED" w:rsidRDefault="00B537E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5F1BF" w14:textId="77777777" w:rsidR="003613E9" w:rsidRDefault="003613E9">
      <w:r>
        <w:separator/>
      </w:r>
    </w:p>
  </w:footnote>
  <w:footnote w:type="continuationSeparator" w:id="0">
    <w:p w14:paraId="331DE259" w14:textId="77777777" w:rsidR="003613E9" w:rsidRDefault="00361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35D3290A" w:rsidR="00B537ED" w:rsidRDefault="00000000">
    <w:pPr>
      <w:pBdr>
        <w:top w:val="nil"/>
        <w:left w:val="nil"/>
        <w:bottom w:val="nil"/>
        <w:right w:val="nil"/>
        <w:between w:val="nil"/>
      </w:pBdr>
      <w:tabs>
        <w:tab w:val="right" w:pos="8640"/>
        <w:tab w:val="right" w:pos="9340"/>
      </w:tabs>
      <w:spacing w:line="480" w:lineRule="auto"/>
      <w:rPr>
        <w:color w:val="000000"/>
      </w:rPr>
    </w:pPr>
    <w:r>
      <w:rPr>
        <w:color w:val="000000"/>
        <w:sz w:val="20"/>
        <w:szCs w:val="20"/>
      </w:rPr>
      <w:t xml:space="preserve">Semaj Zachary, PHI 805-22, Faith-Learning Integration and Interdisciplinary Studies, Assignment #2, 03/16/2025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1F15E5">
      <w:rPr>
        <w:noProof/>
        <w:color w:val="000000"/>
        <w:sz w:val="20"/>
        <w:szCs w:val="20"/>
      </w:rPr>
      <w:t>1</w:t>
    </w:r>
    <w:r>
      <w:rPr>
        <w:color w:val="000000"/>
        <w:sz w:val="20"/>
        <w:szCs w:val="20"/>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Ward">
    <w15:presenceInfo w15:providerId="Windows Live" w15:userId="ae3ffb580aff7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7ED"/>
    <w:rsid w:val="001C7F28"/>
    <w:rsid w:val="001F15E5"/>
    <w:rsid w:val="003613E9"/>
    <w:rsid w:val="00541432"/>
    <w:rsid w:val="00835371"/>
    <w:rsid w:val="008379B7"/>
    <w:rsid w:val="00AC1EBD"/>
    <w:rsid w:val="00B377DB"/>
    <w:rsid w:val="00B537ED"/>
    <w:rsid w:val="00CA1D57"/>
    <w:rsid w:val="00D24F08"/>
    <w:rsid w:val="00F73D2F"/>
    <w:rsid w:val="00FB489C"/>
    <w:rsid w:val="00FE2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A86EE"/>
  <w15:docId w15:val="{79681408-286C-407B-BC25-A1B0DBBCF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F15E5"/>
    <w:pPr>
      <w:tabs>
        <w:tab w:val="center" w:pos="4680"/>
        <w:tab w:val="right" w:pos="9360"/>
      </w:tabs>
    </w:pPr>
  </w:style>
  <w:style w:type="character" w:customStyle="1" w:styleId="HeaderChar">
    <w:name w:val="Header Char"/>
    <w:basedOn w:val="DefaultParagraphFont"/>
    <w:link w:val="Header"/>
    <w:uiPriority w:val="99"/>
    <w:rsid w:val="001F15E5"/>
  </w:style>
  <w:style w:type="paragraph" w:styleId="Footer">
    <w:name w:val="footer"/>
    <w:basedOn w:val="Normal"/>
    <w:link w:val="FooterChar"/>
    <w:uiPriority w:val="99"/>
    <w:unhideWhenUsed/>
    <w:rsid w:val="001F15E5"/>
    <w:pPr>
      <w:tabs>
        <w:tab w:val="center" w:pos="4680"/>
        <w:tab w:val="right" w:pos="9360"/>
      </w:tabs>
    </w:pPr>
  </w:style>
  <w:style w:type="character" w:customStyle="1" w:styleId="FooterChar">
    <w:name w:val="Footer Char"/>
    <w:basedOn w:val="DefaultParagraphFont"/>
    <w:link w:val="Footer"/>
    <w:uiPriority w:val="99"/>
    <w:rsid w:val="001F15E5"/>
  </w:style>
  <w:style w:type="character" w:styleId="CommentReference">
    <w:name w:val="annotation reference"/>
    <w:basedOn w:val="DefaultParagraphFont"/>
    <w:uiPriority w:val="99"/>
    <w:semiHidden/>
    <w:unhideWhenUsed/>
    <w:rsid w:val="001F15E5"/>
    <w:rPr>
      <w:sz w:val="16"/>
      <w:szCs w:val="16"/>
    </w:rPr>
  </w:style>
  <w:style w:type="paragraph" w:styleId="CommentText">
    <w:name w:val="annotation text"/>
    <w:basedOn w:val="Normal"/>
    <w:link w:val="CommentTextChar"/>
    <w:uiPriority w:val="99"/>
    <w:semiHidden/>
    <w:unhideWhenUsed/>
    <w:rsid w:val="001F15E5"/>
    <w:rPr>
      <w:sz w:val="20"/>
      <w:szCs w:val="20"/>
    </w:rPr>
  </w:style>
  <w:style w:type="character" w:customStyle="1" w:styleId="CommentTextChar">
    <w:name w:val="Comment Text Char"/>
    <w:basedOn w:val="DefaultParagraphFont"/>
    <w:link w:val="CommentText"/>
    <w:uiPriority w:val="99"/>
    <w:semiHidden/>
    <w:rsid w:val="001F15E5"/>
    <w:rPr>
      <w:sz w:val="20"/>
      <w:szCs w:val="20"/>
    </w:rPr>
  </w:style>
  <w:style w:type="paragraph" w:styleId="CommentSubject">
    <w:name w:val="annotation subject"/>
    <w:basedOn w:val="CommentText"/>
    <w:next w:val="CommentText"/>
    <w:link w:val="CommentSubjectChar"/>
    <w:uiPriority w:val="99"/>
    <w:semiHidden/>
    <w:unhideWhenUsed/>
    <w:rsid w:val="001F15E5"/>
    <w:rPr>
      <w:b/>
      <w:bCs/>
    </w:rPr>
  </w:style>
  <w:style w:type="character" w:customStyle="1" w:styleId="CommentSubjectChar">
    <w:name w:val="Comment Subject Char"/>
    <w:basedOn w:val="CommentTextChar"/>
    <w:link w:val="CommentSubject"/>
    <w:uiPriority w:val="99"/>
    <w:semiHidden/>
    <w:rsid w:val="001F15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6</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Ward</cp:lastModifiedBy>
  <cp:revision>2</cp:revision>
  <dcterms:created xsi:type="dcterms:W3CDTF">2025-03-30T21:03:00Z</dcterms:created>
  <dcterms:modified xsi:type="dcterms:W3CDTF">2025-03-31T09:33:00Z</dcterms:modified>
</cp:coreProperties>
</file>