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Mentoring and Coaching </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Aliaya Epps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April 6, 2025 </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Sara Reichard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tabs>
          <w:tab w:val="right" w:leader="none" w:pos="8640"/>
          <w:tab w:val="right" w:leader="none" w:pos="8640"/>
          <w:tab w:val="right" w:leader="none" w:pos="8640"/>
        </w:tabs>
        <w:rPr/>
      </w:pPr>
      <w:r w:rsidDel="00000000" w:rsidR="00000000" w:rsidRPr="00000000">
        <w:rPr>
          <w:rtl w:val="0"/>
        </w:rPr>
        <w:t xml:space="preserve">1. Select One (1) Core Essential Element from the Syllabus Outline:</w:t>
      </w:r>
    </w:p>
    <w:p w:rsidR="00000000" w:rsidDel="00000000" w:rsidP="00000000" w:rsidRDefault="00000000" w:rsidRPr="00000000" w14:paraId="0000001B">
      <w:pPr>
        <w:tabs>
          <w:tab w:val="right" w:leader="none" w:pos="8640"/>
          <w:tab w:val="right" w:leader="none" w:pos="8640"/>
          <w:tab w:val="right" w:leader="none" w:pos="8640"/>
        </w:tabs>
        <w:rPr/>
      </w:pPr>
      <w:r w:rsidDel="00000000" w:rsidR="00000000" w:rsidRPr="00000000">
        <w:rPr>
          <w:rtl w:val="0"/>
        </w:rPr>
        <w:t xml:space="preserve">a. Create a 350-word original discussion paper (with cited sources) during the</w:t>
      </w:r>
    </w:p>
    <w:p w:rsidR="00000000" w:rsidDel="00000000" w:rsidP="00000000" w:rsidRDefault="00000000" w:rsidRPr="00000000" w14:paraId="0000001C">
      <w:pPr>
        <w:tabs>
          <w:tab w:val="right" w:leader="none" w:pos="8640"/>
          <w:tab w:val="right" w:leader="none" w:pos="8640"/>
          <w:tab w:val="right" w:leader="none" w:pos="8640"/>
        </w:tabs>
        <w:rPr/>
      </w:pPr>
      <w:r w:rsidDel="00000000" w:rsidR="00000000" w:rsidRPr="00000000">
        <w:rPr>
          <w:rtl w:val="0"/>
        </w:rPr>
        <w:t xml:space="preserve">week of the residency. Be prepared to discuss and engage with other</w:t>
      </w:r>
    </w:p>
    <w:p w:rsidR="00000000" w:rsidDel="00000000" w:rsidP="00000000" w:rsidRDefault="00000000" w:rsidRPr="00000000" w14:paraId="0000001D">
      <w:pPr>
        <w:tabs>
          <w:tab w:val="right" w:leader="none" w:pos="8640"/>
          <w:tab w:val="right" w:leader="none" w:pos="8640"/>
          <w:tab w:val="right" w:leader="none" w:pos="8640"/>
        </w:tabs>
        <w:rPr/>
      </w:pPr>
      <w:r w:rsidDel="00000000" w:rsidR="00000000" w:rsidRPr="00000000">
        <w:rPr>
          <w:rtl w:val="0"/>
        </w:rPr>
        <w:t xml:space="preserve">students during the live sessions. Post this document in DIAL.</w:t>
      </w:r>
    </w:p>
    <w:p w:rsidR="00000000" w:rsidDel="00000000" w:rsidP="00000000" w:rsidRDefault="00000000" w:rsidRPr="00000000" w14:paraId="0000001E">
      <w:pPr>
        <w:tabs>
          <w:tab w:val="right" w:leader="none" w:pos="8640"/>
          <w:tab w:val="right" w:leader="none" w:pos="8640"/>
          <w:tab w:val="right" w:leader="none" w:pos="8640"/>
        </w:tabs>
        <w:rPr/>
      </w:pPr>
      <w:r w:rsidDel="00000000" w:rsidR="00000000" w:rsidRPr="00000000">
        <w:rPr>
          <w:rtl w:val="0"/>
        </w:rPr>
        <w:t xml:space="preserve">b. Professor will check for quality of content and word-count requirements.</w:t>
      </w:r>
    </w:p>
    <w:p w:rsidR="00000000" w:rsidDel="00000000" w:rsidP="00000000" w:rsidRDefault="00000000" w:rsidRPr="00000000" w14:paraId="0000001F">
      <w:pPr>
        <w:tabs>
          <w:tab w:val="right" w:leader="none" w:pos="8640"/>
          <w:tab w:val="right" w:leader="none" w:pos="8640"/>
          <w:tab w:val="right" w:leader="none" w:pos="8640"/>
        </w:tabs>
        <w:rPr/>
      </w:pPr>
      <w:r w:rsidDel="00000000" w:rsidR="00000000" w:rsidRPr="00000000">
        <w:rPr>
          <w:rtl w:val="0"/>
        </w:rPr>
        <w:t xml:space="preserve">Grade assigned will be Credit or No Credit (CR/NC).</w:t>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rPr/>
      </w:pPr>
      <w:r w:rsidDel="00000000" w:rsidR="00000000" w:rsidRPr="00000000">
        <w:rPr>
          <w:rtl w:val="0"/>
        </w:rPr>
        <w:t xml:space="preserve">The most critical aspect of any leader, especially one who is both a mentor and a coach is to have a biblical understanding of their role. “Sometimes people equate struggling with failure, it’s not, it isn’t even close. In fact if you are struggling it tells me you are still in the game” ( Maxwell, 2020). Jesus himself speaks to this in Luke. When Jesus had a conversation with Peter, He said his prayer was that Peter’s faith would not fail, and that when he turned back to strengthen his brothers ( New International Version, 1769/2019, Luke 22:31-32). This means that Jesus wanted Peter to share his struggles and triumphs when the time came. Most of mentoring/coaching is guiding people through challenges. The roadmap is usually found within our experiences. Having the conviction to be vulnerable and transparent, for me at least, is rooted in biblical principles. It helps me navigate through the negative feelings and thoughts surrounding my failures. The other biblical aspect that I find is the premise of a good mentor is being a servant- leader. The concept of servant- leader is based on Jesus’ ministry. While Jesus washing His disciples feet is likely the first thought when considering servant-leader, there are numerous attributes that contribute to that make up. I consider the relationship he had with the disciples. They felt comfortable enough to wake Jesus up during the storm, as a mentor do the people I am charged with find me approachable? Delegation. Jesus, our creator and savior delegated responsibilities to the men He mentored. As a mentor am I allowing opportunity for growth and failure by delegating or am I leaving nothing to chance and assuming those roles myself? This may be a small detail, but it has always stood out to me that Jesus ensured his disciples were fed. As a mentor ( I am currently over a scholarship pageant) the first order of business is feeding my mentees. This practice is embedded in me from watching my mother do the same. Whatever capacity that requires coaching/mentoring means there is a lot of work involved. As a leader, I must emulate the creator. God created, Jesus fed, they both rested. I look forward to delving deeper into biblical principles of mentoring and the role of the leader in mentoring as I complete the developmental readings. </w:t>
      </w:r>
    </w:p>
    <w:p w:rsidR="00000000" w:rsidDel="00000000" w:rsidP="00000000" w:rsidRDefault="00000000" w:rsidRPr="00000000" w14:paraId="0000003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41">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2">
      <w:pPr>
        <w:pStyle w:val="Title"/>
        <w:tabs>
          <w:tab w:val="right" w:leader="none" w:pos="8640"/>
          <w:tab w:val="right" w:leader="none" w:pos="8640"/>
          <w:tab w:val="right" w:leader="none" w:pos="8640"/>
        </w:tabs>
        <w:spacing w:line="276" w:lineRule="auto"/>
        <w:jc w:val="left"/>
        <w:rPr/>
      </w:pPr>
      <w:r w:rsidDel="00000000" w:rsidR="00000000" w:rsidRPr="00000000">
        <w:rPr>
          <w:rtl w:val="0"/>
        </w:rPr>
        <w:t xml:space="preserve">Maxwell, J. (2020, June 11). Leadership – When it matters most: Mentoring [Video file].</w:t>
      </w:r>
    </w:p>
    <w:p w:rsidR="00000000" w:rsidDel="00000000" w:rsidP="00000000" w:rsidRDefault="00000000" w:rsidRPr="00000000" w14:paraId="00000043">
      <w:pPr>
        <w:pStyle w:val="Title"/>
        <w:tabs>
          <w:tab w:val="right" w:leader="none" w:pos="8640"/>
          <w:tab w:val="right" w:leader="none" w:pos="8640"/>
          <w:tab w:val="right" w:leader="none" w:pos="8640"/>
        </w:tabs>
        <w:spacing w:line="276" w:lineRule="auto"/>
        <w:jc w:val="left"/>
        <w:rPr/>
      </w:pPr>
      <w:r w:rsidDel="00000000" w:rsidR="00000000" w:rsidRPr="00000000">
        <w:rPr>
          <w:rtl w:val="0"/>
        </w:rPr>
        <w:tab/>
        <w:t xml:space="preserve">YouTube. https://www.youtube.com/watch?v=i9L5WIMCfdQ&amp;feature=youtu.be</w:t>
      </w:r>
    </w:p>
    <w:p w:rsidR="00000000" w:rsidDel="00000000" w:rsidP="00000000" w:rsidRDefault="00000000" w:rsidRPr="00000000" w14:paraId="00000044">
      <w:pPr>
        <w:pStyle w:val="Title"/>
        <w:tabs>
          <w:tab w:val="right" w:leader="none" w:pos="8640"/>
          <w:tab w:val="right" w:leader="none" w:pos="8640"/>
          <w:tab w:val="right" w:leader="none" w:pos="8640"/>
        </w:tabs>
        <w:spacing w:line="276" w:lineRule="auto"/>
        <w:jc w:val="left"/>
        <w:rPr/>
      </w:pPr>
      <w:bookmarkStart w:colFirst="0" w:colLast="0" w:name="_heading=h.rjkl7uwoqpu" w:id="0"/>
      <w:bookmarkEnd w:id="0"/>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s>
        <w:spacing w:line="240" w:lineRule="auto"/>
        <w:ind w:firstLine="0"/>
        <w:rPr/>
      </w:pPr>
      <w:r w:rsidDel="00000000" w:rsidR="00000000" w:rsidRPr="00000000">
        <w:rPr>
          <w:rFonts w:ascii="Arial" w:cs="Arial" w:eastAsia="Arial" w:hAnsi="Arial"/>
          <w:i w:val="1"/>
          <w:color w:val="333333"/>
          <w:sz w:val="21"/>
          <w:szCs w:val="21"/>
          <w:highlight w:val="white"/>
          <w:rtl w:val="0"/>
        </w:rPr>
        <w:t xml:space="preserve">Zondervan NIV Study Bible </w:t>
      </w:r>
      <w:r w:rsidDel="00000000" w:rsidR="00000000" w:rsidRPr="00000000">
        <w:rPr>
          <w:rFonts w:ascii="Arial" w:cs="Arial" w:eastAsia="Arial" w:hAnsi="Arial"/>
          <w:color w:val="333333"/>
          <w:sz w:val="21"/>
          <w:szCs w:val="21"/>
          <w:highlight w:val="white"/>
          <w:rtl w:val="0"/>
        </w:rPr>
        <w:t xml:space="preserve">(K. L. Barker, Ed.; Full rev. ed.). (2002). Zondervan.</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    707,     OL,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04/06/2025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nYGKMBWbwWvEwPGKXA1SHul+g==">CgMxLjAyDWgucmprbDd1d29xcHU4AHIhMWo0NDJMeUxteDVoS19GTmk4NFZYd3RYUHFzbjNEWXRS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