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CD713" w14:textId="77777777" w:rsidR="006C151F" w:rsidRDefault="006C151F" w:rsidP="009F59E9">
      <w:pPr>
        <w:ind w:firstLine="720"/>
        <w:contextualSpacing/>
      </w:pPr>
    </w:p>
    <w:p w14:paraId="5D63E591" w14:textId="77777777" w:rsidR="006C151F" w:rsidRDefault="006C151F">
      <w:pPr>
        <w:spacing w:after="160" w:line="259" w:lineRule="auto"/>
      </w:pPr>
    </w:p>
    <w:p w14:paraId="5C6ADA91" w14:textId="77777777" w:rsidR="006C151F" w:rsidRDefault="006C151F">
      <w:pPr>
        <w:spacing w:after="160" w:line="259" w:lineRule="auto"/>
      </w:pPr>
    </w:p>
    <w:p w14:paraId="0A4FE64A" w14:textId="77777777" w:rsidR="006C151F" w:rsidRDefault="006C151F">
      <w:pPr>
        <w:spacing w:after="160" w:line="259" w:lineRule="auto"/>
      </w:pPr>
    </w:p>
    <w:p w14:paraId="364250CB" w14:textId="77777777" w:rsidR="006C151F" w:rsidRDefault="006C151F">
      <w:pPr>
        <w:spacing w:after="160" w:line="259" w:lineRule="auto"/>
      </w:pPr>
    </w:p>
    <w:p w14:paraId="29224028" w14:textId="77777777" w:rsidR="006C151F" w:rsidRDefault="006C151F">
      <w:pPr>
        <w:spacing w:after="160" w:line="259" w:lineRule="auto"/>
      </w:pPr>
    </w:p>
    <w:p w14:paraId="22041227" w14:textId="77777777" w:rsidR="006C151F" w:rsidRPr="008A1DC6" w:rsidRDefault="00F66A80">
      <w:pPr>
        <w:pStyle w:val="Title"/>
      </w:pPr>
      <w:r w:rsidRPr="008A1DC6">
        <w:t>Chapter 3</w:t>
      </w:r>
    </w:p>
    <w:p w14:paraId="113930EC" w14:textId="119B762A" w:rsidR="006C151F" w:rsidRPr="008A1DC6" w:rsidRDefault="009B4788">
      <w:pPr>
        <w:spacing w:after="160" w:line="259" w:lineRule="auto"/>
        <w:jc w:val="center"/>
      </w:pPr>
      <w:r w:rsidRPr="008A1DC6">
        <w:t>Richard Nti</w:t>
      </w:r>
    </w:p>
    <w:p w14:paraId="5A167D8A" w14:textId="77777777" w:rsidR="006C151F" w:rsidRPr="008A1DC6" w:rsidRDefault="00F66A80">
      <w:pPr>
        <w:spacing w:after="160" w:line="259" w:lineRule="auto"/>
        <w:jc w:val="center"/>
      </w:pPr>
      <w:r w:rsidRPr="008A1DC6">
        <w:t>Omega Graduate School</w:t>
      </w:r>
    </w:p>
    <w:p w14:paraId="2BDAECA1" w14:textId="77777777" w:rsidR="006C151F" w:rsidRPr="008A1DC6" w:rsidRDefault="006C151F">
      <w:pPr>
        <w:spacing w:after="160" w:line="259" w:lineRule="auto"/>
        <w:jc w:val="center"/>
      </w:pPr>
    </w:p>
    <w:p w14:paraId="08B499A2" w14:textId="644FCCAD" w:rsidR="006C151F" w:rsidRDefault="00F66A80">
      <w:pPr>
        <w:spacing w:after="160" w:line="259" w:lineRule="auto"/>
        <w:jc w:val="center"/>
      </w:pPr>
      <w:r w:rsidRPr="008A1DC6">
        <w:t>Date</w:t>
      </w:r>
      <w:r w:rsidR="009B4788" w:rsidRPr="008A1DC6">
        <w:t xml:space="preserve">: </w:t>
      </w:r>
      <w:r w:rsidR="00075FBD">
        <w:t>10</w:t>
      </w:r>
      <w:r w:rsidR="004E5321">
        <w:t>/1</w:t>
      </w:r>
      <w:r w:rsidR="00075FBD">
        <w:t>8</w:t>
      </w:r>
      <w:r w:rsidR="004E5321">
        <w:t>/2024</w:t>
      </w:r>
    </w:p>
    <w:p w14:paraId="6BF17BFE" w14:textId="5650DD31" w:rsidR="004E5321" w:rsidRPr="008A1DC6" w:rsidRDefault="004E5321">
      <w:pPr>
        <w:spacing w:after="160" w:line="259" w:lineRule="auto"/>
        <w:jc w:val="center"/>
      </w:pPr>
      <w:r>
        <w:t xml:space="preserve">Dr. Sean Taladay </w:t>
      </w:r>
    </w:p>
    <w:p w14:paraId="137697B9" w14:textId="77777777" w:rsidR="006C151F" w:rsidRPr="008A1DC6" w:rsidRDefault="006C151F">
      <w:pPr>
        <w:spacing w:after="160" w:line="259" w:lineRule="auto"/>
      </w:pPr>
    </w:p>
    <w:p w14:paraId="47A74CB4" w14:textId="77777777" w:rsidR="006C151F" w:rsidRPr="008A1DC6" w:rsidRDefault="006C151F">
      <w:pPr>
        <w:spacing w:after="160" w:line="259" w:lineRule="auto"/>
      </w:pPr>
    </w:p>
    <w:p w14:paraId="78366D94" w14:textId="77777777" w:rsidR="006C151F" w:rsidRPr="008A1DC6" w:rsidRDefault="006C151F">
      <w:pPr>
        <w:spacing w:after="160" w:line="259" w:lineRule="auto"/>
      </w:pPr>
    </w:p>
    <w:p w14:paraId="5B16BEF3" w14:textId="77777777" w:rsidR="006C151F" w:rsidRPr="008A1DC6" w:rsidRDefault="006C151F">
      <w:pPr>
        <w:spacing w:after="160" w:line="259" w:lineRule="auto"/>
      </w:pPr>
    </w:p>
    <w:p w14:paraId="12A8579B" w14:textId="77777777" w:rsidR="006C151F" w:rsidRPr="008A1DC6" w:rsidRDefault="006C151F">
      <w:pPr>
        <w:spacing w:after="160" w:line="259" w:lineRule="auto"/>
      </w:pPr>
    </w:p>
    <w:p w14:paraId="5F359B4A" w14:textId="77777777" w:rsidR="006C151F" w:rsidRPr="008A1DC6" w:rsidRDefault="006C151F">
      <w:pPr>
        <w:spacing w:after="160" w:line="259" w:lineRule="auto"/>
      </w:pPr>
    </w:p>
    <w:p w14:paraId="269358C0" w14:textId="77777777" w:rsidR="006C151F" w:rsidRPr="008A1DC6" w:rsidRDefault="006C151F">
      <w:pPr>
        <w:spacing w:after="160" w:line="259" w:lineRule="auto"/>
      </w:pPr>
    </w:p>
    <w:p w14:paraId="7DC082AE" w14:textId="77777777" w:rsidR="006C151F" w:rsidRPr="008A1DC6" w:rsidRDefault="006C151F">
      <w:pPr>
        <w:spacing w:after="160" w:line="259" w:lineRule="auto"/>
      </w:pPr>
    </w:p>
    <w:p w14:paraId="5D62519C" w14:textId="77777777" w:rsidR="006C151F" w:rsidRPr="008A1DC6" w:rsidRDefault="006C151F">
      <w:pPr>
        <w:spacing w:after="160" w:line="259" w:lineRule="auto"/>
      </w:pPr>
    </w:p>
    <w:p w14:paraId="1FE1A604" w14:textId="77777777" w:rsidR="006C151F" w:rsidRPr="008A1DC6" w:rsidRDefault="006C151F">
      <w:pPr>
        <w:spacing w:after="160" w:line="259" w:lineRule="auto"/>
      </w:pPr>
    </w:p>
    <w:p w14:paraId="2EAAA0D9" w14:textId="77777777" w:rsidR="006C151F" w:rsidRPr="008A1DC6" w:rsidRDefault="006C151F">
      <w:pPr>
        <w:spacing w:after="160" w:line="259" w:lineRule="auto"/>
      </w:pPr>
    </w:p>
    <w:p w14:paraId="62E983EA" w14:textId="77777777" w:rsidR="006C151F" w:rsidRPr="008A1DC6" w:rsidRDefault="006C151F">
      <w:pPr>
        <w:spacing w:after="160" w:line="259" w:lineRule="auto"/>
      </w:pPr>
    </w:p>
    <w:p w14:paraId="3376951B" w14:textId="77777777" w:rsidR="006C151F" w:rsidRPr="008A1DC6" w:rsidRDefault="006C151F">
      <w:pPr>
        <w:spacing w:after="160" w:line="259" w:lineRule="auto"/>
      </w:pPr>
    </w:p>
    <w:p w14:paraId="0E550328" w14:textId="77777777" w:rsidR="006C151F" w:rsidRPr="008A1DC6" w:rsidRDefault="00F66A80">
      <w:pPr>
        <w:spacing w:after="160" w:line="259" w:lineRule="auto"/>
        <w:rPr>
          <w:b/>
        </w:rPr>
      </w:pPr>
      <w:r w:rsidRPr="008A1DC6">
        <w:br w:type="page"/>
      </w:r>
    </w:p>
    <w:p w14:paraId="0B4CAFE2" w14:textId="79334282" w:rsidR="007340B1" w:rsidRPr="000A1B9A" w:rsidRDefault="001D5300" w:rsidP="007340B1">
      <w:pPr>
        <w:pStyle w:val="Heading1"/>
      </w:pPr>
      <w:r w:rsidRPr="000A1B9A">
        <w:lastRenderedPageBreak/>
        <w:t xml:space="preserve">Chapter 3: Methodology </w:t>
      </w:r>
    </w:p>
    <w:p w14:paraId="2DA6FB5D" w14:textId="1A33164C" w:rsidR="00EF3D6F" w:rsidRPr="000A1B9A" w:rsidRDefault="00DC249A" w:rsidP="00346816">
      <w:pPr>
        <w:ind w:firstLine="720"/>
      </w:pPr>
      <w:bookmarkStart w:id="0" w:name="_Hlk168089225"/>
      <w:bookmarkStart w:id="1" w:name="_Hlk193693957"/>
      <w:bookmarkStart w:id="2" w:name="_Hlk195825815"/>
      <w:r w:rsidRPr="00DC249A">
        <w:t>The</w:t>
      </w:r>
      <w:r w:rsidR="00D50000">
        <w:t xml:space="preserve"> primary motivation for conducting this research came from reviewing</w:t>
      </w:r>
      <w:r w:rsidRPr="00DC249A">
        <w:t xml:space="preserve"> Boamah</w:t>
      </w:r>
      <w:r w:rsidR="00D50000">
        <w:t>’s</w:t>
      </w:r>
      <w:r w:rsidRPr="00DC249A">
        <w:t xml:space="preserve"> (2020) study on the risk of indirect trauma for direct support professionals</w:t>
      </w:r>
      <w:r w:rsidR="006D334A">
        <w:t xml:space="preserve"> (DSPs)</w:t>
      </w:r>
      <w:r w:rsidRPr="00DC249A">
        <w:t xml:space="preserve"> assisting adults with intellectual and developmental disabilities</w:t>
      </w:r>
      <w:r w:rsidR="00912747">
        <w:t xml:space="preserve"> (IDD)</w:t>
      </w:r>
      <w:r w:rsidRPr="00DC249A">
        <w:t xml:space="preserve"> and</w:t>
      </w:r>
      <w:r w:rsidR="00D50000">
        <w:t xml:space="preserve"> other</w:t>
      </w:r>
      <w:r w:rsidRPr="00DC249A">
        <w:t xml:space="preserve"> </w:t>
      </w:r>
      <w:r w:rsidR="00926332" w:rsidRPr="00DC249A">
        <w:t>literature</w:t>
      </w:r>
      <w:r w:rsidRPr="00DC249A">
        <w:t xml:space="preserve"> on the difficulties and working conditions facing these professionals</w:t>
      </w:r>
      <w:r>
        <w:t>.</w:t>
      </w:r>
      <w:r w:rsidR="006D334A">
        <w:rPr>
          <w:sz w:val="26"/>
          <w:szCs w:val="26"/>
        </w:rPr>
        <w:t xml:space="preserve"> </w:t>
      </w:r>
      <w:r w:rsidR="00DC55E8" w:rsidRPr="006F5C11">
        <w:t xml:space="preserve">Singer </w:t>
      </w:r>
      <w:r w:rsidR="00DC55E8">
        <w:t>et al</w:t>
      </w:r>
      <w:r w:rsidR="00DC55E8" w:rsidRPr="006F5C11">
        <w:t>.</w:t>
      </w:r>
      <w:r w:rsidR="00DC55E8">
        <w:t xml:space="preserve"> (</w:t>
      </w:r>
      <w:r w:rsidR="00DC55E8" w:rsidRPr="006F5C11">
        <w:t xml:space="preserve">2025) </w:t>
      </w:r>
      <w:r w:rsidR="00926332">
        <w:t>concluded</w:t>
      </w:r>
      <w:r w:rsidR="00DC55E8" w:rsidRPr="006F5C11">
        <w:t xml:space="preserve"> that it</w:t>
      </w:r>
      <w:r w:rsidR="00926332">
        <w:t xml:space="preserve"> was</w:t>
      </w:r>
      <w:r w:rsidR="00DC55E8" w:rsidRPr="006F5C11">
        <w:t xml:space="preserve"> important to </w:t>
      </w:r>
      <w:r w:rsidR="00926332">
        <w:t xml:space="preserve">understand the relationship between </w:t>
      </w:r>
      <w:r w:rsidR="00D50000">
        <w:t xml:space="preserve">the </w:t>
      </w:r>
      <w:r w:rsidR="00926332">
        <w:t xml:space="preserve">wellbeing of adult </w:t>
      </w:r>
      <w:r w:rsidR="003240DA">
        <w:t>caregivers</w:t>
      </w:r>
      <w:r w:rsidR="006D334A">
        <w:t xml:space="preserve"> </w:t>
      </w:r>
      <w:r w:rsidR="00926332">
        <w:t xml:space="preserve">and </w:t>
      </w:r>
      <w:r w:rsidR="00D50000">
        <w:t xml:space="preserve">their </w:t>
      </w:r>
      <w:r w:rsidR="00926332">
        <w:t xml:space="preserve">constructive coping. </w:t>
      </w:r>
      <w:r w:rsidR="00DC55E8" w:rsidRPr="006F5C11">
        <w:t xml:space="preserve"> </w:t>
      </w:r>
      <w:r w:rsidR="00346816" w:rsidRPr="00194601">
        <w:t>The problem</w:t>
      </w:r>
      <w:r w:rsidR="00D50000">
        <w:t xml:space="preserve"> statement of this research</w:t>
      </w:r>
      <w:r w:rsidR="00346816" w:rsidRPr="00194601">
        <w:t xml:space="preserve"> </w:t>
      </w:r>
      <w:r w:rsidR="00346816">
        <w:t xml:space="preserve">therefore is </w:t>
      </w:r>
      <w:r w:rsidR="00D50000">
        <w:t xml:space="preserve">the </w:t>
      </w:r>
      <w:r w:rsidR="00346816" w:rsidRPr="00194601">
        <w:t xml:space="preserve">psychological health issues among </w:t>
      </w:r>
      <w:r w:rsidR="00346816">
        <w:t>DSPs who work with adults with IDD in southern Minnesota. T</w:t>
      </w:r>
      <w:r w:rsidR="00EF3D6F" w:rsidRPr="000A1B9A">
        <w:t>he</w:t>
      </w:r>
      <w:r w:rsidR="007340B1" w:rsidRPr="000A1B9A">
        <w:t xml:space="preserve"> purpose of this </w:t>
      </w:r>
      <w:bookmarkStart w:id="3" w:name="_Hlk168091339"/>
      <w:r w:rsidR="007340B1" w:rsidRPr="000A1B9A">
        <w:t>quantitative correlational study is to</w:t>
      </w:r>
      <w:r w:rsidR="00661B73">
        <w:t xml:space="preserve"> examine </w:t>
      </w:r>
      <w:r w:rsidR="007340B1" w:rsidRPr="000A1B9A">
        <w:t>psychological health</w:t>
      </w:r>
      <w:r w:rsidR="00661B73">
        <w:t xml:space="preserve"> issues</w:t>
      </w:r>
      <w:r w:rsidR="007340B1" w:rsidRPr="000A1B9A">
        <w:t xml:space="preserve"> </w:t>
      </w:r>
      <w:r w:rsidR="00661B73">
        <w:t>among</w:t>
      </w:r>
      <w:r w:rsidR="007340B1" w:rsidRPr="000A1B9A">
        <w:t xml:space="preserve"> DSPs in</w:t>
      </w:r>
      <w:r w:rsidR="00346816">
        <w:t xml:space="preserve"> southern</w:t>
      </w:r>
      <w:r w:rsidR="000A10A7" w:rsidRPr="000A1B9A">
        <w:t xml:space="preserve"> </w:t>
      </w:r>
      <w:r w:rsidR="007340B1" w:rsidRPr="000A1B9A">
        <w:t>Minnesota, specifically those working in a</w:t>
      </w:r>
      <w:r w:rsidR="00462A98" w:rsidRPr="000A1B9A">
        <w:t xml:space="preserve"> community residential</w:t>
      </w:r>
      <w:r w:rsidR="007340B1" w:rsidRPr="000A1B9A">
        <w:t xml:space="preserve"> setting</w:t>
      </w:r>
      <w:r w:rsidR="00D50000">
        <w:t>s</w:t>
      </w:r>
      <w:r w:rsidR="007340B1" w:rsidRPr="000A1B9A">
        <w:t xml:space="preserve"> </w:t>
      </w:r>
      <w:r w:rsidR="00E84D0C" w:rsidRPr="000A1B9A">
        <w:t>classified as</w:t>
      </w:r>
      <w:r w:rsidR="007340B1" w:rsidRPr="000A1B9A">
        <w:t xml:space="preserve"> Minnesota H</w:t>
      </w:r>
      <w:bookmarkEnd w:id="0"/>
      <w:bookmarkEnd w:id="3"/>
      <w:r w:rsidR="00462A98" w:rsidRPr="000A1B9A">
        <w:t>ome Community Based Services (HCBS).</w:t>
      </w:r>
      <w:r w:rsidR="000A10A7" w:rsidRPr="000A1B9A">
        <w:t xml:space="preserve"> </w:t>
      </w:r>
    </w:p>
    <w:bookmarkEnd w:id="1"/>
    <w:p w14:paraId="5CE83F47" w14:textId="75F5CB9D" w:rsidR="00586325" w:rsidRDefault="003240DA" w:rsidP="009F59E9">
      <w:pPr>
        <w:ind w:firstLine="720"/>
        <w:contextualSpacing/>
      </w:pPr>
      <w:r w:rsidRPr="003240DA">
        <w:t xml:space="preserve">Researchers have </w:t>
      </w:r>
      <w:r w:rsidR="00D50000">
        <w:t>suggested</w:t>
      </w:r>
      <w:r w:rsidRPr="003240DA">
        <w:t xml:space="preserve"> that DSPs are exposed to </w:t>
      </w:r>
      <w:proofErr w:type="gramStart"/>
      <w:r w:rsidRPr="003240DA">
        <w:t>a number of</w:t>
      </w:r>
      <w:proofErr w:type="gramEnd"/>
      <w:r w:rsidRPr="003240DA">
        <w:t xml:space="preserve"> risks simply by virtue of their </w:t>
      </w:r>
      <w:r w:rsidR="00D50000">
        <w:t>occupation</w:t>
      </w:r>
      <w:r w:rsidRPr="003240DA">
        <w:t xml:space="preserve">. One such risk is secondary traumatic stress disorder (STD). According to Boamah's research, roughly 13% of DSPs who work with IDDs score at or above the suggested clinical cut-off of 38, </w:t>
      </w:r>
      <w:r w:rsidR="00D50000">
        <w:t>of DSM-IV-TR</w:t>
      </w:r>
      <w:r w:rsidR="005A5871">
        <w:t xml:space="preserve"> </w:t>
      </w:r>
      <w:r w:rsidR="00D50000">
        <w:t>(APA, 2000) criterion for PTSD</w:t>
      </w:r>
      <w:r w:rsidR="005A5871">
        <w:t>. This is an indication of</w:t>
      </w:r>
      <w:r w:rsidRPr="003240DA">
        <w:t xml:space="preserve"> a clinical level of symptoms comparable to PTSD. </w:t>
      </w:r>
      <w:r w:rsidR="00586325">
        <w:t xml:space="preserve">This research will be guided by the following research question </w:t>
      </w:r>
    </w:p>
    <w:p w14:paraId="366C5C6F" w14:textId="4B2B3D02" w:rsidR="004966ED" w:rsidRDefault="00586325" w:rsidP="009F59E9">
      <w:pPr>
        <w:ind w:firstLine="720"/>
        <w:contextualSpacing/>
      </w:pPr>
      <w:r w:rsidRPr="00586325">
        <w:rPr>
          <w:b/>
          <w:bCs/>
        </w:rPr>
        <w:t>Research question</w:t>
      </w:r>
      <w:r>
        <w:rPr>
          <w:b/>
          <w:bCs/>
        </w:rPr>
        <w:t xml:space="preserve">: </w:t>
      </w:r>
      <w:r w:rsidRPr="00586325">
        <w:t xml:space="preserve">What </w:t>
      </w:r>
      <w:r w:rsidR="00661B73" w:rsidRPr="00586325">
        <w:t>is the relationship</w:t>
      </w:r>
      <w:r w:rsidRPr="00586325">
        <w:t xml:space="preserve"> between </w:t>
      </w:r>
      <w:r w:rsidR="00661B73" w:rsidRPr="00586325">
        <w:t>psychological</w:t>
      </w:r>
      <w:r w:rsidRPr="00586325">
        <w:t xml:space="preserve"> health and psychological resilience </w:t>
      </w:r>
      <w:r w:rsidR="00661B73">
        <w:t>among</w:t>
      </w:r>
      <w:r w:rsidRPr="00586325">
        <w:t xml:space="preserve"> </w:t>
      </w:r>
      <w:r w:rsidR="004966ED">
        <w:t>DSPs in southern Minnesota?</w:t>
      </w:r>
    </w:p>
    <w:p w14:paraId="5A6AEDBE" w14:textId="31A1FD5F" w:rsidR="004966ED" w:rsidRPr="004966ED" w:rsidRDefault="004966ED" w:rsidP="004966ED">
      <w:pPr>
        <w:contextualSpacing/>
        <w:rPr>
          <w:b/>
          <w:bCs/>
        </w:rPr>
      </w:pPr>
      <w:r>
        <w:rPr>
          <w:b/>
          <w:bCs/>
        </w:rPr>
        <w:t xml:space="preserve">           Null Hypothesis</w:t>
      </w:r>
      <w:r>
        <w:t>:</w:t>
      </w:r>
      <w:r w:rsidRPr="004966ED">
        <w:t xml:space="preserve"> </w:t>
      </w:r>
      <w:r>
        <w:t xml:space="preserve">No </w:t>
      </w:r>
      <w:r w:rsidRPr="000A1B9A">
        <w:t>statistically significant relationship</w:t>
      </w:r>
      <w:r>
        <w:t xml:space="preserve"> </w:t>
      </w:r>
      <w:r w:rsidRPr="000A1B9A">
        <w:t xml:space="preserve">exists between psychological health and </w:t>
      </w:r>
      <w:r w:rsidRPr="00661B73">
        <w:t xml:space="preserve">psychological resilience </w:t>
      </w:r>
      <w:r w:rsidR="00661B73">
        <w:t>among</w:t>
      </w:r>
      <w:r w:rsidRPr="00661B73">
        <w:t xml:space="preserve"> DSPs in southern Minnesota</w:t>
      </w:r>
      <w:r w:rsidRPr="004966ED">
        <w:rPr>
          <w:b/>
          <w:bCs/>
        </w:rPr>
        <w:t>?</w:t>
      </w:r>
    </w:p>
    <w:p w14:paraId="220E3643" w14:textId="3F64BA2E" w:rsidR="00D069FA" w:rsidRDefault="004966ED" w:rsidP="00D069FA">
      <w:pPr>
        <w:contextualSpacing/>
      </w:pPr>
      <w:r w:rsidRPr="004966ED">
        <w:rPr>
          <w:b/>
          <w:bCs/>
        </w:rPr>
        <w:t xml:space="preserve">          Alternative Hypothesis</w:t>
      </w:r>
      <w:r>
        <w:rPr>
          <w:b/>
          <w:bCs/>
        </w:rPr>
        <w:t>:</w:t>
      </w:r>
      <w:r w:rsidRPr="004966ED">
        <w:t xml:space="preserve"> A statistically significant relationship exists between </w:t>
      </w:r>
      <w:r w:rsidR="00D069FA" w:rsidRPr="004966ED">
        <w:t>DSPs</w:t>
      </w:r>
      <w:r w:rsidRPr="004966ED">
        <w:t>’ psychological health and psychological resilience</w:t>
      </w:r>
      <w:r>
        <w:t xml:space="preserve"> </w:t>
      </w:r>
      <w:r w:rsidR="00661B73">
        <w:t>among DSPs in</w:t>
      </w:r>
      <w:r>
        <w:t xml:space="preserve"> southern Minnesota</w:t>
      </w:r>
      <w:r w:rsidR="003240DA">
        <w:t>.</w:t>
      </w:r>
    </w:p>
    <w:p w14:paraId="4AA78ED9" w14:textId="3BEB7F55" w:rsidR="003240DA" w:rsidRPr="003240DA" w:rsidRDefault="003240DA" w:rsidP="00221EB0">
      <w:pPr>
        <w:ind w:firstLine="720"/>
        <w:contextualSpacing/>
        <w:rPr>
          <w:b/>
          <w:bCs/>
        </w:rPr>
      </w:pPr>
      <w:bookmarkStart w:id="4" w:name="_Hlk195827201"/>
      <w:bookmarkEnd w:id="2"/>
      <w:r w:rsidRPr="003240DA">
        <w:lastRenderedPageBreak/>
        <w:t xml:space="preserve">In this chapter, I will describe the methodology used to </w:t>
      </w:r>
      <w:r w:rsidR="005A5871">
        <w:t>operationalize the research on this question.</w:t>
      </w:r>
      <w:r w:rsidRPr="003240DA">
        <w:t xml:space="preserve"> It includes the rationale for the design of the study, the selection of the population and the sample, the instruments, the methods of data collection, the analysis and synthesis of data, the reliability and validit</w:t>
      </w:r>
      <w:r w:rsidR="00DD0BA6">
        <w:t>y of instruments utilized</w:t>
      </w:r>
      <w:r w:rsidRPr="003240DA">
        <w:t xml:space="preserve">, </w:t>
      </w:r>
      <w:r w:rsidR="00DD0BA6">
        <w:t xml:space="preserve">and </w:t>
      </w:r>
      <w:r w:rsidRPr="003240DA">
        <w:t>ethical considerations and the s</w:t>
      </w:r>
      <w:r>
        <w:t>ummary</w:t>
      </w:r>
      <w:bookmarkEnd w:id="4"/>
      <w:r>
        <w:t>.</w:t>
      </w:r>
    </w:p>
    <w:p w14:paraId="7721E9C1" w14:textId="3F4CA860" w:rsidR="006C151F" w:rsidRPr="000A1B9A" w:rsidRDefault="00F66A80" w:rsidP="009561AF">
      <w:pPr>
        <w:pStyle w:val="Heading1"/>
      </w:pPr>
      <w:r w:rsidRPr="000A1B9A">
        <w:t xml:space="preserve">Research </w:t>
      </w:r>
      <w:r w:rsidR="00175820" w:rsidRPr="000A1B9A">
        <w:t>Design and Rationale</w:t>
      </w:r>
    </w:p>
    <w:p w14:paraId="4B4EE3C2" w14:textId="4F5448F6" w:rsidR="00912747" w:rsidRDefault="00416E57" w:rsidP="00DA6E12">
      <w:pPr>
        <w:ind w:firstLine="720"/>
      </w:pPr>
      <w:bookmarkStart w:id="5" w:name="_Hlk193695368"/>
      <w:bookmarkStart w:id="6" w:name="_Hlk195827235"/>
      <w:r>
        <w:t xml:space="preserve">A quantitative methodology will be used. </w:t>
      </w:r>
      <w:r w:rsidRPr="005D2779">
        <w:t xml:space="preserve">In quantitative research, variables are defined and relationships between variables are proposed, </w:t>
      </w:r>
      <w:r w:rsidR="00DD0BA6">
        <w:t>whether</w:t>
      </w:r>
      <w:r w:rsidRPr="005D2779">
        <w:t xml:space="preserve"> the variables represent </w:t>
      </w:r>
      <w:r w:rsidR="00DD0BA6">
        <w:t xml:space="preserve">either </w:t>
      </w:r>
      <w:r w:rsidRPr="005D2779">
        <w:t xml:space="preserve">tangible or intangible factors. A statistical analysis of data gathered from a population sample is then used to test and validate the suggested relationships (Powell, 2020). </w:t>
      </w:r>
      <w:r>
        <w:t xml:space="preserve">Additionally, </w:t>
      </w:r>
      <w:r w:rsidRPr="005D2779">
        <w:t xml:space="preserve">hypotheses are tested using instruments or techniques for gathering and analyzing numerical data </w:t>
      </w:r>
      <w:proofErr w:type="gramStart"/>
      <w:r w:rsidRPr="005D2779">
        <w:t>in order to</w:t>
      </w:r>
      <w:proofErr w:type="gramEnd"/>
      <w:r w:rsidRPr="005D2779">
        <w:t xml:space="preserve"> generalize the results (McCusker and Gunaydin, 2015). </w:t>
      </w:r>
    </w:p>
    <w:p w14:paraId="49051B5D" w14:textId="22381152" w:rsidR="00C51D8D" w:rsidRDefault="00416E57" w:rsidP="00B37DC5">
      <w:pPr>
        <w:ind w:firstLine="720"/>
      </w:pPr>
      <w:r w:rsidRPr="005D2779">
        <w:t xml:space="preserve">The use of validated and </w:t>
      </w:r>
      <w:r>
        <w:t>reliable</w:t>
      </w:r>
      <w:r w:rsidRPr="005D2779">
        <w:t xml:space="preserve"> instruments</w:t>
      </w:r>
      <w:r w:rsidR="00591AA4">
        <w:t xml:space="preserve"> (DASS-42 and CD-RISC-25)</w:t>
      </w:r>
      <w:r w:rsidRPr="005D2779">
        <w:t xml:space="preserve"> for gathering numerical data, determining statistical correlations between </w:t>
      </w:r>
      <w:r w:rsidR="00591AA4">
        <w:t>them</w:t>
      </w:r>
      <w:r w:rsidRPr="005D2779">
        <w:t xml:space="preserve"> and addressing hypotheses make the quantitative approach ideal</w:t>
      </w:r>
      <w:r w:rsidR="00607237">
        <w:t xml:space="preserve"> for this </w:t>
      </w:r>
      <w:r w:rsidR="00591AA4">
        <w:t>study</w:t>
      </w:r>
      <w:r w:rsidR="00591AA4" w:rsidRPr="005D2779">
        <w:t>.</w:t>
      </w:r>
      <w:r w:rsidR="00591AA4">
        <w:t xml:space="preserve"> </w:t>
      </w:r>
      <w:r w:rsidR="00AD508D">
        <w:t xml:space="preserve">The purpose of this </w:t>
      </w:r>
      <w:r w:rsidR="00550A46">
        <w:t xml:space="preserve">quantitative </w:t>
      </w:r>
      <w:r w:rsidR="00AC4700" w:rsidRPr="000A1B9A">
        <w:t xml:space="preserve">correlational research </w:t>
      </w:r>
      <w:r w:rsidR="00AC4700">
        <w:t>will be</w:t>
      </w:r>
      <w:r w:rsidR="00AC4700" w:rsidRPr="000A1B9A">
        <w:t xml:space="preserve"> to examine the relationship between psychological health and psychological resilience </w:t>
      </w:r>
      <w:r w:rsidR="00661B73">
        <w:t>among</w:t>
      </w:r>
      <w:r w:rsidR="00AC4700" w:rsidRPr="000A1B9A">
        <w:t xml:space="preserve"> </w:t>
      </w:r>
      <w:r w:rsidR="00AC4700">
        <w:t>DSPs</w:t>
      </w:r>
      <w:r w:rsidR="00AC4700" w:rsidRPr="000A1B9A">
        <w:t xml:space="preserve"> in </w:t>
      </w:r>
      <w:r w:rsidR="00AC4700">
        <w:t>southern</w:t>
      </w:r>
      <w:r w:rsidR="00AC4700" w:rsidRPr="000A1B9A">
        <w:t xml:space="preserve"> Minnesota. </w:t>
      </w:r>
    </w:p>
    <w:p w14:paraId="1D73E79D" w14:textId="6CD59BB7" w:rsidR="003E54DE" w:rsidRDefault="00046C29" w:rsidP="0004122E">
      <w:pPr>
        <w:ind w:firstLine="720"/>
      </w:pPr>
      <w:r>
        <w:t>A correlational research design will be used</w:t>
      </w:r>
      <w:r w:rsidR="003140AA">
        <w:t>. Curtis et al. (2016) stated</w:t>
      </w:r>
      <w:r w:rsidR="00DD0BA6">
        <w:t xml:space="preserve"> that</w:t>
      </w:r>
      <w:r w:rsidR="003140AA">
        <w:t xml:space="preserve"> a correlational research design is a statistical analysis to determine the existence and strength of a relationship. Bettany </w:t>
      </w:r>
      <w:proofErr w:type="spellStart"/>
      <w:r w:rsidR="003140AA">
        <w:t>Saltikov</w:t>
      </w:r>
      <w:proofErr w:type="spellEnd"/>
      <w:r w:rsidR="003140AA">
        <w:t xml:space="preserve"> and Whittaker (2014) explained that a correlational design is used to study if a relationship exists between two or more variables but the reason for the relationship is not examined. </w:t>
      </w:r>
      <w:r w:rsidR="003E54DE">
        <w:t>Moreover</w:t>
      </w:r>
      <w:r w:rsidR="003E54DE" w:rsidRPr="003E54DE">
        <w:t>, in a correlational design,</w:t>
      </w:r>
      <w:r w:rsidR="0092346F">
        <w:t xml:space="preserve"> </w:t>
      </w:r>
      <w:r w:rsidR="003E54DE" w:rsidRPr="003E54DE">
        <w:t>both variables are continuous variables (i.e., ratio or interval)</w:t>
      </w:r>
      <w:r w:rsidR="003E54DE">
        <w:t xml:space="preserve"> which is the case in this </w:t>
      </w:r>
      <w:r w:rsidR="0092346F">
        <w:t>research. The</w:t>
      </w:r>
      <w:r w:rsidR="003140AA">
        <w:t xml:space="preserve"> purpose of this study is to examine if a </w:t>
      </w:r>
      <w:r w:rsidR="003140AA">
        <w:lastRenderedPageBreak/>
        <w:t>relationship exists,</w:t>
      </w:r>
      <w:r w:rsidR="00DD0BA6">
        <w:t xml:space="preserve"> </w:t>
      </w:r>
      <w:r w:rsidR="009300D1">
        <w:t>but</w:t>
      </w:r>
      <w:r w:rsidR="003140AA">
        <w:t xml:space="preserve"> not to determine the cause of why a relationship </w:t>
      </w:r>
      <w:r w:rsidR="00AD157E">
        <w:t>exists</w:t>
      </w:r>
      <w:r w:rsidR="003140AA">
        <w:t xml:space="preserve"> or </w:t>
      </w:r>
      <w:r w:rsidR="0004122E">
        <w:t>does not</w:t>
      </w:r>
      <w:r w:rsidR="003140AA">
        <w:t xml:space="preserve"> exist (Neuman, 2011). </w:t>
      </w:r>
    </w:p>
    <w:p w14:paraId="7628B7C5" w14:textId="532BD589" w:rsidR="000B1ECA" w:rsidRPr="00CB2146" w:rsidRDefault="007E04BB" w:rsidP="00AA0414">
      <w:pPr>
        <w:ind w:firstLine="720"/>
      </w:pPr>
      <w:proofErr w:type="gramStart"/>
      <w:r w:rsidRPr="004B27AD">
        <w:t>A number of</w:t>
      </w:r>
      <w:proofErr w:type="gramEnd"/>
      <w:r w:rsidRPr="004B27AD">
        <w:t xml:space="preserve"> researchers examined the relationship between variables in their studies using Pearson correlations</w:t>
      </w:r>
      <w:r>
        <w:t>.</w:t>
      </w:r>
      <w:r w:rsidRPr="004B27AD">
        <w:t xml:space="preserve"> Consider, for example,</w:t>
      </w:r>
      <w:r w:rsidR="00DD0BA6">
        <w:t xml:space="preserve"> </w:t>
      </w:r>
      <w:r w:rsidRPr="004B27AD">
        <w:t xml:space="preserve">Mehmet et al. (2014) </w:t>
      </w:r>
      <w:r w:rsidR="00DD0BA6">
        <w:t xml:space="preserve">who </w:t>
      </w:r>
      <w:r w:rsidRPr="004B27AD">
        <w:t xml:space="preserve">used correlation analysis to find a potential link between psychological resilience and stress-coping skills in healthcare workers who experienced traumatic stress while working in hospitals following the </w:t>
      </w:r>
      <w:proofErr w:type="spellStart"/>
      <w:r w:rsidRPr="004B27AD">
        <w:t>Kahramanmaras</w:t>
      </w:r>
      <w:proofErr w:type="spellEnd"/>
      <w:r w:rsidRPr="004B27AD">
        <w:t xml:space="preserve"> earthquake.</w:t>
      </w:r>
      <w:r w:rsidR="000B1ECA">
        <w:t xml:space="preserve"> </w:t>
      </w:r>
      <w:r w:rsidR="000B1ECA" w:rsidRPr="000B1ECA">
        <w:t xml:space="preserve">Nina and Paulina (2024) also carried out a study using </w:t>
      </w:r>
      <w:r w:rsidR="00DD0BA6">
        <w:t xml:space="preserve">Pearson </w:t>
      </w:r>
      <w:r w:rsidR="000B1ECA" w:rsidRPr="000B1ECA">
        <w:t>correlation to identify the relationship between psychological resilience and secondary-traumatic stress in nurses working with terminally ill patients.</w:t>
      </w:r>
      <w:r w:rsidR="00B37DC5">
        <w:t xml:space="preserve"> Evidence from previous studies shows the use of DASS</w:t>
      </w:r>
      <w:r w:rsidR="00CB2146" w:rsidRPr="00D82F6F">
        <w:t>-42 and CD-RISC-25 for correlational studies.</w:t>
      </w:r>
      <w:r w:rsidR="00CB2146">
        <w:t xml:space="preserve"> </w:t>
      </w:r>
      <w:r w:rsidR="000B1ECA" w:rsidRPr="000B1ECA">
        <w:rPr>
          <w:rFonts w:eastAsia="Aptos"/>
          <w:kern w:val="2"/>
          <w14:ligatures w14:val="standardContextual"/>
        </w:rPr>
        <w:t xml:space="preserve">A correlational study by </w:t>
      </w:r>
      <w:proofErr w:type="spellStart"/>
      <w:r w:rsidR="000B1ECA" w:rsidRPr="000B1ECA">
        <w:rPr>
          <w:rFonts w:eastAsia="Aptos"/>
          <w:kern w:val="2"/>
          <w14:ligatures w14:val="standardContextual"/>
        </w:rPr>
        <w:t>Alonazi</w:t>
      </w:r>
      <w:proofErr w:type="spellEnd"/>
      <w:r w:rsidR="000B1ECA" w:rsidRPr="000B1ECA">
        <w:rPr>
          <w:rFonts w:eastAsia="Aptos"/>
          <w:kern w:val="2"/>
          <w14:ligatures w14:val="standardContextual"/>
        </w:rPr>
        <w:t xml:space="preserve"> et al. (2023) used CD-RISC-25 to investigate the relationship between psychological resilience and the quality of life among mental health nurses</w:t>
      </w:r>
      <w:r w:rsidR="000B1ECA">
        <w:rPr>
          <w:rFonts w:eastAsia="Aptos"/>
          <w:kern w:val="2"/>
          <w14:ligatures w14:val="standardContextual"/>
        </w:rPr>
        <w:t>.</w:t>
      </w:r>
      <w:r w:rsidR="00D507F7">
        <w:rPr>
          <w:rFonts w:eastAsia="Aptos"/>
          <w:kern w:val="2"/>
          <w14:ligatures w14:val="standardContextual"/>
        </w:rPr>
        <w:t xml:space="preserve"> </w:t>
      </w:r>
      <w:r w:rsidR="00D507F7" w:rsidRPr="00D507F7">
        <w:rPr>
          <w:rFonts w:eastAsia="Aptos"/>
          <w:kern w:val="2"/>
          <w14:ligatures w14:val="standardContextual"/>
        </w:rPr>
        <w:t>Ali et al</w:t>
      </w:r>
      <w:r w:rsidR="00CB2146">
        <w:rPr>
          <w:rFonts w:eastAsia="Aptos"/>
          <w:kern w:val="2"/>
          <w14:ligatures w14:val="standardContextual"/>
        </w:rPr>
        <w:t>.</w:t>
      </w:r>
      <w:r w:rsidR="00D507F7" w:rsidRPr="00D507F7">
        <w:rPr>
          <w:rFonts w:eastAsia="Aptos"/>
          <w:kern w:val="2"/>
          <w14:ligatures w14:val="standardContextual"/>
        </w:rPr>
        <w:t xml:space="preserve"> (2024) also conducted a correlational study to investigate the relationship between depression, anxiety, stress levels and sleep quality in patients with diabetes using DASS-42.</w:t>
      </w:r>
      <w:r w:rsidR="00424ABA" w:rsidRPr="00424ABA">
        <w:t xml:space="preserve"> </w:t>
      </w:r>
      <w:r w:rsidR="00424ABA" w:rsidRPr="00D82F6F">
        <w:t>The</w:t>
      </w:r>
      <w:r w:rsidR="00B37DC5">
        <w:t>se</w:t>
      </w:r>
      <w:r w:rsidR="00424ABA" w:rsidRPr="00D82F6F">
        <w:t xml:space="preserve"> </w:t>
      </w:r>
      <w:r w:rsidR="00DD0BA6">
        <w:t xml:space="preserve">previous findings underscore the appropriateness of using </w:t>
      </w:r>
      <w:r w:rsidR="00B37DC5">
        <w:t xml:space="preserve">correlational design </w:t>
      </w:r>
      <w:r w:rsidR="00DD0BA6">
        <w:t>for the study presented here</w:t>
      </w:r>
      <w:r w:rsidR="00B37DC5">
        <w:t>.</w:t>
      </w:r>
      <w:r w:rsidR="00424ABA">
        <w:t xml:space="preserve"> </w:t>
      </w:r>
      <w:bookmarkStart w:id="7" w:name="_Hlk195385355"/>
    </w:p>
    <w:bookmarkEnd w:id="7"/>
    <w:p w14:paraId="64F45534" w14:textId="61520B56" w:rsidR="00F63BC3" w:rsidRPr="000A1B9A" w:rsidRDefault="0004122E" w:rsidP="0004122E">
      <w:pPr>
        <w:ind w:firstLine="720"/>
      </w:pPr>
      <w:r>
        <w:t xml:space="preserve">The research question is </w:t>
      </w:r>
      <w:r w:rsidR="00DD0BA6">
        <w:t xml:space="preserve">thus </w:t>
      </w:r>
      <w:r>
        <w:t>aligned to the correlational research design and the correlation analysis</w:t>
      </w:r>
      <w:r w:rsidR="00DD0BA6">
        <w:t xml:space="preserve"> </w:t>
      </w:r>
      <w:r w:rsidR="00221EB0">
        <w:t>of</w:t>
      </w:r>
      <w:r>
        <w:t xml:space="preserve"> </w:t>
      </w:r>
      <w:r w:rsidR="009300D1">
        <w:t>the relationship between psychological health and psychological resilience among DSPs in southern Minnesota</w:t>
      </w:r>
      <w:r w:rsidR="00221EB0">
        <w:t xml:space="preserve">. </w:t>
      </w:r>
      <w:r w:rsidR="00AC4700" w:rsidRPr="00C04F0E">
        <w:t xml:space="preserve">Moreover, </w:t>
      </w:r>
      <w:r w:rsidR="00C04F0E" w:rsidRPr="00C04F0E">
        <w:t xml:space="preserve">this approach is easy to apply, relatively </w:t>
      </w:r>
      <w:r w:rsidR="009300D1" w:rsidRPr="00C04F0E">
        <w:t>ine</w:t>
      </w:r>
      <w:r w:rsidR="009300D1">
        <w:t xml:space="preserve">xpensive, </w:t>
      </w:r>
      <w:r w:rsidR="00C04F0E" w:rsidRPr="00C04F0E">
        <w:t>and provides a useful starting point for researchers who are investigating a phenomenon for the first time</w:t>
      </w:r>
      <w:r w:rsidR="009300D1">
        <w:t>. The Pearson correlation</w:t>
      </w:r>
      <w:r w:rsidR="00C04F0E" w:rsidRPr="00C04F0E">
        <w:t xml:space="preserve"> can</w:t>
      </w:r>
      <w:r w:rsidR="00965398">
        <w:t xml:space="preserve"> also</w:t>
      </w:r>
      <w:r w:rsidR="00C04F0E" w:rsidRPr="00C04F0E">
        <w:t xml:space="preserve"> determine the strength and direction of the </w:t>
      </w:r>
      <w:r w:rsidR="009300D1">
        <w:t>relationship</w:t>
      </w:r>
      <w:r w:rsidR="00C04F0E" w:rsidRPr="00C04F0E">
        <w:t xml:space="preserve"> between variable</w:t>
      </w:r>
      <w:r w:rsidR="009300D1">
        <w:t>s but not causal relationship</w:t>
      </w:r>
      <w:r w:rsidR="00C04F0E" w:rsidRPr="00C04F0E">
        <w:t xml:space="preserve"> (Polit and Beck 2012).</w:t>
      </w:r>
    </w:p>
    <w:bookmarkEnd w:id="5"/>
    <w:p w14:paraId="7610603C" w14:textId="1F0C2C12" w:rsidR="009F49B2" w:rsidRDefault="00AC4700" w:rsidP="00661B73">
      <w:pPr>
        <w:ind w:firstLine="720"/>
        <w:contextualSpacing/>
      </w:pPr>
      <w:r w:rsidRPr="00AC4700">
        <w:t xml:space="preserve">The </w:t>
      </w:r>
      <w:r w:rsidR="009300D1">
        <w:t xml:space="preserve">two </w:t>
      </w:r>
      <w:r w:rsidRPr="00AC4700">
        <w:t xml:space="preserve">variables involved </w:t>
      </w:r>
      <w:r w:rsidR="009300D1">
        <w:t xml:space="preserve">are identified here as </w:t>
      </w:r>
      <w:r w:rsidRPr="00AC4700">
        <w:t xml:space="preserve">psychological </w:t>
      </w:r>
      <w:r>
        <w:t>health</w:t>
      </w:r>
      <w:r w:rsidRPr="00AC4700">
        <w:t xml:space="preserve"> and </w:t>
      </w:r>
      <w:r>
        <w:t>psychological resilience</w:t>
      </w:r>
      <w:r w:rsidRPr="00AC4700">
        <w:t>. DASS-42, a self-</w:t>
      </w:r>
      <w:r w:rsidR="009300D1" w:rsidRPr="00AC4700">
        <w:t xml:space="preserve">report </w:t>
      </w:r>
      <w:r w:rsidR="009300D1">
        <w:t>Likert</w:t>
      </w:r>
      <w:r w:rsidR="00434FBD">
        <w:t xml:space="preserve"> type </w:t>
      </w:r>
      <w:r w:rsidRPr="00AC4700">
        <w:t xml:space="preserve">scale of 42 items designed to measure negative </w:t>
      </w:r>
      <w:r w:rsidRPr="00AC4700">
        <w:lastRenderedPageBreak/>
        <w:t xml:space="preserve">emotional states of stress, anxiety and depression (Lovibond and Lovibond, 1995), will be used </w:t>
      </w:r>
      <w:r w:rsidR="009300D1">
        <w:t>as a</w:t>
      </w:r>
      <w:r w:rsidRPr="00AC4700">
        <w:t xml:space="preserve"> measure</w:t>
      </w:r>
      <w:r w:rsidR="009300D1">
        <w:t xml:space="preserve"> for </w:t>
      </w:r>
      <w:r w:rsidR="00053037">
        <w:t>psychological health</w:t>
      </w:r>
      <w:r w:rsidR="009300D1">
        <w:t xml:space="preserve">. The </w:t>
      </w:r>
      <w:r w:rsidRPr="00AC4700">
        <w:t>CD-RISC-25, a self-report</w:t>
      </w:r>
      <w:r w:rsidR="00434FBD">
        <w:t xml:space="preserve"> Likert type</w:t>
      </w:r>
      <w:r w:rsidRPr="00AC4700">
        <w:t xml:space="preserve"> scale</w:t>
      </w:r>
      <w:r w:rsidR="00CA737A">
        <w:t xml:space="preserve"> 25 items</w:t>
      </w:r>
      <w:r w:rsidRPr="00AC4700">
        <w:t xml:space="preserve"> designed to measure resilience to adversity (Connor and Davidson, 20</w:t>
      </w:r>
      <w:r w:rsidR="00053037">
        <w:t>20</w:t>
      </w:r>
      <w:r w:rsidRPr="00AC4700">
        <w:t>), will be used to measure</w:t>
      </w:r>
      <w:r w:rsidR="00053037">
        <w:t xml:space="preserve"> psychological resilience</w:t>
      </w:r>
      <w:r w:rsidRPr="00AC4700">
        <w:t xml:space="preserve">. These variables will not be manipulated or </w:t>
      </w:r>
      <w:r w:rsidR="001A4D9C" w:rsidRPr="00AC4700">
        <w:t>contrived but</w:t>
      </w:r>
      <w:r w:rsidRPr="00AC4700">
        <w:t xml:space="preserve"> measured in their natural </w:t>
      </w:r>
      <w:r w:rsidR="00053037">
        <w:t>settings</w:t>
      </w:r>
      <w:bookmarkStart w:id="8" w:name="_Hlk193696006"/>
      <w:r w:rsidR="00053037">
        <w:t xml:space="preserve"> reinforcing the suitability of correlational design</w:t>
      </w:r>
      <w:r w:rsidR="003872FF" w:rsidRPr="003872FF">
        <w:t xml:space="preserve"> </w:t>
      </w:r>
      <w:r w:rsidR="003872FF">
        <w:t>(</w:t>
      </w:r>
      <w:proofErr w:type="spellStart"/>
      <w:r w:rsidR="003872FF">
        <w:t>Apuke</w:t>
      </w:r>
      <w:proofErr w:type="spellEnd"/>
      <w:r w:rsidR="003872FF">
        <w:t>, 2017)</w:t>
      </w:r>
    </w:p>
    <w:p w14:paraId="01ECDE3F" w14:textId="28E1DD4F" w:rsidR="00281DF6" w:rsidRDefault="00281DF6" w:rsidP="00281DF6">
      <w:pPr>
        <w:ind w:firstLine="720"/>
      </w:pPr>
      <w:r>
        <w:t>The study instruments</w:t>
      </w:r>
      <w:r w:rsidRPr="006C1F4E">
        <w:t xml:space="preserve"> </w:t>
      </w:r>
      <w:r>
        <w:t>will be administered</w:t>
      </w:r>
      <w:r w:rsidRPr="006C1F4E">
        <w:t xml:space="preserve"> using a closed-loop online survey tool </w:t>
      </w:r>
      <w:r>
        <w:t>SurveyMonkey</w:t>
      </w:r>
      <w:r w:rsidR="009300D1">
        <w:t>,</w:t>
      </w:r>
      <w:r>
        <w:t xml:space="preserve"> </w:t>
      </w:r>
      <w:r w:rsidRPr="006C1F4E">
        <w:t>to accommodate t</w:t>
      </w:r>
      <w:r>
        <w:t xml:space="preserve">he </w:t>
      </w:r>
      <w:r w:rsidRPr="006C1F4E">
        <w:t xml:space="preserve">demanding workload of study participants </w:t>
      </w:r>
      <w:proofErr w:type="gramStart"/>
      <w:r w:rsidRPr="006C1F4E">
        <w:t>in order to</w:t>
      </w:r>
      <w:proofErr w:type="gramEnd"/>
      <w:r w:rsidRPr="006C1F4E">
        <w:t xml:space="preserve"> collect as much data as possible (Curtis et al., 2016).</w:t>
      </w:r>
      <w:r>
        <w:t xml:space="preserve"> Once data has been collected, the researcher will employ quantitative statistical analysis</w:t>
      </w:r>
      <w:r w:rsidR="0048596A">
        <w:t xml:space="preserve"> PPM </w:t>
      </w:r>
      <w:r>
        <w:t xml:space="preserve">correlation to determine </w:t>
      </w:r>
      <w:r w:rsidR="009300D1">
        <w:t xml:space="preserve">the level </w:t>
      </w:r>
      <w:r w:rsidR="002F75A1">
        <w:t>of relationship</w:t>
      </w:r>
      <w:r>
        <w:t xml:space="preserve"> between the two variables (</w:t>
      </w:r>
      <w:proofErr w:type="spellStart"/>
      <w:r>
        <w:t>Laerd</w:t>
      </w:r>
      <w:proofErr w:type="spellEnd"/>
      <w:r>
        <w:t xml:space="preserve"> Statistics, 2018).  </w:t>
      </w:r>
    </w:p>
    <w:bookmarkEnd w:id="8"/>
    <w:bookmarkEnd w:id="6"/>
    <w:p w14:paraId="52C5C3B6" w14:textId="08C28BA4" w:rsidR="00CF7654" w:rsidRDefault="00B521E3" w:rsidP="009561AF">
      <w:pPr>
        <w:pStyle w:val="Heading1"/>
      </w:pPr>
      <w:r w:rsidRPr="000A1B9A">
        <w:t>Research Procedures</w:t>
      </w:r>
    </w:p>
    <w:p w14:paraId="366B64C6" w14:textId="16D724DF" w:rsidR="0041753F" w:rsidRPr="0041753F" w:rsidRDefault="0041753F" w:rsidP="0041753F">
      <w:pPr>
        <w:ind w:firstLine="720"/>
      </w:pPr>
      <w:bookmarkStart w:id="9" w:name="_Hlk195827285"/>
      <w:r w:rsidRPr="0041753F">
        <w:t>This section examines whether the process</w:t>
      </w:r>
      <w:r w:rsidR="002F75A1">
        <w:t xml:space="preserve"> applied in this study</w:t>
      </w:r>
      <w:r w:rsidRPr="0041753F">
        <w:t xml:space="preserve"> meets expectations for a quantitative c</w:t>
      </w:r>
      <w:r>
        <w:t>orrelational</w:t>
      </w:r>
      <w:r w:rsidRPr="0041753F">
        <w:t xml:space="preserve"> design. The components of the procedures include the selection of participants, data collection methods and analytical methods, all </w:t>
      </w:r>
      <w:r w:rsidR="002F75A1">
        <w:t xml:space="preserve">of which were </w:t>
      </w:r>
      <w:r w:rsidRPr="0041753F">
        <w:t>selected in accordance with the purpose of the study</w:t>
      </w:r>
      <w:bookmarkEnd w:id="9"/>
      <w:r w:rsidRPr="0041753F">
        <w:t>.</w:t>
      </w:r>
    </w:p>
    <w:p w14:paraId="1B70E8A4" w14:textId="062C10E8" w:rsidR="006C151F" w:rsidRPr="000A1B9A" w:rsidRDefault="00F66A80" w:rsidP="00331121">
      <w:pPr>
        <w:pStyle w:val="Heading2"/>
      </w:pPr>
      <w:r w:rsidRPr="000A1B9A">
        <w:t xml:space="preserve">Population and Sampling </w:t>
      </w:r>
    </w:p>
    <w:p w14:paraId="1BEE9A37" w14:textId="76C06E70" w:rsidR="0041753F" w:rsidRDefault="0041753F" w:rsidP="009F59E9">
      <w:pPr>
        <w:ind w:firstLine="720"/>
        <w:contextualSpacing/>
      </w:pPr>
      <w:bookmarkStart w:id="10" w:name="_Hlk193700890"/>
      <w:bookmarkStart w:id="11" w:name="_Hlk195827339"/>
      <w:r w:rsidRPr="0041753F">
        <w:t xml:space="preserve">The population of this study will be </w:t>
      </w:r>
      <w:r>
        <w:t>DSPs</w:t>
      </w:r>
      <w:r w:rsidRPr="0041753F">
        <w:t xml:space="preserve"> aged 18 years and over in</w:t>
      </w:r>
      <w:r>
        <w:t xml:space="preserve"> southern</w:t>
      </w:r>
      <w:r w:rsidRPr="0041753F">
        <w:t xml:space="preserve"> Minnesota, who work in community-based residential settings previously known as group homes. These DSPs will be those wh</w:t>
      </w:r>
      <w:r w:rsidR="008A7589">
        <w:t>o</w:t>
      </w:r>
      <w:r w:rsidRPr="0041753F">
        <w:t xml:space="preserve"> serve people with ID</w:t>
      </w:r>
      <w:r>
        <w:t>D</w:t>
      </w:r>
      <w:r w:rsidRPr="0041753F">
        <w:t xml:space="preserve"> and </w:t>
      </w:r>
      <w:r w:rsidR="00F25B94">
        <w:t xml:space="preserve">must have worked for at </w:t>
      </w:r>
      <w:r w:rsidRPr="0041753F">
        <w:t>least</w:t>
      </w:r>
      <w:r w:rsidR="002F75A1">
        <w:t xml:space="preserve"> 3</w:t>
      </w:r>
      <w:r>
        <w:rPr>
          <w:sz w:val="26"/>
          <w:szCs w:val="26"/>
        </w:rPr>
        <w:t xml:space="preserve"> </w:t>
      </w:r>
      <w:r w:rsidRPr="002F75A1">
        <w:t>months</w:t>
      </w:r>
      <w:bookmarkEnd w:id="10"/>
      <w:r w:rsidRPr="002F75A1">
        <w:t>.</w:t>
      </w:r>
      <w:r w:rsidRPr="000A1B9A">
        <w:t xml:space="preserve"> </w:t>
      </w:r>
    </w:p>
    <w:p w14:paraId="06B9C5D5" w14:textId="4F288EF5" w:rsidR="00DC249A" w:rsidRDefault="00DC249A" w:rsidP="00E71152">
      <w:pPr>
        <w:ind w:firstLine="720"/>
        <w:contextualSpacing/>
        <w:rPr>
          <w:sz w:val="26"/>
          <w:szCs w:val="26"/>
        </w:rPr>
      </w:pPr>
      <w:r w:rsidRPr="00DC249A">
        <w:t xml:space="preserve">The 2020 US census counted the population of the </w:t>
      </w:r>
      <w:r w:rsidR="002F75A1">
        <w:t>s</w:t>
      </w:r>
      <w:r w:rsidR="00603B71">
        <w:t xml:space="preserve">outhern </w:t>
      </w:r>
      <w:r w:rsidR="002F75A1">
        <w:t>c</w:t>
      </w:r>
      <w:r w:rsidR="00603B71" w:rsidRPr="00DC249A">
        <w:t>ounty</w:t>
      </w:r>
      <w:r w:rsidRPr="00DC249A">
        <w:t xml:space="preserve"> at 67</w:t>
      </w:r>
      <w:r w:rsidR="002F75A1">
        <w:t>,</w:t>
      </w:r>
      <w:r w:rsidRPr="00DC249A">
        <w:t>097, making it the 14th most populous of the 87 counties in Minnesota. It covers an area of 516 square miles, including seven cities and 14 municipalities. Its social services department provides community-</w:t>
      </w:r>
      <w:r w:rsidRPr="00DC249A">
        <w:lastRenderedPageBreak/>
        <w:t>based social services and financial assistance to eligible people to promote their dignity and independence</w:t>
      </w:r>
      <w:r>
        <w:rPr>
          <w:sz w:val="26"/>
          <w:szCs w:val="26"/>
        </w:rPr>
        <w:t>.</w:t>
      </w:r>
    </w:p>
    <w:p w14:paraId="1043E63D" w14:textId="45027F8D" w:rsidR="001A4D9C" w:rsidRPr="00720E23" w:rsidRDefault="00720E23" w:rsidP="00720E23">
      <w:pPr>
        <w:ind w:firstLine="720"/>
        <w:jc w:val="both"/>
      </w:pPr>
      <w:bookmarkStart w:id="12" w:name="_Hlk193696581"/>
      <w:r w:rsidRPr="003D0124">
        <w:t>G*Power analysis</w:t>
      </w:r>
      <w:r w:rsidR="00965398">
        <w:t xml:space="preserve"> is </w:t>
      </w:r>
      <w:r w:rsidR="008A7589">
        <w:t>used</w:t>
      </w:r>
      <w:r w:rsidRPr="003D0124">
        <w:t xml:space="preserve"> to find a sample size that is sufficiently large to reach a predetermined level of statistical significance and reduce the possibility of reporting inaccurate or false results (Kang, 2021).</w:t>
      </w:r>
      <w:r w:rsidR="00965398">
        <w:t xml:space="preserve"> T</w:t>
      </w:r>
      <w:r>
        <w:t>he</w:t>
      </w:r>
      <w:r w:rsidR="008506B0" w:rsidRPr="000A1B9A">
        <w:rPr>
          <w:lang w:val="en"/>
        </w:rPr>
        <w:t xml:space="preserve"> sample size </w:t>
      </w:r>
      <w:r w:rsidR="00053037">
        <w:rPr>
          <w:lang w:val="en"/>
        </w:rPr>
        <w:t>for this study with N=</w:t>
      </w:r>
      <w:r w:rsidR="00AE4E11">
        <w:rPr>
          <w:lang w:val="en"/>
        </w:rPr>
        <w:t>37</w:t>
      </w:r>
      <w:r w:rsidR="002F75A1">
        <w:rPr>
          <w:lang w:val="en"/>
        </w:rPr>
        <w:t xml:space="preserve"> has been</w:t>
      </w:r>
      <w:r w:rsidR="00053037">
        <w:rPr>
          <w:lang w:val="en"/>
        </w:rPr>
        <w:t xml:space="preserve"> calculated with the G*Power </w:t>
      </w:r>
      <w:r w:rsidR="00965398">
        <w:rPr>
          <w:lang w:val="en"/>
        </w:rPr>
        <w:t xml:space="preserve">software </w:t>
      </w:r>
      <w:r w:rsidR="002F75A1">
        <w:rPr>
          <w:lang w:val="en"/>
        </w:rPr>
        <w:t xml:space="preserve">to have </w:t>
      </w:r>
      <w:r w:rsidR="00AE4E11">
        <w:rPr>
          <w:lang w:val="en"/>
        </w:rPr>
        <w:t>an alpha</w:t>
      </w:r>
      <w:r w:rsidR="002F4CA5" w:rsidRPr="000A1B9A">
        <w:rPr>
          <w:lang w:val="en"/>
        </w:rPr>
        <w:t xml:space="preserve"> level of 0.05, a medium size effect 0.</w:t>
      </w:r>
      <w:r w:rsidR="00B018C9" w:rsidRPr="000A1B9A">
        <w:rPr>
          <w:lang w:val="en"/>
        </w:rPr>
        <w:t>5</w:t>
      </w:r>
      <w:r w:rsidR="002F4CA5" w:rsidRPr="000A1B9A">
        <w:rPr>
          <w:lang w:val="en"/>
        </w:rPr>
        <w:t xml:space="preserve"> and a power level of .</w:t>
      </w:r>
      <w:r w:rsidR="00AE4E11">
        <w:rPr>
          <w:lang w:val="en"/>
        </w:rPr>
        <w:t>9</w:t>
      </w:r>
      <w:r w:rsidR="001A4D9C" w:rsidRPr="000A1B9A">
        <w:rPr>
          <w:lang w:val="en"/>
        </w:rPr>
        <w:t>0 (</w:t>
      </w:r>
      <w:r w:rsidR="00B018C9" w:rsidRPr="000A1B9A">
        <w:rPr>
          <w:lang w:val="en"/>
        </w:rPr>
        <w:t>see appendix</w:t>
      </w:r>
      <w:r w:rsidR="001A4D9C">
        <w:rPr>
          <w:lang w:val="en"/>
        </w:rPr>
        <w:t xml:space="preserve"> A</w:t>
      </w:r>
      <w:r w:rsidR="002F4CA5" w:rsidRPr="000A1B9A">
        <w:rPr>
          <w:lang w:val="en"/>
        </w:rPr>
        <w:t>).</w:t>
      </w:r>
    </w:p>
    <w:p w14:paraId="306BC62C" w14:textId="46CE5B5D" w:rsidR="00616514" w:rsidRDefault="007915A6" w:rsidP="00801ACD">
      <w:pPr>
        <w:ind w:firstLine="720"/>
      </w:pPr>
      <w:r w:rsidRPr="00593415">
        <w:t>Convenien</w:t>
      </w:r>
      <w:r w:rsidR="002F75A1">
        <w:t>ce</w:t>
      </w:r>
      <w:r w:rsidRPr="00593415">
        <w:t xml:space="preserve"> sampling will be used to gather data.</w:t>
      </w:r>
      <w:r w:rsidR="00801ACD" w:rsidRPr="00801ACD">
        <w:t xml:space="preserve"> </w:t>
      </w:r>
      <w:r w:rsidR="00801ACD" w:rsidRPr="00FA3F9D">
        <w:t xml:space="preserve">According to Casteel and </w:t>
      </w:r>
      <w:proofErr w:type="spellStart"/>
      <w:r w:rsidR="00801ACD" w:rsidRPr="00FA3F9D">
        <w:t>Bridier</w:t>
      </w:r>
      <w:proofErr w:type="spellEnd"/>
      <w:r w:rsidR="00801ACD" w:rsidRPr="00FA3F9D">
        <w:t xml:space="preserve"> (2021), convenience sampling is a non-probability, non-random sampling technique in which study participants who fit the inclusion criteria are invited to participate because they are easily accessible or </w:t>
      </w:r>
      <w:r w:rsidR="002F75A1">
        <w:t>near</w:t>
      </w:r>
      <w:r w:rsidR="00801ACD" w:rsidRPr="00FA3F9D">
        <w:t xml:space="preserve"> the researcher.</w:t>
      </w:r>
      <w:r w:rsidR="00801ACD" w:rsidRPr="00801ACD">
        <w:t xml:space="preserve"> </w:t>
      </w:r>
      <w:r w:rsidR="00801ACD" w:rsidRPr="00812740">
        <w:t>This method, which is</w:t>
      </w:r>
      <w:r w:rsidR="002F75A1">
        <w:t xml:space="preserve"> undertaken</w:t>
      </w:r>
      <w:r w:rsidR="00801ACD" w:rsidRPr="00812740">
        <w:t xml:space="preserve"> far more </w:t>
      </w:r>
      <w:r w:rsidR="002F75A1">
        <w:t>frequently</w:t>
      </w:r>
      <w:r w:rsidR="00801ACD" w:rsidRPr="00812740">
        <w:t xml:space="preserve"> in psychological research than random sampling, typically</w:t>
      </w:r>
      <w:r w:rsidR="002F75A1">
        <w:t xml:space="preserve"> involves</w:t>
      </w:r>
      <w:r w:rsidR="00801ACD" w:rsidRPr="00812740">
        <w:t xml:space="preserve"> select</w:t>
      </w:r>
      <w:r w:rsidR="002F75A1">
        <w:t>ing</w:t>
      </w:r>
      <w:r w:rsidR="00801ACD" w:rsidRPr="00812740">
        <w:t xml:space="preserve"> participants based on their </w:t>
      </w:r>
      <w:r w:rsidR="002F75A1">
        <w:t>pragmatic obtainability</w:t>
      </w:r>
      <w:r w:rsidR="00801ACD" w:rsidRPr="00812740">
        <w:t xml:space="preserve"> to the researcher (Howitt and Cramer, 2014).</w:t>
      </w:r>
      <w:r w:rsidR="00801ACD">
        <w:t xml:space="preserve"> </w:t>
      </w:r>
      <w:r>
        <w:t xml:space="preserve">This </w:t>
      </w:r>
      <w:r w:rsidR="002F75A1">
        <w:t>technique is picked</w:t>
      </w:r>
      <w:r>
        <w:t xml:space="preserve"> for the study due to its eas</w:t>
      </w:r>
      <w:r w:rsidR="00906BE6">
        <w:t>e</w:t>
      </w:r>
      <w:r w:rsidR="00801ACD">
        <w:t>,</w:t>
      </w:r>
      <w:r>
        <w:t xml:space="preserve"> cost effectiveness,</w:t>
      </w:r>
      <w:r w:rsidR="00801ACD">
        <w:t xml:space="preserve"> time </w:t>
      </w:r>
      <w:r w:rsidR="0072170E">
        <w:t>frame and</w:t>
      </w:r>
      <w:r w:rsidR="00801ACD">
        <w:t xml:space="preserve"> availability of participants </w:t>
      </w:r>
      <w:r w:rsidR="00CF5E7F" w:rsidRPr="00CF5E7F">
        <w:t>(Emerson, 2015).</w:t>
      </w:r>
      <w:r>
        <w:t xml:space="preserve"> </w:t>
      </w:r>
      <w:bookmarkStart w:id="13" w:name="_Hlk194611284"/>
    </w:p>
    <w:p w14:paraId="6E54861C" w14:textId="7AD22C3F" w:rsidR="00BD4F37" w:rsidRDefault="00564ED0" w:rsidP="00564ED0">
      <w:pPr>
        <w:ind w:firstLine="720"/>
      </w:pPr>
      <w:proofErr w:type="gramStart"/>
      <w:r>
        <w:t>In order to</w:t>
      </w:r>
      <w:proofErr w:type="gramEnd"/>
      <w:r>
        <w:t xml:space="preserve"> be included in the study,</w:t>
      </w:r>
      <w:r w:rsidRPr="00616514">
        <w:t xml:space="preserve"> the DSP must be from southern Minnesota, be 18 years </w:t>
      </w:r>
      <w:r>
        <w:t xml:space="preserve">of age </w:t>
      </w:r>
      <w:r w:rsidRPr="00616514">
        <w:t xml:space="preserve">or older, work in a residential community </w:t>
      </w:r>
      <w:r w:rsidR="00965398">
        <w:t xml:space="preserve">setting </w:t>
      </w:r>
      <w:r w:rsidRPr="00616514">
        <w:t xml:space="preserve">previously known as a group home, </w:t>
      </w:r>
      <w:r>
        <w:t>have been employed</w:t>
      </w:r>
      <w:r w:rsidRPr="00616514">
        <w:t xml:space="preserve"> for at least </w:t>
      </w:r>
      <w:r w:rsidR="002F75A1">
        <w:t>3</w:t>
      </w:r>
      <w:r w:rsidRPr="00616514">
        <w:t xml:space="preserve"> months, and</w:t>
      </w:r>
      <w:r>
        <w:t xml:space="preserve"> serve people with IDD</w:t>
      </w:r>
      <w:r w:rsidR="002057A2">
        <w:t xml:space="preserve"> and be able to read and understand English</w:t>
      </w:r>
      <w:r>
        <w:t>. Additionally, the employer m</w:t>
      </w:r>
      <w:r w:rsidR="00C64470">
        <w:t>ay</w:t>
      </w:r>
      <w:r>
        <w:t xml:space="preserve"> designate them as either full-time or part-time. </w:t>
      </w:r>
      <w:bookmarkEnd w:id="13"/>
      <w:r w:rsidR="00616514">
        <w:t xml:space="preserve"> </w:t>
      </w:r>
    </w:p>
    <w:p w14:paraId="70474558" w14:textId="08B16E07" w:rsidR="00C55AF6" w:rsidRDefault="00C55AF6" w:rsidP="00C55AF6">
      <w:pPr>
        <w:contextualSpacing/>
        <w:rPr>
          <w:b/>
          <w:bCs/>
        </w:rPr>
      </w:pPr>
      <w:bookmarkStart w:id="14" w:name="_Hlk195827435"/>
      <w:bookmarkEnd w:id="11"/>
      <w:r>
        <w:rPr>
          <w:b/>
          <w:bCs/>
        </w:rPr>
        <w:t xml:space="preserve"> </w:t>
      </w:r>
      <w:r w:rsidRPr="00C55AF6">
        <w:rPr>
          <w:b/>
          <w:bCs/>
        </w:rPr>
        <w:t>Recruitment</w:t>
      </w:r>
    </w:p>
    <w:p w14:paraId="2FB70039" w14:textId="77777777" w:rsidR="008A31AF" w:rsidRDefault="008A31AF" w:rsidP="008A31AF">
      <w:pPr>
        <w:ind w:firstLine="720"/>
      </w:pPr>
      <w:r>
        <w:t xml:space="preserve">The researcher will contact the Adults Services Manager (gate keeper) of a county in Southern Minnesota region by e-mail to </w:t>
      </w:r>
      <w:r w:rsidRPr="00BA63A1">
        <w:t>explain the purpose of the study, provid</w:t>
      </w:r>
      <w:r>
        <w:t>e</w:t>
      </w:r>
      <w:r w:rsidRPr="00BA63A1">
        <w:t xml:space="preserve"> the necessary </w:t>
      </w:r>
      <w:r w:rsidRPr="00BA63A1">
        <w:lastRenderedPageBreak/>
        <w:t xml:space="preserve">information and documentation, and </w:t>
      </w:r>
      <w:r>
        <w:t xml:space="preserve">ask for </w:t>
      </w:r>
      <w:r w:rsidRPr="00BA63A1">
        <w:t>their cooperation (see A</w:t>
      </w:r>
      <w:r>
        <w:t>ppendix</w:t>
      </w:r>
      <w:r w:rsidRPr="00BA63A1">
        <w:t xml:space="preserve"> B for email). If a</w:t>
      </w:r>
      <w:r>
        <w:t>n affirmative</w:t>
      </w:r>
      <w:r w:rsidRPr="00BA63A1">
        <w:t xml:space="preserve"> response is received, the researcher will ask the gatekeeper to contact providers of Medicaid-funded home and community-based services employing DSPs in southern Minnesota.</w:t>
      </w:r>
      <w:r>
        <w:t xml:space="preserve"> </w:t>
      </w:r>
    </w:p>
    <w:p w14:paraId="4B669C15" w14:textId="35E6A88D" w:rsidR="008A31AF" w:rsidRDefault="008A31AF" w:rsidP="008A31AF">
      <w:pPr>
        <w:ind w:firstLine="720"/>
      </w:pPr>
      <w:r>
        <w:t xml:space="preserve">Providers who wish to participate will be given the email address of the researcher to contact. A formal email (see Appendix </w:t>
      </w:r>
      <w:r w:rsidR="00C71F88">
        <w:t>C</w:t>
      </w:r>
      <w:r>
        <w:t xml:space="preserve">) will be sent to the providers who will get in touch with the researcher, asking them to participate, outlining the purpose of the study, and requesting site authorization to enable the researcher to recruit DSPs from that organization or provider. </w:t>
      </w:r>
    </w:p>
    <w:p w14:paraId="1F225283" w14:textId="2CE83222" w:rsidR="001A7B56" w:rsidRDefault="008A31AF" w:rsidP="001A7B56">
      <w:r w:rsidRPr="00AF265C">
        <w:t xml:space="preserve">After obtaining site permission (see Appendix D) and IRB approval (see Appendix </w:t>
      </w:r>
      <w:r w:rsidR="00C71F88">
        <w:t>E</w:t>
      </w:r>
      <w:r w:rsidRPr="00AF265C">
        <w:t xml:space="preserve">), the researcher will send an email with a link to the survey to prospective participants who meet the inclusion criteria. </w:t>
      </w:r>
      <w:r w:rsidR="00965398">
        <w:t>The survey will include</w:t>
      </w:r>
      <w:r w:rsidRPr="00AF265C">
        <w:t xml:space="preserve"> a pre-screening form </w:t>
      </w:r>
      <w:r w:rsidR="00965398">
        <w:t xml:space="preserve">that participants will fill out </w:t>
      </w:r>
      <w:r w:rsidRPr="00AF265C">
        <w:t>to verify that they are eligible to take part in the research. Participants will be given the opportunity to read informed consent</w:t>
      </w:r>
      <w:r w:rsidR="00965398">
        <w:t xml:space="preserve"> (see Appendix F)</w:t>
      </w:r>
      <w:r w:rsidRPr="00AF265C">
        <w:t xml:space="preserve"> after eligibility has been determined.</w:t>
      </w:r>
      <w:r w:rsidR="001A7B56" w:rsidRPr="0021459C">
        <w:t xml:space="preserve"> </w:t>
      </w:r>
      <w:r w:rsidR="00C64470">
        <w:t>T</w:t>
      </w:r>
      <w:r w:rsidR="001A7B56" w:rsidRPr="0021459C">
        <w:t xml:space="preserve">he box at the bottom of the informed consent form </w:t>
      </w:r>
      <w:r w:rsidR="00C64470">
        <w:t>will read</w:t>
      </w:r>
      <w:r w:rsidR="001A7B56" w:rsidRPr="0021459C">
        <w:t xml:space="preserve">, "I understand that participation is voluntary, that my </w:t>
      </w:r>
      <w:r w:rsidR="001A7B56">
        <w:t xml:space="preserve">responses </w:t>
      </w:r>
      <w:r w:rsidR="001A7B56" w:rsidRPr="0021459C">
        <w:t xml:space="preserve">are confidential, and that I have the right to withdraw at any time," </w:t>
      </w:r>
    </w:p>
    <w:p w14:paraId="5AB60AA5" w14:textId="6FC6A736" w:rsidR="00C55AF6" w:rsidRPr="008A31AF" w:rsidRDefault="008A31AF" w:rsidP="001A7B56">
      <w:pPr>
        <w:ind w:firstLine="720"/>
      </w:pPr>
      <w:r w:rsidRPr="00AF265C">
        <w:t>The</w:t>
      </w:r>
      <w:r w:rsidR="00965398">
        <w:t xml:space="preserve"> complete survey </w:t>
      </w:r>
      <w:r w:rsidR="00C64470">
        <w:t xml:space="preserve">package </w:t>
      </w:r>
      <w:r w:rsidR="00965398">
        <w:t>will include</w:t>
      </w:r>
      <w:r w:rsidRPr="00AF265C">
        <w:t xml:space="preserve"> two instruments, the demographic questionnaire, and </w:t>
      </w:r>
      <w:r w:rsidR="00C64470">
        <w:t xml:space="preserve">the </w:t>
      </w:r>
      <w:r w:rsidRPr="00AF265C">
        <w:t>informed consent</w:t>
      </w:r>
      <w:r w:rsidR="00C64470">
        <w:t xml:space="preserve"> form</w:t>
      </w:r>
      <w:r w:rsidR="00965398">
        <w:t>.</w:t>
      </w:r>
      <w:r w:rsidRPr="00AF265C">
        <w:t xml:space="preserve"> Simple data like the number of years of service as a DSP, educational attainment, and gender dimension will be included in the demographic survey (see Appendix </w:t>
      </w:r>
      <w:r w:rsidR="00965398">
        <w:t>G</w:t>
      </w:r>
      <w:r w:rsidRPr="00AF265C">
        <w:t xml:space="preserve">). No personally identifiable information will be gathered </w:t>
      </w:r>
      <w:proofErr w:type="gramStart"/>
      <w:r w:rsidRPr="00AF265C">
        <w:t>in order to</w:t>
      </w:r>
      <w:proofErr w:type="gramEnd"/>
      <w:r w:rsidRPr="00AF265C">
        <w:t xml:space="preserve"> protect the survey's privacy</w:t>
      </w:r>
      <w:r>
        <w:t>.</w:t>
      </w:r>
      <w:r w:rsidR="00C55AF6">
        <w:rPr>
          <w:b/>
          <w:bCs/>
        </w:rPr>
        <w:tab/>
      </w:r>
    </w:p>
    <w:bookmarkEnd w:id="12"/>
    <w:p w14:paraId="06402FAE" w14:textId="1990EA00" w:rsidR="00675961" w:rsidRPr="000A1B9A" w:rsidRDefault="00F1469E" w:rsidP="00331121">
      <w:pPr>
        <w:pStyle w:val="Heading2"/>
      </w:pPr>
      <w:r w:rsidRPr="000A1B9A">
        <w:t xml:space="preserve"> </w:t>
      </w:r>
      <w:r w:rsidR="00F66A80" w:rsidRPr="000A1B9A">
        <w:t xml:space="preserve">Instrumentation </w:t>
      </w:r>
    </w:p>
    <w:p w14:paraId="7E92D99E" w14:textId="58AB53FF" w:rsidR="0015715E" w:rsidRPr="000A1B9A" w:rsidRDefault="00F14BCE" w:rsidP="0015715E">
      <w:pPr>
        <w:ind w:firstLine="720"/>
      </w:pPr>
      <w:r>
        <w:t>T</w:t>
      </w:r>
      <w:r w:rsidRPr="000A1B9A">
        <w:t>he purpose of this quantitative correlational study is to</w:t>
      </w:r>
      <w:r>
        <w:t xml:space="preserve"> </w:t>
      </w:r>
      <w:r w:rsidR="00C64470">
        <w:t>examine</w:t>
      </w:r>
      <w:r>
        <w:t xml:space="preserve"> </w:t>
      </w:r>
      <w:r w:rsidRPr="000A1B9A">
        <w:t>psychological health</w:t>
      </w:r>
      <w:r>
        <w:t xml:space="preserve"> issues</w:t>
      </w:r>
      <w:r w:rsidRPr="000A1B9A">
        <w:t xml:space="preserve"> </w:t>
      </w:r>
      <w:r>
        <w:t>among</w:t>
      </w:r>
      <w:r w:rsidRPr="000A1B9A">
        <w:t xml:space="preserve"> DSPs in</w:t>
      </w:r>
      <w:r>
        <w:t xml:space="preserve"> southern</w:t>
      </w:r>
      <w:r w:rsidRPr="000A1B9A">
        <w:t xml:space="preserve"> Minnesota, specifically those working in a community residential setting</w:t>
      </w:r>
      <w:r w:rsidR="00C64470">
        <w:t xml:space="preserve">s </w:t>
      </w:r>
      <w:r w:rsidRPr="000A1B9A">
        <w:t xml:space="preserve">classified as Minnesota Home Community Based Services (HCBS). </w:t>
      </w:r>
    </w:p>
    <w:p w14:paraId="54CD85F5" w14:textId="7F4F1233" w:rsidR="000506F7" w:rsidRPr="000A1B9A" w:rsidRDefault="0015715E" w:rsidP="000506F7">
      <w:pPr>
        <w:ind w:firstLine="720"/>
        <w:contextualSpacing/>
      </w:pPr>
      <w:bookmarkStart w:id="15" w:name="_Hlk193705180"/>
      <w:r w:rsidRPr="00D54F77">
        <w:lastRenderedPageBreak/>
        <w:t>Two instruments will be used in the study to gather information on relevant variables and provide an answer to the research question</w:t>
      </w:r>
      <w:r>
        <w:t xml:space="preserve">. </w:t>
      </w:r>
      <w:r w:rsidR="00DD1E41" w:rsidRPr="000A1B9A">
        <w:t>The first tool is the Connor-Davidson Resilience Scale (CD-RISC-25) (</w:t>
      </w:r>
      <w:r w:rsidR="00E12C0D" w:rsidRPr="000A1B9A">
        <w:t xml:space="preserve">see </w:t>
      </w:r>
      <w:r w:rsidR="00DD1E41" w:rsidRPr="000A1B9A">
        <w:t>Appendix</w:t>
      </w:r>
      <w:r w:rsidR="00F14BCE">
        <w:t xml:space="preserve"> </w:t>
      </w:r>
      <w:r w:rsidR="00C64470">
        <w:t>H</w:t>
      </w:r>
      <w:r w:rsidR="00DC2C6A" w:rsidRPr="000A1B9A">
        <w:t>), which will be used to measure psychological resilience (</w:t>
      </w:r>
      <w:r w:rsidR="00BC25D3" w:rsidRPr="000A1B9A">
        <w:t>Connor &amp; Davidson, 2003)</w:t>
      </w:r>
      <w:r w:rsidR="00936690" w:rsidRPr="000A1B9A">
        <w:t>,</w:t>
      </w:r>
      <w:r w:rsidR="00FC3378" w:rsidRPr="00FC3378">
        <w:t xml:space="preserve"> </w:t>
      </w:r>
      <w:r w:rsidR="00FC3378">
        <w:t>Permission</w:t>
      </w:r>
      <w:r w:rsidR="006876C5">
        <w:t xml:space="preserve"> request</w:t>
      </w:r>
      <w:r w:rsidR="00FC3378">
        <w:t xml:space="preserve"> </w:t>
      </w:r>
      <w:r w:rsidR="00C64470">
        <w:t xml:space="preserve">from the author </w:t>
      </w:r>
      <w:r w:rsidR="00FC3378">
        <w:t xml:space="preserve">to use the instrument is included in the appendices (see Appendix </w:t>
      </w:r>
      <w:r w:rsidR="00C64470">
        <w:t>I</w:t>
      </w:r>
      <w:r w:rsidR="00FC3378">
        <w:t>).</w:t>
      </w:r>
      <w:r w:rsidR="00DC2C6A" w:rsidRPr="000A1B9A">
        <w:t xml:space="preserve"> </w:t>
      </w:r>
      <w:r w:rsidR="00FC3378">
        <w:t>The</w:t>
      </w:r>
      <w:r w:rsidR="00DD1E41" w:rsidRPr="000A1B9A">
        <w:t xml:space="preserve"> second tool is</w:t>
      </w:r>
      <w:r w:rsidR="00FA6070" w:rsidRPr="000A1B9A">
        <w:t xml:space="preserve"> the</w:t>
      </w:r>
      <w:r w:rsidR="00DD1E41" w:rsidRPr="000A1B9A">
        <w:t xml:space="preserve"> Depression Anxiety Stress Scales (DASS-42) (</w:t>
      </w:r>
      <w:r w:rsidR="00FC3378">
        <w:t>See</w:t>
      </w:r>
      <w:r w:rsidR="00E12C0D" w:rsidRPr="000A1B9A">
        <w:t xml:space="preserve"> </w:t>
      </w:r>
      <w:r w:rsidR="00DD1E41" w:rsidRPr="000A1B9A">
        <w:t>Appendix</w:t>
      </w:r>
      <w:r w:rsidR="00C64470">
        <w:t xml:space="preserve"> J</w:t>
      </w:r>
      <w:r w:rsidR="00DD1E41" w:rsidRPr="000A1B9A">
        <w:t>)</w:t>
      </w:r>
      <w:r w:rsidR="00DC2C6A" w:rsidRPr="000A1B9A">
        <w:t xml:space="preserve">, </w:t>
      </w:r>
      <w:r w:rsidR="006D3A51" w:rsidRPr="000A1B9A">
        <w:t xml:space="preserve">that </w:t>
      </w:r>
      <w:r w:rsidR="00F76152" w:rsidRPr="000A1B9A">
        <w:t>will</w:t>
      </w:r>
      <w:r w:rsidR="00C64470">
        <w:t xml:space="preserve"> be used to</w:t>
      </w:r>
      <w:r w:rsidR="00F76152" w:rsidRPr="000A1B9A">
        <w:t xml:space="preserve"> </w:t>
      </w:r>
      <w:r w:rsidR="006D3A51" w:rsidRPr="000A1B9A">
        <w:t>measure</w:t>
      </w:r>
      <w:r w:rsidR="00DC2C6A" w:rsidRPr="000A1B9A">
        <w:t xml:space="preserve"> </w:t>
      </w:r>
      <w:r w:rsidR="000506F7" w:rsidRPr="000A1B9A">
        <w:t>psychological</w:t>
      </w:r>
      <w:r w:rsidR="00DC2C6A" w:rsidRPr="000A1B9A">
        <w:t xml:space="preserve"> </w:t>
      </w:r>
      <w:r w:rsidR="00FA6070" w:rsidRPr="000A1B9A">
        <w:t>health (</w:t>
      </w:r>
      <w:r w:rsidR="00DC2C6A" w:rsidRPr="000A1B9A">
        <w:t>Lovibond and Lovibond</w:t>
      </w:r>
      <w:r w:rsidR="00BC25D3" w:rsidRPr="000A1B9A">
        <w:t>, 1995</w:t>
      </w:r>
      <w:r w:rsidR="00F76152" w:rsidRPr="000A1B9A">
        <w:t>)</w:t>
      </w:r>
      <w:r w:rsidR="00DC2C6A" w:rsidRPr="000A1B9A">
        <w:t>.</w:t>
      </w:r>
      <w:r w:rsidR="00FC3378">
        <w:t xml:space="preserve"> The </w:t>
      </w:r>
      <w:r w:rsidR="00A6414C">
        <w:t xml:space="preserve">DASS </w:t>
      </w:r>
      <w:r w:rsidR="00FC3378">
        <w:t>instrument is available free of charge</w:t>
      </w:r>
      <w:r w:rsidR="000506F7">
        <w:t xml:space="preserve">, </w:t>
      </w:r>
      <w:r w:rsidR="00A6414C">
        <w:t>is public domain and no permission is required to use it (</w:t>
      </w:r>
      <w:hyperlink r:id="rId8" w:history="1">
        <w:r w:rsidR="00A6414C" w:rsidRPr="00F077DD">
          <w:rPr>
            <w:rStyle w:val="Hyperlink"/>
          </w:rPr>
          <w:t>http://www.psy.unsw.edu.au/dass/</w:t>
        </w:r>
      </w:hyperlink>
      <w:r w:rsidR="00A6414C">
        <w:t xml:space="preserve">). </w:t>
      </w:r>
      <w:r w:rsidR="00DC2C6A" w:rsidRPr="000A1B9A">
        <w:t xml:space="preserve"> </w:t>
      </w:r>
    </w:p>
    <w:bookmarkEnd w:id="15"/>
    <w:p w14:paraId="3179DE40" w14:textId="4E8A5C24" w:rsidR="00DC2C6A" w:rsidRPr="000A1B9A" w:rsidRDefault="00DC2C6A" w:rsidP="00A14770">
      <w:pPr>
        <w:rPr>
          <w:b/>
          <w:bCs/>
          <w:i/>
          <w:iCs/>
        </w:rPr>
      </w:pPr>
      <w:r w:rsidRPr="000A1B9A">
        <w:rPr>
          <w:b/>
          <w:bCs/>
          <w:i/>
          <w:iCs/>
        </w:rPr>
        <w:t>Connor Davidson Resilience Scale</w:t>
      </w:r>
    </w:p>
    <w:p w14:paraId="649687FE" w14:textId="69CA8120" w:rsidR="00E608D1" w:rsidRDefault="006A2ADC" w:rsidP="00E608D1">
      <w:pPr>
        <w:ind w:firstLine="720"/>
      </w:pPr>
      <w:r w:rsidRPr="006A2ADC">
        <w:t xml:space="preserve">The CD-RISC was developed by Kathryn M. Connor and Jonathan R.T. Davidson to complement existing resilience metrics (Connor and Davidson, 2003). They argued that existing resilience indices were inadequate because </w:t>
      </w:r>
      <w:r>
        <w:t xml:space="preserve">they lacked generalizability </w:t>
      </w:r>
      <w:r w:rsidRPr="006A2ADC">
        <w:t>(Connor &amp; Davidson, 2003).</w:t>
      </w:r>
      <w:r w:rsidR="000506F7">
        <w:t xml:space="preserve"> I</w:t>
      </w:r>
      <w:r w:rsidR="00E608D1" w:rsidRPr="00E608D1">
        <w:t>t is among the most popular instruments</w:t>
      </w:r>
      <w:r w:rsidR="000506F7">
        <w:t xml:space="preserve"> for evaluating psychological resilience </w:t>
      </w:r>
      <w:r w:rsidR="00E608D1" w:rsidRPr="00E608D1">
        <w:t>(</w:t>
      </w:r>
      <w:proofErr w:type="spellStart"/>
      <w:r w:rsidR="00E608D1" w:rsidRPr="00E608D1">
        <w:t>Zagalaz</w:t>
      </w:r>
      <w:proofErr w:type="spellEnd"/>
      <w:r w:rsidR="00E608D1" w:rsidRPr="00E608D1">
        <w:t xml:space="preserve"> et al. in 2020).</w:t>
      </w:r>
    </w:p>
    <w:p w14:paraId="379DE4B3" w14:textId="569D35EB" w:rsidR="00B90C25" w:rsidRPr="00B90C25" w:rsidRDefault="006A2ADC" w:rsidP="00B90C25">
      <w:pPr>
        <w:ind w:firstLine="720"/>
      </w:pPr>
      <w:r w:rsidRPr="006A2ADC">
        <w:t>Connor and Davidson (2003) originally developed a 25-item scale with 577 participants</w:t>
      </w:r>
      <w:r w:rsidR="00B90C25">
        <w:t xml:space="preserve"> from the general population </w:t>
      </w:r>
      <w:r w:rsidR="00E608D1">
        <w:t>across</w:t>
      </w:r>
      <w:r w:rsidR="00B90C25">
        <w:t xml:space="preserve"> United States </w:t>
      </w:r>
      <w:r w:rsidRPr="006A2ADC">
        <w:t>and the scale consistently produced a Cronbach's alpha coefficient between 0.89 and 0.93 (Davidson &amp; Connor, 2018; Debb, Colson, Hacker, &amp; Park, 2016).</w:t>
      </w:r>
      <w:r w:rsidR="00B90C25" w:rsidRPr="00B90C25">
        <w:t xml:space="preserve"> Mealer et al. (2016) evaluated the reliability and known group differences of the CD-RISC on critical care nurses through a psychometric analysis that used exploratory factor analysis (EFA) and confirmatory factor analysis (CFA). Two samples of participants in clinical trials for PTSD and generalized anxiety disorder were evaluated </w:t>
      </w:r>
      <w:proofErr w:type="gramStart"/>
      <w:r w:rsidR="00B90C25" w:rsidRPr="00B90C25">
        <w:t>in order to</w:t>
      </w:r>
      <w:proofErr w:type="gramEnd"/>
      <w:r w:rsidR="00B90C25" w:rsidRPr="00B90C25">
        <w:t xml:space="preserve"> calculate test-retest reliability. The instrument's long-term stability was demonstrated by the high degree of agreement between</w:t>
      </w:r>
      <w:r w:rsidR="000506F7">
        <w:t xml:space="preserve"> people across</w:t>
      </w:r>
      <w:r w:rsidR="00B90C25" w:rsidRPr="00B90C25">
        <w:t xml:space="preserve"> the two time periods</w:t>
      </w:r>
      <w:r w:rsidR="00E608D1">
        <w:t xml:space="preserve">. </w:t>
      </w:r>
    </w:p>
    <w:p w14:paraId="10D8D825" w14:textId="11637123" w:rsidR="006A2ADC" w:rsidRPr="006A2ADC" w:rsidRDefault="006A2ADC" w:rsidP="006A2ADC">
      <w:pPr>
        <w:ind w:firstLine="720"/>
      </w:pPr>
      <w:r w:rsidRPr="006A2ADC">
        <w:lastRenderedPageBreak/>
        <w:t>It</w:t>
      </w:r>
      <w:r>
        <w:t xml:space="preserve"> is</w:t>
      </w:r>
      <w:r w:rsidRPr="006A2ADC">
        <w:t xml:space="preserve"> a self-administered five-point </w:t>
      </w:r>
      <w:r>
        <w:t xml:space="preserve">Likert-type </w:t>
      </w:r>
      <w:r w:rsidRPr="006A2ADC">
        <w:t xml:space="preserve">scale ranging from not </w:t>
      </w:r>
      <w:r>
        <w:t xml:space="preserve">true </w:t>
      </w:r>
      <w:r w:rsidRPr="006A2ADC">
        <w:t xml:space="preserve">at all = 0 to </w:t>
      </w:r>
      <w:r>
        <w:t>true nearly all time</w:t>
      </w:r>
      <w:r w:rsidRPr="006A2ADC">
        <w:t xml:space="preserve"> = 4. The total score is obtained by adding together all 25 items, giving a summary score that can vary from 0 to 100. A higher score indicates a greater level of resilience and vice versa. </w:t>
      </w:r>
      <w:r w:rsidR="000506F7">
        <w:t xml:space="preserve">Connor and Davidson </w:t>
      </w:r>
      <w:r w:rsidR="000506F7" w:rsidRPr="006A2ADC">
        <w:t>assess</w:t>
      </w:r>
      <w:r w:rsidRPr="006A2ADC">
        <w:t xml:space="preserve"> overall personal resilience by considering the following seven constructs: hardiness(commitment/challenge/control), coping,</w:t>
      </w:r>
      <w:r>
        <w:t xml:space="preserve"> </w:t>
      </w:r>
      <w:r w:rsidRPr="006A2ADC">
        <w:t xml:space="preserve">adaptability/flexibility, meaningfulness/purpose, optimism, regulation of emotion and cognition, and self-efficacy. In some cases, </w:t>
      </w:r>
      <w:r w:rsidR="000506F7">
        <w:t>an item</w:t>
      </w:r>
      <w:r w:rsidRPr="006A2ADC">
        <w:t xml:space="preserve"> overlap</w:t>
      </w:r>
      <w:r w:rsidR="000506F7">
        <w:t>s</w:t>
      </w:r>
      <w:r w:rsidRPr="006A2ADC">
        <w:t xml:space="preserve"> more than one of these constructs (Connor &amp; Davidson, 2020). </w:t>
      </w:r>
    </w:p>
    <w:p w14:paraId="69E8AAA0" w14:textId="6FD41A95" w:rsidR="006A2ADC" w:rsidRPr="006A2ADC" w:rsidRDefault="006A2ADC" w:rsidP="006A2ADC">
      <w:pPr>
        <w:ind w:firstLine="720"/>
        <w:contextualSpacing/>
      </w:pPr>
      <w:r w:rsidRPr="006A2ADC">
        <w:t xml:space="preserve">The internal consistency and test-retest reliability of the CD-RISC has been demonstrated in clinical trials and in the community, which has led to its being changed </w:t>
      </w:r>
      <w:r w:rsidR="000506F7">
        <w:t>in</w:t>
      </w:r>
      <w:r w:rsidRPr="006A2ADC">
        <w:t xml:space="preserve"> different versions (Connor and Zhang, 2006).</w:t>
      </w:r>
      <w:r w:rsidR="008A7589">
        <w:t xml:space="preserve"> </w:t>
      </w:r>
      <w:r w:rsidRPr="006A2ADC">
        <w:t>Windle et al.</w:t>
      </w:r>
      <w:r>
        <w:t xml:space="preserve"> (</w:t>
      </w:r>
      <w:r w:rsidRPr="006A2ADC">
        <w:t xml:space="preserve">2011) reviewed nineteen scales of resilience in the adult population and concluded that the CD-RISC </w:t>
      </w:r>
      <w:r w:rsidR="00351829">
        <w:t>was</w:t>
      </w:r>
      <w:r w:rsidRPr="006A2ADC">
        <w:t xml:space="preserve"> among the three scales of resilience that receive</w:t>
      </w:r>
      <w:r w:rsidR="00351829">
        <w:t>d</w:t>
      </w:r>
      <w:r w:rsidRPr="006A2ADC">
        <w:t xml:space="preserve"> the highest scores in terms of psychometric quality. Lamond et al</w:t>
      </w:r>
      <w:r w:rsidR="00351829">
        <w:t>.</w:t>
      </w:r>
      <w:r w:rsidRPr="006A2ADC">
        <w:t xml:space="preserve"> (2008) performed a study in a total of 1395 women over 60 years of age</w:t>
      </w:r>
      <w:r w:rsidR="00C3555A">
        <w:t>,</w:t>
      </w:r>
      <w:r w:rsidR="000506F7">
        <w:t xml:space="preserve"> in</w:t>
      </w:r>
      <w:r w:rsidR="00C3555A">
        <w:t xml:space="preserve"> San Diego, </w:t>
      </w:r>
      <w:r w:rsidRPr="006A2ADC">
        <w:t xml:space="preserve">using the CD-RISC to measure and predict resilience. The scale showed a high internal consistency (Cronbach's alpha = 0.92).  </w:t>
      </w:r>
    </w:p>
    <w:p w14:paraId="3AEC2E8D" w14:textId="7B3B0700" w:rsidR="00380CBE" w:rsidRPr="000A1B9A" w:rsidRDefault="006A2ADC" w:rsidP="006A2ADC">
      <w:pPr>
        <w:ind w:firstLine="720"/>
        <w:contextualSpacing/>
      </w:pPr>
      <w:r w:rsidRPr="006A2ADC">
        <w:t xml:space="preserve">Scores on CD-RISC have been compared to several scales designed to measure the same or a similar </w:t>
      </w:r>
      <w:proofErr w:type="gramStart"/>
      <w:r w:rsidRPr="006A2ADC">
        <w:t>construct</w:t>
      </w:r>
      <w:proofErr w:type="gramEnd"/>
      <w:r w:rsidRPr="006A2ADC">
        <w:t xml:space="preserve">. </w:t>
      </w:r>
      <w:r w:rsidR="00C3555A">
        <w:t>The</w:t>
      </w:r>
      <w:r w:rsidRPr="006A2ADC">
        <w:t xml:space="preserve"> scores have been significantly positively correlated with a measure of hardiness (Connor &amp; Davidson, 2003). Convergent validity was assessed by correlating the CD-RISC-25 with measures of hardiness, perceived stress, stress vulnerability, measures of disability and social support</w:t>
      </w:r>
      <w:r>
        <w:t>, and all</w:t>
      </w:r>
      <w:r w:rsidRPr="006A2ADC">
        <w:t xml:space="preserve"> were</w:t>
      </w:r>
      <w:r>
        <w:t xml:space="preserve"> found</w:t>
      </w:r>
      <w:r w:rsidRPr="006A2ADC">
        <w:t xml:space="preserve"> to be significantly correlated</w:t>
      </w:r>
      <w:r>
        <w:t xml:space="preserve"> </w:t>
      </w:r>
      <w:r w:rsidRPr="006A2ADC">
        <w:t xml:space="preserve">(Kobasa et al.1979; Cohen et al., </w:t>
      </w:r>
      <w:r w:rsidR="00626464" w:rsidRPr="006A2ADC">
        <w:t>1983; Sheehan</w:t>
      </w:r>
      <w:r w:rsidRPr="006A2ADC">
        <w:t xml:space="preserve"> et al., 1990; Sheehan et al., 1983; Sheehan, 1990, Connor and Davidson 2003).</w:t>
      </w:r>
    </w:p>
    <w:p w14:paraId="7E3A83AC" w14:textId="77777777" w:rsidR="00626464" w:rsidRDefault="003D3784" w:rsidP="00626464">
      <w:r w:rsidRPr="000A1B9A">
        <w:rPr>
          <w:b/>
          <w:bCs/>
          <w:i/>
          <w:iCs/>
        </w:rPr>
        <w:lastRenderedPageBreak/>
        <w:t>DASS-42</w:t>
      </w:r>
      <w:r w:rsidR="00626464">
        <w:t xml:space="preserve"> </w:t>
      </w:r>
    </w:p>
    <w:p w14:paraId="5C9EA2B8" w14:textId="77777777" w:rsidR="00626464" w:rsidRDefault="00626464" w:rsidP="00626464">
      <w:pPr>
        <w:ind w:firstLine="720"/>
      </w:pPr>
      <w:r w:rsidRPr="001E4048">
        <w:t>Lovibond and Lovibond (1995) created the DASS-42, a self-report instrument, to highlight the similarities between the symptoms of anxiety and depression as well as the differences between them. Transcultural validity has been demonstrated, and it has been translated into numerous languages</w:t>
      </w:r>
      <w:r w:rsidRPr="000A1B9A">
        <w:t xml:space="preserve"> (</w:t>
      </w:r>
      <w:hyperlink r:id="rId9" w:history="1">
        <w:r w:rsidRPr="00C827C6">
          <w:rPr>
            <w:rStyle w:val="Hyperlink"/>
          </w:rPr>
          <w:t>http://www2.psy.unsw.edu.au/dass/</w:t>
        </w:r>
      </w:hyperlink>
      <w:r w:rsidRPr="000A1B9A">
        <w:t>).</w:t>
      </w:r>
      <w:r>
        <w:t xml:space="preserve"> </w:t>
      </w:r>
      <w:r w:rsidRPr="001E4048">
        <w:t>Clark and Watson's (1991) tripartite model of anxiety and depression serves as the theoretical basis for the DASS-42</w:t>
      </w:r>
      <w:r>
        <w:t xml:space="preserve">. </w:t>
      </w:r>
    </w:p>
    <w:p w14:paraId="3B32F0C1" w14:textId="29EF41FB" w:rsidR="00786BD1" w:rsidRPr="00626464" w:rsidRDefault="00317E00" w:rsidP="00626464">
      <w:pPr>
        <w:ind w:firstLine="720"/>
        <w:rPr>
          <w:b/>
          <w:bCs/>
          <w:i/>
          <w:iCs/>
        </w:rPr>
      </w:pPr>
      <w:r w:rsidRPr="00626464">
        <w:t>DASS</w:t>
      </w:r>
      <w:r w:rsidR="00626464" w:rsidRPr="00626464">
        <w:t>-42 has been tested for its reliability and validity in different contexts and has been empirically tested in a variety of cultures.</w:t>
      </w:r>
      <w:r w:rsidR="00DA7338" w:rsidRPr="000A1B9A">
        <w:t xml:space="preserve"> Zawislak et al</w:t>
      </w:r>
      <w:r w:rsidR="009F52D8" w:rsidRPr="000A1B9A">
        <w:t>.</w:t>
      </w:r>
      <w:r w:rsidR="00DA7338" w:rsidRPr="000A1B9A">
        <w:t xml:space="preserve"> </w:t>
      </w:r>
      <w:r w:rsidR="00334ED2" w:rsidRPr="000A1B9A">
        <w:t>(</w:t>
      </w:r>
      <w:r w:rsidR="00DA7338" w:rsidRPr="000A1B9A">
        <w:t>2020) sh</w:t>
      </w:r>
      <w:r w:rsidR="00511318">
        <w:t>owed</w:t>
      </w:r>
      <w:r w:rsidR="00DA7338" w:rsidRPr="000A1B9A">
        <w:t xml:space="preserve"> construct validity and reliability </w:t>
      </w:r>
      <w:r w:rsidR="00A14839" w:rsidRPr="000A1B9A">
        <w:t>among</w:t>
      </w:r>
      <w:r w:rsidR="00DA7338" w:rsidRPr="000A1B9A">
        <w:t xml:space="preserve"> </w:t>
      </w:r>
      <w:r w:rsidR="00C3555A">
        <w:t xml:space="preserve">medical </w:t>
      </w:r>
      <w:r w:rsidR="008A4684" w:rsidRPr="000A1B9A">
        <w:t>students</w:t>
      </w:r>
      <w:r w:rsidR="00C3555A">
        <w:t xml:space="preserve"> in Poland</w:t>
      </w:r>
      <w:r w:rsidR="00A14839" w:rsidRPr="000A1B9A">
        <w:t xml:space="preserve"> but</w:t>
      </w:r>
      <w:r w:rsidR="00DA7338" w:rsidRPr="000A1B9A">
        <w:t xml:space="preserve"> not </w:t>
      </w:r>
      <w:r w:rsidR="000506F7">
        <w:t xml:space="preserve">in </w:t>
      </w:r>
      <w:r w:rsidR="00DA7338" w:rsidRPr="000A1B9A">
        <w:t>the general population.</w:t>
      </w:r>
      <w:bookmarkStart w:id="16" w:name="_Hlk193836901"/>
      <w:r>
        <w:t xml:space="preserve"> </w:t>
      </w:r>
      <w:r w:rsidRPr="00317E00">
        <w:t xml:space="preserve">The validity of the DASS-42 has been examined in outpatient groups of people with anxiety and depression, myocardial infarction patients, insomnia patients, and patients receiving treatment for menopausal, sexual, and depressive disorders </w:t>
      </w:r>
      <w:r w:rsidR="00C3555A">
        <w:t xml:space="preserve">in the Polish population </w:t>
      </w:r>
      <w:r w:rsidRPr="00317E00">
        <w:t>(Makara-</w:t>
      </w:r>
      <w:proofErr w:type="spellStart"/>
      <w:r w:rsidRPr="00317E00">
        <w:t>Studzinska</w:t>
      </w:r>
      <w:proofErr w:type="spellEnd"/>
      <w:r w:rsidRPr="00317E00">
        <w:t xml:space="preserve"> et al. 2022).</w:t>
      </w:r>
    </w:p>
    <w:p w14:paraId="61DF1308" w14:textId="3842DCD5" w:rsidR="00825F7A" w:rsidRDefault="00825F7A" w:rsidP="00825F7A">
      <w:pPr>
        <w:ind w:firstLine="720"/>
        <w:contextualSpacing/>
      </w:pPr>
      <w:bookmarkStart w:id="17" w:name="_Hlk193837360"/>
      <w:bookmarkEnd w:id="16"/>
      <w:r w:rsidRPr="00825F7A">
        <w:t>There are 14 items on each of the three DASS-42 scales, which are further subdivided into subscales of 2-5 items with comparable content. The items are presented to subjects in a random order, with a four point scale for each item labelled “Did not apply to me at all (0), “Applied to me</w:t>
      </w:r>
      <w:r w:rsidR="000506F7">
        <w:t xml:space="preserve"> in</w:t>
      </w:r>
      <w:r w:rsidRPr="00825F7A">
        <w:t xml:space="preserve"> some  degree, or some of the time”(1), “ Applied to me a considerable degree, or a good part of the time” (2), and “Applied to me very much or most of the time</w:t>
      </w:r>
      <w:bookmarkEnd w:id="17"/>
      <w:r w:rsidRPr="00825F7A">
        <w:t xml:space="preserve">”(3) </w:t>
      </w:r>
      <w:r w:rsidRPr="00825F7A">
        <w:rPr>
          <w:color w:val="000000" w:themeColor="text1"/>
          <w:shd w:val="clear" w:color="auto" w:fill="FFFFFF"/>
        </w:rPr>
        <w:t>The 14-item scales in the normative sample have Cronbach's alpha values of 0.91 for depression, .084 for anxiety, and 0.90 for stress (Lovibond &amp; Lovibond, 1995)</w:t>
      </w:r>
      <w:r w:rsidRPr="00825F7A">
        <w:t xml:space="preserve">. </w:t>
      </w:r>
    </w:p>
    <w:p w14:paraId="0CFD3603" w14:textId="61660927" w:rsidR="00AA5730" w:rsidRDefault="00825F7A" w:rsidP="00351829">
      <w:pPr>
        <w:ind w:firstLine="720"/>
        <w:contextualSpacing/>
      </w:pPr>
      <w:r w:rsidRPr="00825F7A">
        <w:t xml:space="preserve"> Participants are asked to rate the extent to which they were affected by the statement during the previous week. The sum of the scores of the 14 items in each of the three scales gives </w:t>
      </w:r>
      <w:r w:rsidRPr="00825F7A">
        <w:lastRenderedPageBreak/>
        <w:t>the scores for each scale. The DASS scores can be interpreted in relation to the mean and standard deviation of the sample (Lovibond &amp; Lovibond, 2020).</w:t>
      </w:r>
    </w:p>
    <w:p w14:paraId="7C489512" w14:textId="5C883F14" w:rsidR="00AA5730" w:rsidRDefault="00AA5730" w:rsidP="00AA5730">
      <w:pPr>
        <w:rPr>
          <w:b/>
          <w:bCs/>
        </w:rPr>
      </w:pPr>
      <w:r w:rsidRPr="00AA5730">
        <w:rPr>
          <w:b/>
          <w:bCs/>
        </w:rPr>
        <w:t xml:space="preserve">Data Collection </w:t>
      </w:r>
    </w:p>
    <w:p w14:paraId="7AEE7A46" w14:textId="3CF0BD13" w:rsidR="00AA5730" w:rsidRDefault="00AA5730" w:rsidP="00AA5730">
      <w:pPr>
        <w:ind w:firstLine="720"/>
      </w:pPr>
      <w:r w:rsidRPr="00696381">
        <w:t>As stated in the recruitment process, the survey will start after consent has been obtained, all participants have been appropriately informed, and anonymity and confidentiality have been guaranteed</w:t>
      </w:r>
      <w:r>
        <w:t xml:space="preserve">. </w:t>
      </w:r>
      <w:r w:rsidRPr="00696381">
        <w:t xml:space="preserve">Participants will be asked to fill out the entire questionnaire </w:t>
      </w:r>
      <w:proofErr w:type="gramStart"/>
      <w:r w:rsidRPr="00696381">
        <w:t>in order to</w:t>
      </w:r>
      <w:proofErr w:type="gramEnd"/>
      <w:r w:rsidRPr="00696381">
        <w:t xml:space="preserve"> minimize the amount of missing data; if they do</w:t>
      </w:r>
      <w:r>
        <w:t xml:space="preserve"> not,</w:t>
      </w:r>
      <w:r w:rsidRPr="00696381">
        <w:t xml:space="preserve"> a pop-up window will show that one or more questions have not been answered, and they will be unable to move on to the next page</w:t>
      </w:r>
      <w:r>
        <w:t xml:space="preserve">. The total time required for each participant to complete the informed consent, the demographic survey, and the two instruments </w:t>
      </w:r>
      <w:r w:rsidR="000506F7">
        <w:t>is estimated</w:t>
      </w:r>
      <w:r>
        <w:t xml:space="preserve"> </w:t>
      </w:r>
      <w:r w:rsidR="005F3DA7">
        <w:t>to be between</w:t>
      </w:r>
      <w:r>
        <w:t xml:space="preserve"> 30 and 45 minutes. </w:t>
      </w:r>
      <w:r w:rsidR="000506F7">
        <w:t>Each instrument will be coded for the purpose of analyzing the data.</w:t>
      </w:r>
    </w:p>
    <w:p w14:paraId="29D5C9F0" w14:textId="77777777" w:rsidR="00AA5730" w:rsidRDefault="00AA5730" w:rsidP="00AA5730">
      <w:pPr>
        <w:ind w:firstLine="720"/>
      </w:pPr>
      <w:r>
        <w:t>The survey responses will be reviewed regularly on SurveyMonkey to determine whether the minimum sample size requirement has been met as per the G* Power analysis. A further 20 percent of the sample size will be added to compensate for attrition and other errors that may occur during the analysis of the data.</w:t>
      </w:r>
      <w:r w:rsidRPr="00AA5730">
        <w:t xml:space="preserve"> </w:t>
      </w:r>
      <w:r>
        <w:t xml:space="preserve">After the survey is closed, the researcher will download all the data from SurveyMonkey to a Microsoft Excel file on a personal workstation. The workstation will </w:t>
      </w:r>
      <w:proofErr w:type="gramStart"/>
      <w:r>
        <w:t>be located in</w:t>
      </w:r>
      <w:proofErr w:type="gramEnd"/>
      <w:r>
        <w:t xml:space="preserve"> the researcher’s home. The researcher will use Microsoft’s encryption function to protect the Excel file with a password. Only the researcher will have the password to open the data file. The backup file of the data will be stored on an external drive in the researcher’s home. </w:t>
      </w:r>
    </w:p>
    <w:p w14:paraId="5193B0D4" w14:textId="2BA4DD8A" w:rsidR="00AA5730" w:rsidRPr="00AA5730" w:rsidRDefault="00AA5730" w:rsidP="00AA5730">
      <w:pPr>
        <w:ind w:firstLine="720"/>
      </w:pPr>
      <w:r>
        <w:t>The data collection storage for this proposed study will be a minimum of three years on a password-protected USB flash drive, computer, and external hard drive. At the end of the three-</w:t>
      </w:r>
      <w:r>
        <w:lastRenderedPageBreak/>
        <w:t>year period, all printed copies of collected data shall be destroyed using a shredder and deleted from the USB flash drive, computer, and external hard drive.</w:t>
      </w:r>
    </w:p>
    <w:p w14:paraId="6097B9CB" w14:textId="77777777" w:rsidR="00AA5730" w:rsidRPr="000A1B9A" w:rsidRDefault="00AA5730" w:rsidP="00AA5730">
      <w:pPr>
        <w:pStyle w:val="Heading2"/>
      </w:pPr>
      <w:r w:rsidRPr="000A1B9A">
        <w:t>Data Preparation</w:t>
      </w:r>
    </w:p>
    <w:p w14:paraId="37BF81B4" w14:textId="356EF8E6" w:rsidR="00AA5730" w:rsidRDefault="00AA5730" w:rsidP="00AA5730">
      <w:pPr>
        <w:ind w:firstLine="720"/>
      </w:pPr>
      <w:r w:rsidRPr="0064598E">
        <w:t>Data preparation involves organizing and modifying data before it is analyzed. Data preparation is usually an iterative process that involves transforming raw dat</w:t>
      </w:r>
      <w:r>
        <w:t xml:space="preserve">a </w:t>
      </w:r>
      <w:r w:rsidRPr="0064598E">
        <w:t>which is frequently messy and unstructured</w:t>
      </w:r>
      <w:r>
        <w:t xml:space="preserve"> </w:t>
      </w:r>
      <w:r w:rsidRPr="0064598E">
        <w:t xml:space="preserve">into a more useful and structured format that is prepared for additional analysis. </w:t>
      </w:r>
      <w:proofErr w:type="gramStart"/>
      <w:r w:rsidRPr="0064598E">
        <w:t>A number of</w:t>
      </w:r>
      <w:proofErr w:type="gramEnd"/>
      <w:r w:rsidRPr="0064598E">
        <w:t xml:space="preserve"> significant activities (or tasks) comprise </w:t>
      </w:r>
      <w:r w:rsidR="00DD45F0">
        <w:t>typical</w:t>
      </w:r>
      <w:r w:rsidRPr="0064598E">
        <w:t xml:space="preserve"> preparation </w:t>
      </w:r>
      <w:r w:rsidR="00DD45F0" w:rsidRPr="0064598E">
        <w:t>processes</w:t>
      </w:r>
      <w:r w:rsidRPr="0064598E">
        <w:t>, such as data transformation, integration, cleansing, and profiling</w:t>
      </w:r>
      <w:r>
        <w:t xml:space="preserve"> (Abdallah et al, 2017)</w:t>
      </w:r>
      <w:r w:rsidRPr="0064598E">
        <w:t>.</w:t>
      </w:r>
    </w:p>
    <w:p w14:paraId="71DA4A26" w14:textId="7F98CC69" w:rsidR="006E2D5F" w:rsidRPr="006E2D5F" w:rsidRDefault="00AA5730" w:rsidP="006E2D5F">
      <w:pPr>
        <w:ind w:firstLine="720"/>
      </w:pPr>
      <w:r w:rsidRPr="000A1B9A">
        <w:t xml:space="preserve"> Participants’ responses will be downloaded from a chosen software</w:t>
      </w:r>
      <w:r>
        <w:t xml:space="preserve"> (SurveyMonkey) to</w:t>
      </w:r>
      <w:r w:rsidRPr="000A1B9A">
        <w:t xml:space="preserve"> Excel spreadsheet where data labelling, and overall data cleansing will take place.</w:t>
      </w:r>
      <w:r w:rsidR="006E2D5F" w:rsidRPr="006E2D5F">
        <w:rPr>
          <w:rFonts w:asciiTheme="minorHAnsi" w:eastAsiaTheme="minorHAnsi" w:hAnsiTheme="minorHAnsi" w:cstheme="minorBidi"/>
          <w:kern w:val="2"/>
          <w:sz w:val="26"/>
          <w:szCs w:val="26"/>
          <w14:ligatures w14:val="standardContextual"/>
        </w:rPr>
        <w:t xml:space="preserve"> </w:t>
      </w:r>
      <w:r w:rsidR="006E2D5F" w:rsidRPr="006E2D5F">
        <w:t xml:space="preserve">This will include compiling and reviewing all the information necessary to ensure appropriate completion of the survey. Incomplete surveys and respondents who </w:t>
      </w:r>
      <w:r w:rsidR="00C3555A">
        <w:t xml:space="preserve">will </w:t>
      </w:r>
      <w:r w:rsidR="006E2D5F" w:rsidRPr="006E2D5F">
        <w:t>only complete</w:t>
      </w:r>
      <w:r w:rsidR="00C3555A">
        <w:t xml:space="preserve"> </w:t>
      </w:r>
      <w:r w:rsidR="006E2D5F" w:rsidRPr="006E2D5F">
        <w:t xml:space="preserve">one of the two surveys will be </w:t>
      </w:r>
      <w:r w:rsidR="00DD45F0">
        <w:t>set aside</w:t>
      </w:r>
      <w:r w:rsidR="006E2D5F" w:rsidRPr="006E2D5F">
        <w:t>, so that only complete surveys are included. Responses from participants that do not fulfil the inclusion criteria will also be excluded.</w:t>
      </w:r>
    </w:p>
    <w:p w14:paraId="48DFB1E1" w14:textId="5E5B8A7D" w:rsidR="00AA5730" w:rsidRPr="000A1B9A" w:rsidRDefault="00AA5730" w:rsidP="00AA5730">
      <w:pPr>
        <w:ind w:firstLine="720"/>
      </w:pPr>
      <w:r w:rsidRPr="000A1B9A">
        <w:t xml:space="preserve"> Raw data will be cleaned to detect outliers (</w:t>
      </w:r>
      <w:proofErr w:type="spellStart"/>
      <w:r w:rsidRPr="000A1B9A">
        <w:t>Laerd</w:t>
      </w:r>
      <w:proofErr w:type="spellEnd"/>
      <w:r w:rsidRPr="000A1B9A">
        <w:t xml:space="preserve"> Statistics, 2023). Cleansed data will later be exported to P</w:t>
      </w:r>
      <w:r>
        <w:t>ractical Statistics for Social Research (PSSR)</w:t>
      </w:r>
      <w:r w:rsidRPr="000A1B9A">
        <w:t xml:space="preserve"> after the required number of surveys are obtained. </w:t>
      </w:r>
    </w:p>
    <w:p w14:paraId="48B7D643" w14:textId="77777777" w:rsidR="00AA5730" w:rsidRPr="000A1B9A" w:rsidRDefault="00AA5730" w:rsidP="00AA5730">
      <w:pPr>
        <w:pStyle w:val="Heading1"/>
      </w:pPr>
      <w:r w:rsidRPr="000A1B9A">
        <w:t xml:space="preserve">Data Analysis </w:t>
      </w:r>
    </w:p>
    <w:p w14:paraId="76EBF700" w14:textId="77777777" w:rsidR="00CC4311" w:rsidRDefault="00AA5730" w:rsidP="00CC4311">
      <w:pPr>
        <w:ind w:firstLine="720"/>
      </w:pPr>
      <w:r>
        <w:t xml:space="preserve">The data that will be obtained from this research will be analyzed with the Pearson </w:t>
      </w:r>
      <w:r w:rsidR="00242B68">
        <w:t>p</w:t>
      </w:r>
      <w:r>
        <w:t xml:space="preserve">roduct </w:t>
      </w:r>
      <w:r w:rsidR="00242B68">
        <w:t>m</w:t>
      </w:r>
      <w:r>
        <w:t>oment (PPM) correlation, using PSSR computer program.</w:t>
      </w:r>
      <w:r w:rsidRPr="000A1B9A">
        <w:t xml:space="preserve"> PPM is an appropriate statistical procedure since the </w:t>
      </w:r>
      <w:r w:rsidR="00242B68">
        <w:t>researcher</w:t>
      </w:r>
      <w:r w:rsidRPr="000A1B9A">
        <w:t xml:space="preserve"> seeks to ascertain the magnitude and direction of the relationship between variables of interest</w:t>
      </w:r>
      <w:r w:rsidR="006E2D5F">
        <w:t xml:space="preserve"> (psychological health and psychological resilience)</w:t>
      </w:r>
      <w:r w:rsidRPr="000A1B9A">
        <w:t xml:space="preserve"> that </w:t>
      </w:r>
      <w:r w:rsidRPr="000A1B9A">
        <w:lastRenderedPageBreak/>
        <w:t>are measured on a continuous scale (ratio</w:t>
      </w:r>
      <w:r>
        <w:t xml:space="preserve">). According to </w:t>
      </w:r>
      <w:r w:rsidRPr="00375324">
        <w:t>Aggarwal and Ranganathan</w:t>
      </w:r>
      <w:r>
        <w:t xml:space="preserve"> (</w:t>
      </w:r>
      <w:r w:rsidRPr="00375324">
        <w:t>2016)</w:t>
      </w:r>
      <w:r>
        <w:t>,</w:t>
      </w:r>
      <w:r w:rsidRPr="00031961">
        <w:t xml:space="preserve"> </w:t>
      </w:r>
      <w:r>
        <w:t>c</w:t>
      </w:r>
      <w:r w:rsidRPr="00375324">
        <w:t>orrelation is viewed as a statistical tool that evaluates the degree of association between two quantitative variables measured in each group member</w:t>
      </w:r>
      <w:r>
        <w:t xml:space="preserve">. </w:t>
      </w:r>
      <w:bookmarkStart w:id="18" w:name="_Hlk194065884"/>
      <w:r>
        <w:t xml:space="preserve">This supports the rationale for using PPM. </w:t>
      </w:r>
      <w:bookmarkEnd w:id="18"/>
    </w:p>
    <w:p w14:paraId="310851A7" w14:textId="2CAFFF90" w:rsidR="00D763FB" w:rsidRDefault="00242B68" w:rsidP="00CC4311">
      <w:pPr>
        <w:ind w:firstLine="720"/>
      </w:pPr>
      <w:r>
        <w:t xml:space="preserve">Notwithstanding, for </w:t>
      </w:r>
      <w:r w:rsidRPr="00710863">
        <w:t xml:space="preserve">Pearson correlation analysis </w:t>
      </w:r>
      <w:r>
        <w:t>to</w:t>
      </w:r>
      <w:r w:rsidRPr="00710863">
        <w:t xml:space="preserve"> be performed </w:t>
      </w:r>
      <w:r>
        <w:t xml:space="preserve">specific </w:t>
      </w:r>
      <w:r w:rsidR="00E43653" w:rsidRPr="00710863">
        <w:t xml:space="preserve">assumptions on the data </w:t>
      </w:r>
      <w:r w:rsidR="00C3555A">
        <w:t xml:space="preserve">will have </w:t>
      </w:r>
      <w:r w:rsidR="00E43653" w:rsidRPr="00710863">
        <w:t xml:space="preserve">to be met (LAERD STATISTICS, 2017b). </w:t>
      </w:r>
      <w:r>
        <w:t xml:space="preserve">These assumptions </w:t>
      </w:r>
      <w:r w:rsidR="00E43653" w:rsidRPr="00710863">
        <w:t>are continuous variables, linearity, outliers, and bivariate normality, which must be tested. The variable psychological health as measured by DASS-42 and psychological resilience as measured by CD-RISC-25 both represent</w:t>
      </w:r>
      <w:r>
        <w:t xml:space="preserve"> continuous scale</w:t>
      </w:r>
      <w:r w:rsidR="00E43653" w:rsidRPr="00710863">
        <w:t xml:space="preserve"> meeting the assumption of continuous scale of measurement. The two variables will be plotted on a scatterplot with a fit line (see Appendix</w:t>
      </w:r>
      <w:r w:rsidR="00D763FB">
        <w:t xml:space="preserve"> L</w:t>
      </w:r>
      <w:r w:rsidR="00D763FB" w:rsidRPr="00710863">
        <w:t>)</w:t>
      </w:r>
      <w:r w:rsidR="00E43653" w:rsidRPr="00710863">
        <w:t xml:space="preserve"> to test the linearity assumption. The pattern of data points surrounding the fit line for straightness will then be visually analyzed. The linearity assumption will be confirmed by a linear relationship between the variables. For every variable, box plots will be used to test the outlier assumption (see Appendix</w:t>
      </w:r>
      <w:r w:rsidR="00D763FB">
        <w:t xml:space="preserve"> </w:t>
      </w:r>
      <w:r w:rsidR="005F3DA7">
        <w:t>K</w:t>
      </w:r>
      <w:r w:rsidR="00E43653" w:rsidRPr="00710863">
        <w:t xml:space="preserve">). Outliers should be identified and eliminated because they have the potential to distort data analysis findings and produce false positives (Hoaglin, </w:t>
      </w:r>
      <w:proofErr w:type="spellStart"/>
      <w:r w:rsidR="00E43653" w:rsidRPr="00710863">
        <w:t>Iglewicz</w:t>
      </w:r>
      <w:proofErr w:type="spellEnd"/>
      <w:r w:rsidR="00E43653" w:rsidRPr="00710863">
        <w:t>, and Turkey, 1986).</w:t>
      </w:r>
      <w:r w:rsidR="00D763FB">
        <w:t xml:space="preserve"> </w:t>
      </w:r>
    </w:p>
    <w:p w14:paraId="10A0F156" w14:textId="352BBF58" w:rsidR="006E755F" w:rsidRPr="006E755F" w:rsidRDefault="00E43653" w:rsidP="006E755F">
      <w:pPr>
        <w:ind w:firstLine="720"/>
      </w:pPr>
      <w:r w:rsidRPr="00710863">
        <w:t>The data will be tested for normality using histograms (see Appendix) and Shapiro-Wilk test in PSSR</w:t>
      </w:r>
      <w:r w:rsidR="00D763FB">
        <w:t xml:space="preserve">. </w:t>
      </w:r>
      <w:r w:rsidR="006E755F">
        <w:t xml:space="preserve"> </w:t>
      </w:r>
      <w:r w:rsidR="006E755F" w:rsidRPr="006E755F">
        <w:t xml:space="preserve">If the Pearson correlation analysis assumptions are not met in the assumption testing, the researcher shall substitute the parametric Pearson correlation analysis with a nonparametric Spearman correlation analysis or a Kendall tau-b correlation analysis. Both Spearman's rho and Kendall's tau-b are subject to the same two assumptions (LAERD STATISTICS, 2017a, 2017c). Under assumption number 1, variables should be measured on a scale of ordinal, interval or ratio scale. Assumption #2 a monotonic relationship, where the </w:t>
      </w:r>
      <w:r w:rsidR="006E755F" w:rsidRPr="006E755F">
        <w:lastRenderedPageBreak/>
        <w:t xml:space="preserve">values of one variable increase and the values of the other variable either continuously increase or decrease between the two variables examined using scatterplots. Kendall's tau-b is less stringent on data that </w:t>
      </w:r>
      <w:proofErr w:type="gramStart"/>
      <w:r w:rsidR="006E755F" w:rsidRPr="006E755F">
        <w:t>meet</w:t>
      </w:r>
      <w:proofErr w:type="gramEnd"/>
      <w:r w:rsidR="006E755F" w:rsidRPr="006E755F">
        <w:t xml:space="preserve"> the monotonic relationship assumption than Spearman's rho correlation. Once the assumptions of the correlation analysis are met, the analysis of the raw data will be performed.</w:t>
      </w:r>
    </w:p>
    <w:p w14:paraId="0D21A196" w14:textId="4CCBB679" w:rsidR="00E765ED" w:rsidRPr="00E765ED" w:rsidRDefault="00E765ED" w:rsidP="00E765ED">
      <w:pPr>
        <w:ind w:firstLine="720"/>
      </w:pPr>
      <w:r w:rsidRPr="00E765ED">
        <w:t xml:space="preserve">The results of the study will depend on the participation of the target population. The minimum size of the sample for the Pearson correlation analysis has been calculated using G*Power 3.1.9.2 (Faul et al., 2007). The input will contain two tails, an expected medium effect size of 0.3, standard level of alpha 0.05 and a minimum power of 90 percent. The power analysis showed that 37 participants will be needed for the correlation analysis. Therefore, the researcher will attempt to recruit more </w:t>
      </w:r>
      <w:proofErr w:type="gramStart"/>
      <w:r w:rsidRPr="00E765ED">
        <w:t>in order to</w:t>
      </w:r>
      <w:proofErr w:type="gramEnd"/>
      <w:r w:rsidRPr="00E765ED">
        <w:t xml:space="preserve"> have </w:t>
      </w:r>
      <w:r w:rsidR="00604283" w:rsidRPr="00E765ED">
        <w:t>sufficient</w:t>
      </w:r>
      <w:r w:rsidRPr="00E765ED">
        <w:t xml:space="preserve"> sample size to accommodate a 15-20 percent attrition rate, even though the recommended G* power is 37 DSPs</w:t>
      </w:r>
      <w:r>
        <w:t>.</w:t>
      </w:r>
    </w:p>
    <w:p w14:paraId="5FB9CBEC" w14:textId="3158C6B2" w:rsidR="00E765ED" w:rsidRDefault="00E765ED" w:rsidP="00E765ED">
      <w:pPr>
        <w:ind w:firstLine="720"/>
      </w:pPr>
      <w:r w:rsidRPr="0067153B">
        <w:t xml:space="preserve">The statistical analysis of the DASS-42 and CD-RISC-25 will be carried out after the downloaded raw data file of survey responses has been loaded into the PSSR software application. </w:t>
      </w:r>
      <w:proofErr w:type="gramStart"/>
      <w:r w:rsidRPr="0067153B">
        <w:t>In order to</w:t>
      </w:r>
      <w:proofErr w:type="gramEnd"/>
      <w:r w:rsidRPr="0067153B">
        <w:t xml:space="preserve"> identify missing data and data entry errors, frequency counts will be performed on the raw data file in PSSR as part of the data cleansing process (Pallant, 2013). Cases with incomplete data will not be included in subsequent analyses.</w:t>
      </w:r>
    </w:p>
    <w:p w14:paraId="5397BBD3" w14:textId="77777777" w:rsidR="007D4BD0" w:rsidRPr="009A2B54" w:rsidRDefault="007D4BD0" w:rsidP="0040537D">
      <w:pPr>
        <w:ind w:firstLine="720"/>
      </w:pPr>
      <w:r w:rsidRPr="007D4BD0">
        <w:t xml:space="preserve">Descriptive statistics will be calculated for demographic variables to build a profile of the sample (Grant et al., 2016), as well as for variables to be examined in a correlation analysis. </w:t>
      </w:r>
      <w:r w:rsidRPr="009A2B54">
        <w:t xml:space="preserve">Since gender and educational attainment are both measured on a nominal scale, they will be </w:t>
      </w:r>
      <w:r>
        <w:t>summarized</w:t>
      </w:r>
      <w:r w:rsidRPr="009A2B54">
        <w:t xml:space="preserve"> using frequencies and percentages. The mean and standard deviation will be used to summarize participant age and years of service because both are continuous scales.</w:t>
      </w:r>
    </w:p>
    <w:p w14:paraId="263F202F" w14:textId="378F3087" w:rsidR="0040537D" w:rsidRDefault="007D4BD0" w:rsidP="0040537D">
      <w:r w:rsidRPr="007D4BD0">
        <w:lastRenderedPageBreak/>
        <w:t xml:space="preserve">For hypothesis testing, the threshold value for significance is set at .05 (Norman, 2010). </w:t>
      </w:r>
      <w:r w:rsidR="0040537D" w:rsidRPr="009A2B54">
        <w:t>To determine a correlation coefficient, paired scores will be correlated using the Pearson product-moment correlation coefficient</w:t>
      </w:r>
      <w:r w:rsidR="0040537D">
        <w:t>.</w:t>
      </w:r>
    </w:p>
    <w:p w14:paraId="694663BF" w14:textId="5EC26764" w:rsidR="007D4BD0" w:rsidRDefault="007D4BD0" w:rsidP="007D4BD0">
      <w:pPr>
        <w:ind w:firstLine="720"/>
      </w:pPr>
      <w:r w:rsidRPr="007D4BD0">
        <w:t>The final step in the analysis of data will be the presentation and interpretation of the results. Tables and graphs (i.e. scatterplots) will be produced using PSSR and will serve as organizational tools for presenting the results of the analysis and demonstrating the correlation and the degree of association between the two variables of the research question.</w:t>
      </w:r>
    </w:p>
    <w:p w14:paraId="75AC4C92" w14:textId="15FEB0AE" w:rsidR="00760495" w:rsidRPr="007D4BD0" w:rsidRDefault="00760495" w:rsidP="007D4BD0">
      <w:pPr>
        <w:ind w:firstLine="720"/>
      </w:pPr>
      <w:r w:rsidRPr="00875581">
        <w:t xml:space="preserve">The strength and direction of the association are indicated by the sign and magnitude of the coefficient. A relationship is said to be perfectly positive if it is +1, perfectly negative if it is -1, and not present if it is 0 (Warner, 2010). According to McKechnie and Fisher (2019), values between 0 and .2 indicate that there is no meaningful relationship between the variables, .2 to .4 indicates a weak association, .4 to .6 indicates a moderate association, .6 to .8 indicates a strong association, and .8 to 1 indicates a very strong association. Furthermore, a positive value means that </w:t>
      </w:r>
      <w:r w:rsidR="00DD45F0">
        <w:t xml:space="preserve">one </w:t>
      </w:r>
      <w:r w:rsidRPr="00875581">
        <w:t xml:space="preserve">variable </w:t>
      </w:r>
      <w:proofErr w:type="gramStart"/>
      <w:r>
        <w:t>increases</w:t>
      </w:r>
      <w:proofErr w:type="gramEnd"/>
      <w:r w:rsidRPr="00875581">
        <w:t xml:space="preserve"> </w:t>
      </w:r>
      <w:r w:rsidR="00DD45F0">
        <w:t xml:space="preserve">just </w:t>
      </w:r>
      <w:r w:rsidRPr="00875581">
        <w:t xml:space="preserve">as the </w:t>
      </w:r>
      <w:r w:rsidR="00DD45F0">
        <w:t>other</w:t>
      </w:r>
      <w:r w:rsidRPr="00875581">
        <w:t xml:space="preserve"> does. According to Warner (2010), a negative value denotes an inverse relationship between the two variables, meaning that when one </w:t>
      </w:r>
      <w:r>
        <w:t>increases</w:t>
      </w:r>
      <w:r w:rsidRPr="00875581">
        <w:t xml:space="preserve"> the other </w:t>
      </w:r>
      <w:r>
        <w:t>decreases</w:t>
      </w:r>
      <w:r w:rsidRPr="00875581">
        <w:t>.</w:t>
      </w:r>
    </w:p>
    <w:p w14:paraId="63C38021" w14:textId="77777777" w:rsidR="00AA5730" w:rsidRPr="000A1B9A" w:rsidRDefault="00AA5730" w:rsidP="00AA5730">
      <w:pPr>
        <w:pStyle w:val="Heading1"/>
      </w:pPr>
      <w:r w:rsidRPr="000A1B9A">
        <w:t>Validity and Reliability</w:t>
      </w:r>
    </w:p>
    <w:p w14:paraId="36F273BB" w14:textId="77777777" w:rsidR="00CC4311" w:rsidRDefault="00571877" w:rsidP="00CC4311">
      <w:pPr>
        <w:ind w:firstLine="720"/>
      </w:pPr>
      <w:r w:rsidRPr="00571877">
        <w:t xml:space="preserve">For researchers, the choice and use of valid measurement instruments is crucial to ensure the reliability of study results. Validity means that a measurement tool performs well and that conclusions can be drawn, and decisions can be taken </w:t>
      </w:r>
      <w:proofErr w:type="gramStart"/>
      <w:r w:rsidRPr="00571877">
        <w:t>on the basis of</w:t>
      </w:r>
      <w:proofErr w:type="gramEnd"/>
      <w:r w:rsidRPr="00571877">
        <w:t xml:space="preserve"> the resulting data (Clark &amp; Watson, 2019</w:t>
      </w:r>
      <w:r w:rsidR="00F415DD" w:rsidRPr="00571877">
        <w:t>)</w:t>
      </w:r>
      <w:r w:rsidR="00F415DD">
        <w:t>.</w:t>
      </w:r>
      <w:r w:rsidR="00F415DD" w:rsidRPr="00720E23">
        <w:t xml:space="preserve"> The</w:t>
      </w:r>
      <w:r w:rsidR="00720E23" w:rsidRPr="00720E23">
        <w:t xml:space="preserve"> domains of validity are both external and internal.</w:t>
      </w:r>
      <w:r w:rsidRPr="00571877">
        <w:t xml:space="preserve"> Internal validity refers to the extent to which the study results reflect the actual condition of the population and can </w:t>
      </w:r>
      <w:r w:rsidRPr="00571877">
        <w:lastRenderedPageBreak/>
        <w:t>plausibly answer the question of hypotheses (Sargeant et al., 2022</w:t>
      </w:r>
      <w:r w:rsidRPr="00A20555">
        <w:rPr>
          <w:sz w:val="26"/>
          <w:szCs w:val="26"/>
        </w:rPr>
        <w:t>).</w:t>
      </w:r>
      <w:r w:rsidRPr="00571877">
        <w:t xml:space="preserve"> </w:t>
      </w:r>
      <w:r>
        <w:t>External validity is related to the generalizability and transportability of the results (</w:t>
      </w:r>
      <w:proofErr w:type="spellStart"/>
      <w:r>
        <w:t>Degtiar</w:t>
      </w:r>
      <w:proofErr w:type="spellEnd"/>
      <w:r>
        <w:t xml:space="preserve"> &amp; Rose, 2023</w:t>
      </w:r>
      <w:r w:rsidR="00646223">
        <w:t>).</w:t>
      </w:r>
    </w:p>
    <w:p w14:paraId="7755CEA5" w14:textId="77777777" w:rsidR="00CC4311" w:rsidRDefault="00646223" w:rsidP="00CC4311">
      <w:pPr>
        <w:ind w:firstLine="720"/>
      </w:pPr>
      <w:r>
        <w:rPr>
          <w:sz w:val="26"/>
          <w:szCs w:val="26"/>
        </w:rPr>
        <w:t xml:space="preserve"> </w:t>
      </w:r>
      <w:r w:rsidR="000C2D6F" w:rsidRPr="000C2D6F">
        <w:t>This research, like all</w:t>
      </w:r>
      <w:r w:rsidR="002C3A51">
        <w:t xml:space="preserve"> correlational</w:t>
      </w:r>
      <w:r w:rsidR="000C2D6F" w:rsidRPr="000C2D6F">
        <w:t xml:space="preserve"> research, is subject to threats</w:t>
      </w:r>
      <w:r w:rsidR="002C3A51">
        <w:t xml:space="preserve"> </w:t>
      </w:r>
      <w:r w:rsidR="00DD45F0">
        <w:t xml:space="preserve">to </w:t>
      </w:r>
      <w:r w:rsidR="002C3A51">
        <w:t xml:space="preserve">external validity. Some of these threats include the type of sampling procedure (convenience sampling method), self-report nature of the data collection instruments and general reliability issues. </w:t>
      </w:r>
      <w:r>
        <w:t>To counteract th</w:t>
      </w:r>
      <w:r w:rsidR="002C3A51">
        <w:t>ese</w:t>
      </w:r>
      <w:r>
        <w:t xml:space="preserve"> </w:t>
      </w:r>
      <w:r w:rsidR="002C3A51">
        <w:t>threats</w:t>
      </w:r>
      <w:r>
        <w:t xml:space="preserve"> and have confidence for a particular population</w:t>
      </w:r>
      <w:r w:rsidR="002C3A51">
        <w:t xml:space="preserve"> or external validity</w:t>
      </w:r>
      <w:r>
        <w:t xml:space="preserve">, internal validity, statistical conclusion validity and construct validity of the study </w:t>
      </w:r>
      <w:r w:rsidR="00B878BE">
        <w:t xml:space="preserve">tools </w:t>
      </w:r>
      <w:r>
        <w:t xml:space="preserve">must be </w:t>
      </w:r>
      <w:r w:rsidR="00B878BE">
        <w:t>examined (Cook, Campbell, and Peracchio, 1990).</w:t>
      </w:r>
      <w:r>
        <w:t xml:space="preserve"> </w:t>
      </w:r>
      <w:r w:rsidR="005075DA">
        <w:t>Construct validity is addressed by citing previous studies that have reported agreement among multiple measures of the same construct (Campell and Fiske, 1959)</w:t>
      </w:r>
      <w:r w:rsidR="00604283">
        <w:t>.</w:t>
      </w:r>
      <w:r w:rsidR="00F52424">
        <w:t xml:space="preserve"> </w:t>
      </w:r>
      <w:r w:rsidR="00F52424" w:rsidRPr="000A1B9A">
        <w:t>The instrument chosen to measure psychological resilience is the CD-RISC-25. It has been tested in the general population as well as clinical samples</w:t>
      </w:r>
      <w:r w:rsidR="00C3555A">
        <w:t xml:space="preserve"> across United States</w:t>
      </w:r>
      <w:r w:rsidR="00F52424" w:rsidRPr="000A1B9A">
        <w:t xml:space="preserve"> </w:t>
      </w:r>
      <w:r w:rsidR="00C3555A">
        <w:t>and</w:t>
      </w:r>
      <w:r w:rsidR="00F52424" w:rsidRPr="000A1B9A">
        <w:t xml:space="preserve"> has a good psychometric property and differentiates people who are resilient and those who are not (</w:t>
      </w:r>
      <w:proofErr w:type="spellStart"/>
      <w:r w:rsidR="00F52424" w:rsidRPr="000A1B9A">
        <w:t>Derakhshanrad</w:t>
      </w:r>
      <w:proofErr w:type="spellEnd"/>
      <w:r w:rsidR="00F52424" w:rsidRPr="000A1B9A">
        <w:t xml:space="preserve"> et al., 2014).  During its development it showed good construct, concurrent, discriminant, and predictive validity (CD manual -2024 unpublished.</w:t>
      </w:r>
      <w:r w:rsidR="00BE455E">
        <w:t>).</w:t>
      </w:r>
      <w:r w:rsidR="005075DA">
        <w:t xml:space="preserve"> </w:t>
      </w:r>
      <w:r w:rsidR="00F52424" w:rsidRPr="006A2ADC">
        <w:t>Lamond et al (2008) performed a study in a total of 1395 women over 60 years of age using the CD-RISC to measure and predict resilience. The scale showed a high internal consistency (Cronbach's alpha = 0.92</w:t>
      </w:r>
      <w:r w:rsidR="00BE455E">
        <w:t>)</w:t>
      </w:r>
      <w:r w:rsidR="005416B7">
        <w:t xml:space="preserve"> indicating validity of the instrument. </w:t>
      </w:r>
    </w:p>
    <w:p w14:paraId="412BFA03" w14:textId="0E4E9278" w:rsidR="00AA5730" w:rsidRPr="0004388E" w:rsidRDefault="00C3555A" w:rsidP="00CC4311">
      <w:pPr>
        <w:ind w:firstLine="720"/>
        <w:rPr>
          <w:color w:val="1B1B1B"/>
          <w:shd w:val="clear" w:color="auto" w:fill="FFFFFF"/>
        </w:rPr>
      </w:pPr>
      <w:r>
        <w:t>DASS is the tool</w:t>
      </w:r>
      <w:r w:rsidR="005416B7">
        <w:t xml:space="preserve"> to </w:t>
      </w:r>
      <w:r w:rsidR="00AA5730" w:rsidRPr="000A1B9A">
        <w:t>measure the psychological health of the participants in this stud</w:t>
      </w:r>
      <w:r>
        <w:t>y</w:t>
      </w:r>
      <w:r w:rsidR="00AA5730" w:rsidRPr="000A1B9A">
        <w:t xml:space="preserve"> which was developed by Lovibond and Lovibond (1995). </w:t>
      </w:r>
      <w:r>
        <w:t xml:space="preserve">It </w:t>
      </w:r>
      <w:r w:rsidR="00AA5730" w:rsidRPr="000A1B9A">
        <w:t>has been tested for reliability and validity in various contexts and has been empirically evaluated in diverse cultures. Zawislak et al. (2020) show</w:t>
      </w:r>
      <w:r w:rsidR="00BE455E">
        <w:t>ed</w:t>
      </w:r>
      <w:r w:rsidR="00AA5730" w:rsidRPr="000A1B9A">
        <w:t xml:space="preserve"> construct validity and reliability among medical students</w:t>
      </w:r>
      <w:r>
        <w:t xml:space="preserve"> in Poland</w:t>
      </w:r>
      <w:r w:rsidR="00AA5730" w:rsidRPr="000A1B9A">
        <w:t xml:space="preserve"> not the general </w:t>
      </w:r>
      <w:r w:rsidR="00694F9A" w:rsidRPr="000A1B9A">
        <w:t>population.</w:t>
      </w:r>
      <w:r w:rsidR="00D61614" w:rsidRPr="00D61614">
        <w:rPr>
          <w:color w:val="1B1B1B"/>
          <w:shd w:val="clear" w:color="auto" w:fill="FFFFFF"/>
        </w:rPr>
        <w:t xml:space="preserve"> </w:t>
      </w:r>
      <w:r w:rsidR="00D61614" w:rsidRPr="00011E93">
        <w:rPr>
          <w:color w:val="1B1B1B"/>
          <w:shd w:val="clear" w:color="auto" w:fill="FFFFFF"/>
        </w:rPr>
        <w:t xml:space="preserve">Guven et al. (2025) studied 452 patients with hematologic cancer in three different studies. The aim was to investigate the construct validity, convergent and discriminant </w:t>
      </w:r>
      <w:r w:rsidR="00D61614" w:rsidRPr="00011E93">
        <w:rPr>
          <w:color w:val="1B1B1B"/>
          <w:shd w:val="clear" w:color="auto" w:fill="FFFFFF"/>
        </w:rPr>
        <w:lastRenderedPageBreak/>
        <w:t xml:space="preserve">validity, and reliability of the Depression Anxiety Stress Scales (DASS-42) in patients with hematologic cancer. </w:t>
      </w:r>
      <w:r>
        <w:rPr>
          <w:color w:val="1B1B1B"/>
          <w:shd w:val="clear" w:color="auto" w:fill="FFFFFF"/>
        </w:rPr>
        <w:t>The</w:t>
      </w:r>
      <w:r w:rsidR="00D61614" w:rsidRPr="00011E93">
        <w:rPr>
          <w:color w:val="1B1B1B"/>
          <w:shd w:val="clear" w:color="auto" w:fill="FFFFFF"/>
        </w:rPr>
        <w:t xml:space="preserve"> subscales showed strong internal consistency and test-retest reliability when used to measure stress, anxiety, and depression symptoms in patients with hematologic malignancies, according to reliability analyses. Additionally, </w:t>
      </w:r>
      <w:proofErr w:type="gramStart"/>
      <w:r w:rsidR="00D61614" w:rsidRPr="00011E93">
        <w:rPr>
          <w:color w:val="1B1B1B"/>
          <w:shd w:val="clear" w:color="auto" w:fill="FFFFFF"/>
        </w:rPr>
        <w:t>discriminant</w:t>
      </w:r>
      <w:proofErr w:type="gramEnd"/>
      <w:r w:rsidR="00D61614" w:rsidRPr="00011E93">
        <w:rPr>
          <w:color w:val="1B1B1B"/>
          <w:shd w:val="clear" w:color="auto" w:fill="FFFFFF"/>
        </w:rPr>
        <w:t xml:space="preserve"> and convergent validity were supported in the same study.</w:t>
      </w:r>
      <w:r w:rsidR="00D61614">
        <w:rPr>
          <w:color w:val="1B1B1B"/>
          <w:shd w:val="clear" w:color="auto" w:fill="FFFFFF"/>
        </w:rPr>
        <w:t xml:space="preserve"> </w:t>
      </w:r>
    </w:p>
    <w:p w14:paraId="11666223" w14:textId="77777777" w:rsidR="00AA5730" w:rsidRPr="000A1B9A" w:rsidRDefault="00AA5730" w:rsidP="00AA5730">
      <w:pPr>
        <w:pStyle w:val="Heading1"/>
      </w:pPr>
      <w:r w:rsidRPr="000A1B9A">
        <w:t xml:space="preserve">Ethical Considerations </w:t>
      </w:r>
    </w:p>
    <w:p w14:paraId="6003A205" w14:textId="77777777" w:rsidR="00F64AD2" w:rsidRDefault="00F64AD2" w:rsidP="00F64AD2">
      <w:pPr>
        <w:ind w:firstLine="720"/>
      </w:pPr>
      <w:r w:rsidRPr="004C30E3">
        <w:t>Ethical considerations will be applied throughout the study in accordance with the Institutional Review Board (IRB) of Omega Graduate School and the Belmont Report (Office for Human Research Predictions, 2018). The following approvals will be sought before data collection; IRB approval, agency site authorization, authorization to use the required instruments, and informed consent from participants. The Belmont Report principles of respect, justice and beneficence will be put into use during the data collection process as well (The National Commission for the Protection of Human Subjects of Biomedical and Behavioral Research, 1978)</w:t>
      </w:r>
      <w:r>
        <w:t xml:space="preserve">. </w:t>
      </w:r>
      <w:r w:rsidR="00255924">
        <w:t xml:space="preserve">The researcher will ensure that all these are in place before initiating any contact with participants. </w:t>
      </w:r>
      <w:r w:rsidR="00AA5730" w:rsidRPr="004F4B34">
        <w:t xml:space="preserve"> </w:t>
      </w:r>
    </w:p>
    <w:p w14:paraId="3C1F4385" w14:textId="6568A306" w:rsidR="00B37DC5" w:rsidRDefault="00B37DC5" w:rsidP="00B37DC5">
      <w:pPr>
        <w:ind w:firstLine="720"/>
      </w:pPr>
      <w:r w:rsidRPr="00F35289">
        <w:t xml:space="preserve">At every stage of the research process, care must be taken to guarantee that the study's guiding principles are upheld. Initially, the participants will be asked for their informed consent before they can access the survey </w:t>
      </w:r>
      <w:proofErr w:type="gramStart"/>
      <w:r w:rsidRPr="00F35289">
        <w:t>in order to</w:t>
      </w:r>
      <w:proofErr w:type="gramEnd"/>
      <w:r w:rsidRPr="00F35289">
        <w:t xml:space="preserve"> safeguard and reduce ethical concerns regarding respect for people. The consent email will contain information about the survey's purpose, the risks</w:t>
      </w:r>
      <w:r>
        <w:t>,</w:t>
      </w:r>
      <w:r w:rsidRPr="00F35289">
        <w:t xml:space="preserve"> the advantages of taking part, the security of the data collection techniques, the data storage secured by password-protected devices, and the intended use of the data and findings </w:t>
      </w:r>
      <w:proofErr w:type="gramStart"/>
      <w:r w:rsidRPr="00F35289">
        <w:t>in order to</w:t>
      </w:r>
      <w:proofErr w:type="gramEnd"/>
      <w:r w:rsidRPr="00F35289">
        <w:t xml:space="preserve"> make sure that participants are aware of the survey's risks and benefits. Participants can withdraw or end the study at any time without incurring penalties, according to the consent form. </w:t>
      </w:r>
      <w:r w:rsidRPr="00F35289">
        <w:lastRenderedPageBreak/>
        <w:t xml:space="preserve">Staff members of the organization the researcher works with that offers services to people with IDD will not be included in the study </w:t>
      </w:r>
      <w:proofErr w:type="gramStart"/>
      <w:r w:rsidRPr="00F35289">
        <w:t>in order to</w:t>
      </w:r>
      <w:proofErr w:type="gramEnd"/>
      <w:r w:rsidRPr="00F35289">
        <w:t xml:space="preserve"> prevent selection bias and possible conflicts of interest. For privacy, confidentiality, and anonymity, data will be gathered </w:t>
      </w:r>
      <w:r>
        <w:t>through</w:t>
      </w:r>
      <w:r w:rsidRPr="00F35289">
        <w:t xml:space="preserve"> anonymous surveys devoid of personal information. The information gathered will be kept on a password-protected computer for three years before being permanently deleted. </w:t>
      </w:r>
      <w:r>
        <w:t xml:space="preserve">The researcher will </w:t>
      </w:r>
      <w:r w:rsidR="005F3DA7">
        <w:t xml:space="preserve">take </w:t>
      </w:r>
      <w:r w:rsidR="005F3DA7" w:rsidRPr="00F35289">
        <w:t>every</w:t>
      </w:r>
      <w:r w:rsidRPr="00F35289">
        <w:t xml:space="preserve"> possible precaution to ensure participant privacy and minimize any possible risks.</w:t>
      </w:r>
    </w:p>
    <w:p w14:paraId="58A748FD" w14:textId="77777777" w:rsidR="00B37DC5" w:rsidRDefault="00B37DC5" w:rsidP="00F64AD2">
      <w:pPr>
        <w:ind w:firstLine="720"/>
      </w:pPr>
    </w:p>
    <w:p w14:paraId="3DFBD4C0" w14:textId="77777777" w:rsidR="00AA5730" w:rsidRPr="000A1B9A" w:rsidRDefault="00AA5730" w:rsidP="00AA5730">
      <w:pPr>
        <w:pStyle w:val="Heading1"/>
      </w:pPr>
      <w:r w:rsidRPr="000A1B9A">
        <w:t xml:space="preserve">Summary and Conclusion </w:t>
      </w:r>
    </w:p>
    <w:p w14:paraId="127120F4" w14:textId="07A977ED" w:rsidR="0004388E" w:rsidRDefault="00CE4DD5" w:rsidP="00B37DC5">
      <w:pPr>
        <w:ind w:firstLine="720"/>
      </w:pPr>
      <w:r w:rsidRPr="004D095F">
        <w:t>A brief overview of the study was given at the beginning of the chapter, and then the methodology, design, population, data analysis, data management, and ethical considerations supporting the study were explained. The data analysis that w</w:t>
      </w:r>
      <w:r>
        <w:t xml:space="preserve">ill be carried out </w:t>
      </w:r>
      <w:r w:rsidRPr="004D095F">
        <w:t xml:space="preserve">and the descriptive and inferential statistics </w:t>
      </w:r>
      <w:r>
        <w:t>that will be gathered</w:t>
      </w:r>
      <w:r w:rsidRPr="004D095F">
        <w:t xml:space="preserve"> to address the research questions will be reported in the next chapt</w:t>
      </w:r>
      <w:r w:rsidR="00B37DC5">
        <w:t>er</w:t>
      </w:r>
    </w:p>
    <w:p w14:paraId="49FBFAA7" w14:textId="77777777" w:rsidR="00603B71" w:rsidRDefault="00603B71" w:rsidP="00B37DC5">
      <w:pPr>
        <w:ind w:firstLine="720"/>
      </w:pPr>
    </w:p>
    <w:p w14:paraId="3A1C0774" w14:textId="77777777" w:rsidR="00603B71" w:rsidRDefault="00603B71" w:rsidP="00B37DC5">
      <w:pPr>
        <w:ind w:firstLine="720"/>
      </w:pPr>
    </w:p>
    <w:p w14:paraId="7A9B2E2F" w14:textId="77777777" w:rsidR="00603B71" w:rsidRDefault="00603B71" w:rsidP="00B37DC5">
      <w:pPr>
        <w:ind w:firstLine="720"/>
      </w:pPr>
    </w:p>
    <w:bookmarkEnd w:id="14"/>
    <w:p w14:paraId="0E423B69" w14:textId="77777777" w:rsidR="00603B71" w:rsidRDefault="00603B71" w:rsidP="00B37DC5">
      <w:pPr>
        <w:ind w:firstLine="720"/>
      </w:pPr>
    </w:p>
    <w:p w14:paraId="4A2BE3CE" w14:textId="77777777" w:rsidR="00603B71" w:rsidRDefault="00603B71" w:rsidP="00B37DC5">
      <w:pPr>
        <w:ind w:firstLine="720"/>
      </w:pPr>
    </w:p>
    <w:p w14:paraId="756248AA" w14:textId="77777777" w:rsidR="00603B71" w:rsidRDefault="00603B71" w:rsidP="00B37DC5">
      <w:pPr>
        <w:ind w:firstLine="720"/>
      </w:pPr>
    </w:p>
    <w:p w14:paraId="54EED222" w14:textId="77777777" w:rsidR="00603B71" w:rsidRDefault="00603B71" w:rsidP="00DD45F0"/>
    <w:p w14:paraId="4B7639ED" w14:textId="77777777" w:rsidR="00603B71" w:rsidRDefault="00603B71" w:rsidP="00B37DC5">
      <w:pPr>
        <w:ind w:firstLine="720"/>
      </w:pPr>
    </w:p>
    <w:p w14:paraId="3D2C15E0" w14:textId="77777777" w:rsidR="006420EB" w:rsidRDefault="006420EB" w:rsidP="00B37DC5">
      <w:pPr>
        <w:ind w:firstLine="720"/>
      </w:pPr>
    </w:p>
    <w:p w14:paraId="39166BBF" w14:textId="77777777" w:rsidR="00603B71" w:rsidRPr="000A1B9A" w:rsidRDefault="00603B71" w:rsidP="00B37DC5">
      <w:pPr>
        <w:ind w:firstLine="720"/>
      </w:pPr>
    </w:p>
    <w:p w14:paraId="68636D79" w14:textId="5661CB8B" w:rsidR="006420EB" w:rsidRPr="006420EB" w:rsidRDefault="00AA5730" w:rsidP="006420EB">
      <w:pPr>
        <w:rPr>
          <w:b/>
          <w:bCs/>
        </w:rPr>
      </w:pPr>
      <w:r w:rsidRPr="000A1B9A">
        <w:lastRenderedPageBreak/>
        <w:t xml:space="preserve">                                                       </w:t>
      </w:r>
      <w:r w:rsidRPr="000A1B9A">
        <w:rPr>
          <w:b/>
          <w:bCs/>
        </w:rPr>
        <w:t xml:space="preserve"> Reference</w:t>
      </w:r>
      <w:r w:rsidR="006420EB">
        <w:rPr>
          <w:b/>
          <w:bCs/>
        </w:rPr>
        <w:t>s</w:t>
      </w:r>
    </w:p>
    <w:p w14:paraId="496B9F36" w14:textId="6AC0B572" w:rsidR="006420EB" w:rsidRPr="007F7F51" w:rsidRDefault="006420EB" w:rsidP="003749A4">
      <w:pPr>
        <w:ind w:left="720" w:hanging="720"/>
        <w:rPr>
          <w:lang w:val="es-ES"/>
        </w:rPr>
      </w:pPr>
      <w:r w:rsidRPr="00641BA0">
        <w:t xml:space="preserve">Abdallah, Z.S., Du, L., Webb, G.I. (2017). </w:t>
      </w:r>
      <w:r w:rsidRPr="00B702F2">
        <w:t>Data Preparation. In</w:t>
      </w:r>
      <w:r w:rsidR="007F7F51">
        <w:t xml:space="preserve">. </w:t>
      </w:r>
      <w:r w:rsidRPr="00B702F2">
        <w:t>Sammut,</w:t>
      </w:r>
      <w:r w:rsidR="007F7F51">
        <w:t xml:space="preserve"> &amp;</w:t>
      </w:r>
      <w:r w:rsidRPr="00B702F2">
        <w:t xml:space="preserve"> G.I. </w:t>
      </w:r>
      <w:r w:rsidR="007F7F51">
        <w:t xml:space="preserve">Webb </w:t>
      </w:r>
      <w:r w:rsidRPr="00B702F2">
        <w:t>(</w:t>
      </w:r>
      <w:r w:rsidR="007F7F51">
        <w:t>E</w:t>
      </w:r>
      <w:r w:rsidRPr="00B702F2">
        <w:t>ds</w:t>
      </w:r>
      <w:r w:rsidR="007F7F51">
        <w:t>.</w:t>
      </w:r>
      <w:r w:rsidRPr="00B702F2">
        <w:t>)</w:t>
      </w:r>
      <w:r w:rsidR="007F7F51">
        <w:t>,</w:t>
      </w:r>
      <w:r w:rsidRPr="00B702F2">
        <w:t xml:space="preserve"> </w:t>
      </w:r>
      <w:r w:rsidRPr="007F7F51">
        <w:rPr>
          <w:i/>
          <w:iCs/>
        </w:rPr>
        <w:t xml:space="preserve">Encyclopedia of Machine Learning and Data </w:t>
      </w:r>
      <w:r w:rsidR="007F7F51" w:rsidRPr="007F7F51">
        <w:rPr>
          <w:i/>
          <w:iCs/>
        </w:rPr>
        <w:t>Mining</w:t>
      </w:r>
      <w:r w:rsidR="007F7F51">
        <w:t xml:space="preserve"> (pp. 318-327).</w:t>
      </w:r>
      <w:r w:rsidR="007F7F51" w:rsidRPr="007F7F51">
        <w:rPr>
          <w:rFonts w:ascii="Arial" w:hAnsi="Arial" w:cs="Arial"/>
          <w:color w:val="666666"/>
          <w:shd w:val="clear" w:color="auto" w:fill="FFFFFF"/>
        </w:rPr>
        <w:t xml:space="preserve"> </w:t>
      </w:r>
      <w:r w:rsidR="007F7F51" w:rsidRPr="007F7F51">
        <w:t>Humana Press. https://doi.org/10.1007/978-1-4899-7502-7_62-1</w:t>
      </w:r>
      <w:r w:rsidRPr="00B702F2">
        <w:t xml:space="preserve"> </w:t>
      </w:r>
    </w:p>
    <w:p w14:paraId="40C7B5CE" w14:textId="77777777" w:rsidR="006420EB" w:rsidRPr="00641BA0" w:rsidRDefault="006420EB" w:rsidP="003749A4">
      <w:pPr>
        <w:ind w:left="720" w:hanging="720"/>
        <w:rPr>
          <w:color w:val="3A3A3A"/>
          <w:shd w:val="clear" w:color="auto" w:fill="FFFFFF"/>
        </w:rPr>
      </w:pPr>
      <w:proofErr w:type="spellStart"/>
      <w:r w:rsidRPr="007F7F51">
        <w:rPr>
          <w:color w:val="3A3A3A"/>
          <w:shd w:val="clear" w:color="auto" w:fill="FFFFFF"/>
          <w:lang w:val="es-ES"/>
        </w:rPr>
        <w:t>Aggarwal</w:t>
      </w:r>
      <w:proofErr w:type="spellEnd"/>
      <w:r w:rsidRPr="007F7F51">
        <w:rPr>
          <w:color w:val="3A3A3A"/>
          <w:shd w:val="clear" w:color="auto" w:fill="FFFFFF"/>
          <w:lang w:val="es-ES"/>
        </w:rPr>
        <w:t xml:space="preserve">, R., &amp; </w:t>
      </w:r>
      <w:proofErr w:type="spellStart"/>
      <w:r w:rsidRPr="007F7F51">
        <w:rPr>
          <w:color w:val="3A3A3A"/>
          <w:shd w:val="clear" w:color="auto" w:fill="FFFFFF"/>
          <w:lang w:val="es-ES"/>
        </w:rPr>
        <w:t>Ranganathan</w:t>
      </w:r>
      <w:proofErr w:type="spellEnd"/>
      <w:r w:rsidRPr="007F7F51">
        <w:rPr>
          <w:color w:val="3A3A3A"/>
          <w:shd w:val="clear" w:color="auto" w:fill="FFFFFF"/>
          <w:lang w:val="es-ES"/>
        </w:rPr>
        <w:t xml:space="preserve">, P. (2016). </w:t>
      </w:r>
      <w:r w:rsidRPr="000A1B9A">
        <w:rPr>
          <w:color w:val="3A3A3A"/>
          <w:shd w:val="clear" w:color="auto" w:fill="FFFFFF"/>
        </w:rPr>
        <w:t>Common pitfalls in statistical analysis: The use of correlation techniques. </w:t>
      </w:r>
      <w:r w:rsidRPr="00641BA0">
        <w:rPr>
          <w:i/>
          <w:iCs/>
          <w:color w:val="3A3A3A"/>
          <w:shd w:val="clear" w:color="auto" w:fill="FFFFFF"/>
        </w:rPr>
        <w:t>Perspectives in Clinical Research</w:t>
      </w:r>
      <w:r w:rsidRPr="00641BA0">
        <w:rPr>
          <w:color w:val="3A3A3A"/>
          <w:shd w:val="clear" w:color="auto" w:fill="FFFFFF"/>
        </w:rPr>
        <w:t>, </w:t>
      </w:r>
      <w:r w:rsidRPr="00641BA0">
        <w:rPr>
          <w:i/>
          <w:iCs/>
          <w:color w:val="3A3A3A"/>
          <w:shd w:val="clear" w:color="auto" w:fill="FFFFFF"/>
        </w:rPr>
        <w:t>7</w:t>
      </w:r>
      <w:r w:rsidRPr="00641BA0">
        <w:rPr>
          <w:color w:val="3A3A3A"/>
          <w:shd w:val="clear" w:color="auto" w:fill="FFFFFF"/>
        </w:rPr>
        <w:t xml:space="preserve">(4), 187–190. </w:t>
      </w:r>
      <w:hyperlink r:id="rId10" w:history="1">
        <w:r w:rsidRPr="00641BA0">
          <w:rPr>
            <w:rStyle w:val="Hyperlink"/>
            <w:shd w:val="clear" w:color="auto" w:fill="FFFFFF"/>
          </w:rPr>
          <w:t>https://doi.org/10.4103/2229-3485.192046</w:t>
        </w:r>
      </w:hyperlink>
    </w:p>
    <w:p w14:paraId="48967BD9" w14:textId="1B240DD7" w:rsidR="006420EB" w:rsidRDefault="006420EB" w:rsidP="003749A4">
      <w:pPr>
        <w:ind w:left="720" w:hanging="720"/>
      </w:pPr>
      <w:r w:rsidRPr="00641BA0">
        <w:rPr>
          <w:lang w:val="es-ES"/>
        </w:rPr>
        <w:t xml:space="preserve">Ali K, </w:t>
      </w:r>
      <w:proofErr w:type="spellStart"/>
      <w:r w:rsidRPr="00641BA0">
        <w:rPr>
          <w:lang w:val="es-ES"/>
        </w:rPr>
        <w:t>Mufti</w:t>
      </w:r>
      <w:proofErr w:type="spellEnd"/>
      <w:r w:rsidRPr="00641BA0">
        <w:rPr>
          <w:lang w:val="es-ES"/>
        </w:rPr>
        <w:t xml:space="preserve"> A, Raza N, Sharma </w:t>
      </w:r>
      <w:r w:rsidR="00641BA0" w:rsidRPr="00641BA0">
        <w:rPr>
          <w:lang w:val="es-ES"/>
        </w:rPr>
        <w:t>G. (2024).</w:t>
      </w:r>
      <w:r w:rsidRPr="00641BA0">
        <w:rPr>
          <w:lang w:val="es-ES"/>
        </w:rPr>
        <w:t xml:space="preserve"> </w:t>
      </w:r>
      <w:r w:rsidRPr="00A06081">
        <w:t xml:space="preserve">The relationship between depression, </w:t>
      </w:r>
      <w:proofErr w:type="gramStart"/>
      <w:r w:rsidR="00487A57" w:rsidRPr="00A06081">
        <w:t>anxiety</w:t>
      </w:r>
      <w:r w:rsidR="00487A57">
        <w:t>,</w:t>
      </w:r>
      <w:r w:rsidRPr="00A06081">
        <w:t xml:space="preserve"> </w:t>
      </w:r>
      <w:r w:rsidR="00487A57">
        <w:t>and</w:t>
      </w:r>
      <w:proofErr w:type="gramEnd"/>
      <w:r w:rsidR="00487A57">
        <w:t xml:space="preserve"> </w:t>
      </w:r>
      <w:r w:rsidRPr="00A06081">
        <w:t xml:space="preserve">stress levels and sleep quality in diabetic patients: A quantitative study utilizing DASS-42 and PSQI questionnaires. </w:t>
      </w:r>
      <w:r w:rsidRPr="00641BA0">
        <w:rPr>
          <w:i/>
          <w:iCs/>
        </w:rPr>
        <w:t xml:space="preserve">Indian J </w:t>
      </w:r>
      <w:proofErr w:type="spellStart"/>
      <w:r w:rsidRPr="00641BA0">
        <w:rPr>
          <w:i/>
          <w:iCs/>
        </w:rPr>
        <w:t>Physiol</w:t>
      </w:r>
      <w:proofErr w:type="spellEnd"/>
      <w:r w:rsidRPr="00641BA0">
        <w:rPr>
          <w:i/>
          <w:iCs/>
        </w:rPr>
        <w:t xml:space="preserve"> Allied Sci;76(3</w:t>
      </w:r>
      <w:r w:rsidRPr="00A06081">
        <w:t>):61-65.</w:t>
      </w:r>
    </w:p>
    <w:p w14:paraId="7025F835" w14:textId="3F052119" w:rsidR="007F7F51" w:rsidRDefault="007F7F51" w:rsidP="003749A4">
      <w:pPr>
        <w:ind w:left="720" w:hanging="720"/>
      </w:pPr>
      <w:proofErr w:type="spellStart"/>
      <w:r w:rsidRPr="007F7F51">
        <w:t>Apuke</w:t>
      </w:r>
      <w:proofErr w:type="spellEnd"/>
      <w:r w:rsidRPr="007F7F51">
        <w:t>, O. D. (2017). Quantitative Research Methods: A Synopsis Approach. </w:t>
      </w:r>
      <w:r w:rsidRPr="007F7F51">
        <w:rPr>
          <w:i/>
          <w:iCs/>
        </w:rPr>
        <w:t>Kuwait Chapter of Arabian Journal of Business &amp; Management Review</w:t>
      </w:r>
      <w:r w:rsidRPr="007F7F51">
        <w:t>, </w:t>
      </w:r>
      <w:r w:rsidRPr="007F7F51">
        <w:rPr>
          <w:i/>
          <w:iCs/>
        </w:rPr>
        <w:t>6</w:t>
      </w:r>
      <w:r w:rsidRPr="007F7F51">
        <w:t>(11), 40–47. https://doi.org/10.12816/0040336</w:t>
      </w:r>
    </w:p>
    <w:p w14:paraId="12DBCD8A" w14:textId="77777777" w:rsidR="006420EB" w:rsidRPr="00641BA0" w:rsidRDefault="006420EB" w:rsidP="003749A4">
      <w:pPr>
        <w:ind w:left="720" w:hanging="720"/>
        <w:rPr>
          <w:lang w:val="es-ES"/>
        </w:rPr>
      </w:pPr>
      <w:r w:rsidRPr="00D27CC9">
        <w:t>Bettany-</w:t>
      </w:r>
      <w:proofErr w:type="spellStart"/>
      <w:r w:rsidRPr="00D27CC9">
        <w:t>Saltikov</w:t>
      </w:r>
      <w:proofErr w:type="spellEnd"/>
      <w:r w:rsidRPr="00D27CC9">
        <w:t>, J., &amp; Whittaker, V. J. (2014). Selecting the most appropriate inferential statistical test for your quantitative research study. </w:t>
      </w:r>
      <w:proofErr w:type="spellStart"/>
      <w:r w:rsidRPr="00641BA0">
        <w:rPr>
          <w:i/>
          <w:iCs/>
          <w:lang w:val="es-ES"/>
        </w:rPr>
        <w:t>Journal</w:t>
      </w:r>
      <w:proofErr w:type="spellEnd"/>
      <w:r w:rsidRPr="00641BA0">
        <w:rPr>
          <w:i/>
          <w:iCs/>
          <w:lang w:val="es-ES"/>
        </w:rPr>
        <w:t xml:space="preserve"> </w:t>
      </w:r>
      <w:proofErr w:type="spellStart"/>
      <w:r w:rsidRPr="00641BA0">
        <w:rPr>
          <w:i/>
          <w:iCs/>
          <w:lang w:val="es-ES"/>
        </w:rPr>
        <w:t>of</w:t>
      </w:r>
      <w:proofErr w:type="spellEnd"/>
      <w:r w:rsidRPr="00641BA0">
        <w:rPr>
          <w:i/>
          <w:iCs/>
          <w:lang w:val="es-ES"/>
        </w:rPr>
        <w:t xml:space="preserve"> </w:t>
      </w:r>
      <w:proofErr w:type="spellStart"/>
      <w:r w:rsidRPr="00641BA0">
        <w:rPr>
          <w:i/>
          <w:iCs/>
          <w:lang w:val="es-ES"/>
        </w:rPr>
        <w:t>clinical</w:t>
      </w:r>
      <w:proofErr w:type="spellEnd"/>
      <w:r w:rsidRPr="00641BA0">
        <w:rPr>
          <w:i/>
          <w:iCs/>
          <w:lang w:val="es-ES"/>
        </w:rPr>
        <w:t xml:space="preserve"> </w:t>
      </w:r>
      <w:proofErr w:type="spellStart"/>
      <w:r w:rsidRPr="00641BA0">
        <w:rPr>
          <w:i/>
          <w:iCs/>
          <w:lang w:val="es-ES"/>
        </w:rPr>
        <w:t>nursing</w:t>
      </w:r>
      <w:proofErr w:type="spellEnd"/>
      <w:r w:rsidRPr="00641BA0">
        <w:rPr>
          <w:lang w:val="es-ES"/>
        </w:rPr>
        <w:t>, </w:t>
      </w:r>
      <w:r w:rsidRPr="00641BA0">
        <w:rPr>
          <w:i/>
          <w:iCs/>
          <w:lang w:val="es-ES"/>
        </w:rPr>
        <w:t>23</w:t>
      </w:r>
      <w:r w:rsidRPr="00641BA0">
        <w:rPr>
          <w:lang w:val="es-ES"/>
        </w:rPr>
        <w:t xml:space="preserve">(11-12), 1520–1531. </w:t>
      </w:r>
      <w:hyperlink r:id="rId11" w:history="1">
        <w:r w:rsidRPr="00641BA0">
          <w:rPr>
            <w:rStyle w:val="Hyperlink"/>
            <w:lang w:val="es-ES"/>
          </w:rPr>
          <w:t>https://doi.org/10.1111/jocn.12343</w:t>
        </w:r>
      </w:hyperlink>
    </w:p>
    <w:p w14:paraId="1568D9DD" w14:textId="77777777" w:rsidR="006420EB" w:rsidRPr="000A1B9A" w:rsidRDefault="006420EB" w:rsidP="003749A4">
      <w:pPr>
        <w:ind w:left="720" w:hanging="720"/>
        <w:rPr>
          <w:color w:val="3A3A3A"/>
          <w:shd w:val="clear" w:color="auto" w:fill="FFFFFF"/>
        </w:rPr>
      </w:pPr>
      <w:r w:rsidRPr="000A1B9A">
        <w:rPr>
          <w:color w:val="3A3A3A"/>
          <w:shd w:val="clear" w:color="auto" w:fill="FFFFFF"/>
          <w:lang w:val="es-ES"/>
        </w:rPr>
        <w:t xml:space="preserve">Cachón </w:t>
      </w:r>
      <w:proofErr w:type="spellStart"/>
      <w:r w:rsidRPr="000A1B9A">
        <w:rPr>
          <w:color w:val="3A3A3A"/>
          <w:shd w:val="clear" w:color="auto" w:fill="FFFFFF"/>
          <w:lang w:val="es-ES"/>
        </w:rPr>
        <w:t>Zagalaz</w:t>
      </w:r>
      <w:proofErr w:type="spellEnd"/>
      <w:r w:rsidRPr="000A1B9A">
        <w:rPr>
          <w:color w:val="3A3A3A"/>
          <w:shd w:val="clear" w:color="auto" w:fill="FFFFFF"/>
          <w:lang w:val="es-ES"/>
        </w:rPr>
        <w:t xml:space="preserve">, J., López Manrique, I., San Pedro </w:t>
      </w:r>
      <w:proofErr w:type="spellStart"/>
      <w:r w:rsidRPr="000A1B9A">
        <w:rPr>
          <w:color w:val="3A3A3A"/>
          <w:shd w:val="clear" w:color="auto" w:fill="FFFFFF"/>
          <w:lang w:val="es-ES"/>
        </w:rPr>
        <w:t>Veledo</w:t>
      </w:r>
      <w:proofErr w:type="spellEnd"/>
      <w:r w:rsidRPr="000A1B9A">
        <w:rPr>
          <w:color w:val="3A3A3A"/>
          <w:shd w:val="clear" w:color="auto" w:fill="FFFFFF"/>
          <w:lang w:val="es-ES"/>
        </w:rPr>
        <w:t xml:space="preserve">, M. B., </w:t>
      </w:r>
      <w:proofErr w:type="spellStart"/>
      <w:r w:rsidRPr="000A1B9A">
        <w:rPr>
          <w:color w:val="3A3A3A"/>
          <w:shd w:val="clear" w:color="auto" w:fill="FFFFFF"/>
          <w:lang w:val="es-ES"/>
        </w:rPr>
        <w:t>Zagalaz</w:t>
      </w:r>
      <w:proofErr w:type="spellEnd"/>
      <w:r w:rsidRPr="000A1B9A">
        <w:rPr>
          <w:color w:val="3A3A3A"/>
          <w:shd w:val="clear" w:color="auto" w:fill="FFFFFF"/>
          <w:lang w:val="es-ES"/>
        </w:rPr>
        <w:t xml:space="preserve"> Sánchez, M. L., &amp; González </w:t>
      </w:r>
      <w:proofErr w:type="spellStart"/>
      <w:r w:rsidRPr="000A1B9A">
        <w:rPr>
          <w:color w:val="3A3A3A"/>
          <w:shd w:val="clear" w:color="auto" w:fill="FFFFFF"/>
          <w:lang w:val="es-ES"/>
        </w:rPr>
        <w:t>González</w:t>
      </w:r>
      <w:proofErr w:type="spellEnd"/>
      <w:r w:rsidRPr="000A1B9A">
        <w:rPr>
          <w:color w:val="3A3A3A"/>
          <w:shd w:val="clear" w:color="auto" w:fill="FFFFFF"/>
          <w:lang w:val="es-ES"/>
        </w:rPr>
        <w:t xml:space="preserve"> de Mesa, C. (2020). </w:t>
      </w:r>
      <w:r w:rsidRPr="000A1B9A">
        <w:rPr>
          <w:color w:val="3A3A3A"/>
          <w:shd w:val="clear" w:color="auto" w:fill="FFFFFF"/>
        </w:rPr>
        <w:t>The Importance of the Phoenix Bird Technique (Resilience) in Teacher Training: CD-RISC Scale Validation. </w:t>
      </w:r>
      <w:r w:rsidRPr="000A1B9A">
        <w:rPr>
          <w:i/>
          <w:iCs/>
          <w:color w:val="3A3A3A"/>
          <w:shd w:val="clear" w:color="auto" w:fill="FFFFFF"/>
        </w:rPr>
        <w:t>Sustainability</w:t>
      </w:r>
      <w:r w:rsidRPr="000A1B9A">
        <w:rPr>
          <w:color w:val="3A3A3A"/>
          <w:shd w:val="clear" w:color="auto" w:fill="FFFFFF"/>
        </w:rPr>
        <w:t>, </w:t>
      </w:r>
      <w:r w:rsidRPr="000A1B9A">
        <w:rPr>
          <w:i/>
          <w:iCs/>
          <w:color w:val="3A3A3A"/>
          <w:shd w:val="clear" w:color="auto" w:fill="FFFFFF"/>
        </w:rPr>
        <w:t>12</w:t>
      </w:r>
      <w:r w:rsidRPr="000A1B9A">
        <w:rPr>
          <w:color w:val="3A3A3A"/>
          <w:shd w:val="clear" w:color="auto" w:fill="FFFFFF"/>
        </w:rPr>
        <w:t xml:space="preserve">(3), 1002-. </w:t>
      </w:r>
      <w:hyperlink r:id="rId12" w:history="1">
        <w:r w:rsidRPr="000A1B9A">
          <w:rPr>
            <w:rStyle w:val="Hyperlink"/>
            <w:shd w:val="clear" w:color="auto" w:fill="FFFFFF"/>
          </w:rPr>
          <w:t>https://doi.org/10.3390/su12031002</w:t>
        </w:r>
      </w:hyperlink>
    </w:p>
    <w:p w14:paraId="727AA5A2" w14:textId="77777777" w:rsidR="006420EB" w:rsidRPr="00221EB0" w:rsidRDefault="006420EB" w:rsidP="003749A4">
      <w:pPr>
        <w:ind w:left="720" w:hanging="720"/>
        <w:rPr>
          <w:lang w:val="fr-FR"/>
        </w:rPr>
      </w:pPr>
      <w:r w:rsidRPr="003E2340">
        <w:t xml:space="preserve">Campbell, D. T., &amp; Fiske, D. W. (1959). Convergent and discriminant validation by the </w:t>
      </w:r>
      <w:proofErr w:type="spellStart"/>
      <w:r w:rsidRPr="003E2340">
        <w:t>multitrait</w:t>
      </w:r>
      <w:proofErr w:type="spellEnd"/>
      <w:r w:rsidRPr="003E2340">
        <w:t>-multimethod matrix. </w:t>
      </w:r>
      <w:proofErr w:type="spellStart"/>
      <w:r w:rsidRPr="00221EB0">
        <w:rPr>
          <w:i/>
          <w:iCs/>
          <w:lang w:val="fr-FR"/>
        </w:rPr>
        <w:t>Psychological</w:t>
      </w:r>
      <w:proofErr w:type="spellEnd"/>
      <w:r w:rsidRPr="00221EB0">
        <w:rPr>
          <w:i/>
          <w:iCs/>
          <w:lang w:val="fr-FR"/>
        </w:rPr>
        <w:t xml:space="preserve"> Bulletin, 56</w:t>
      </w:r>
      <w:r w:rsidRPr="00221EB0">
        <w:rPr>
          <w:lang w:val="fr-FR"/>
        </w:rPr>
        <w:t>(2), 81–105. </w:t>
      </w:r>
      <w:hyperlink r:id="rId13" w:tgtFrame="_blank" w:history="1">
        <w:r w:rsidRPr="00221EB0">
          <w:rPr>
            <w:rStyle w:val="Hyperlink"/>
            <w:lang w:val="fr-FR"/>
          </w:rPr>
          <w:t>https://doi.org/10.1037/h0046016</w:t>
        </w:r>
      </w:hyperlink>
    </w:p>
    <w:p w14:paraId="66313A73" w14:textId="7D440CE6" w:rsidR="006420EB" w:rsidRDefault="006420EB" w:rsidP="003749A4">
      <w:pPr>
        <w:ind w:left="720" w:hanging="720"/>
      </w:pPr>
      <w:r w:rsidRPr="007467B4">
        <w:lastRenderedPageBreak/>
        <w:t xml:space="preserve">Casteel, A., &amp; </w:t>
      </w:r>
      <w:proofErr w:type="spellStart"/>
      <w:r w:rsidRPr="007467B4">
        <w:t>Bridier</w:t>
      </w:r>
      <w:proofErr w:type="spellEnd"/>
      <w:r w:rsidRPr="007467B4">
        <w:t xml:space="preserve">, N. (2021). </w:t>
      </w:r>
      <w:r w:rsidRPr="00A11E73">
        <w:t xml:space="preserve">Describing </w:t>
      </w:r>
      <w:r w:rsidR="007467B4">
        <w:t>P</w:t>
      </w:r>
      <w:r w:rsidRPr="00A11E73">
        <w:t xml:space="preserve">opulations and </w:t>
      </w:r>
      <w:r w:rsidR="007467B4">
        <w:t>S</w:t>
      </w:r>
      <w:r w:rsidRPr="00A11E73">
        <w:t xml:space="preserve">amples in </w:t>
      </w:r>
      <w:r w:rsidR="007467B4">
        <w:t>D</w:t>
      </w:r>
      <w:r w:rsidRPr="00A11E73">
        <w:t xml:space="preserve">octoral </w:t>
      </w:r>
      <w:r w:rsidR="007467B4">
        <w:t>S</w:t>
      </w:r>
      <w:r w:rsidRPr="00A11E73">
        <w:t xml:space="preserve">tudent </w:t>
      </w:r>
      <w:r w:rsidR="007467B4" w:rsidRPr="007467B4">
        <w:rPr>
          <w:i/>
          <w:iCs/>
        </w:rPr>
        <w:t>R</w:t>
      </w:r>
      <w:r w:rsidRPr="007467B4">
        <w:rPr>
          <w:i/>
          <w:iCs/>
        </w:rPr>
        <w:t>esearch. International Journal of Doctoral Studies</w:t>
      </w:r>
      <w:r w:rsidRPr="00A11E73">
        <w:t>,</w:t>
      </w:r>
      <w:r w:rsidR="007467B4" w:rsidRPr="007467B4">
        <w:rPr>
          <w:rFonts w:ascii="Source Sans Pro" w:hAnsi="Source Sans Pro"/>
          <w:i/>
          <w:iCs/>
          <w:color w:val="3A3A3A"/>
          <w:sz w:val="23"/>
          <w:szCs w:val="23"/>
          <w:shd w:val="clear" w:color="auto" w:fill="FFFFFF"/>
        </w:rPr>
        <w:t xml:space="preserve"> </w:t>
      </w:r>
      <w:r w:rsidR="007467B4" w:rsidRPr="007467B4">
        <w:rPr>
          <w:i/>
          <w:iCs/>
        </w:rPr>
        <w:t>16</w:t>
      </w:r>
      <w:r w:rsidR="007467B4" w:rsidRPr="007467B4">
        <w:t>, 339–362.</w:t>
      </w:r>
      <w:r w:rsidR="004E1F73">
        <w:t xml:space="preserve"> </w:t>
      </w:r>
      <w:r w:rsidR="007467B4" w:rsidRPr="007467B4">
        <w:t>https://doi.org/10.28945/4766</w:t>
      </w:r>
      <w:r w:rsidRPr="00A11E73">
        <w:t xml:space="preserve"> </w:t>
      </w:r>
    </w:p>
    <w:p w14:paraId="099C3EB3" w14:textId="1A067265" w:rsidR="006420EB" w:rsidRPr="000A1B9A" w:rsidRDefault="006420EB" w:rsidP="003749A4">
      <w:pPr>
        <w:ind w:left="720" w:hanging="720"/>
      </w:pPr>
      <w:r w:rsidRPr="000A1B9A">
        <w:t>Clark, L. A., &amp; Watson, D. (1991). Tripartite Model of Anxiety and Depression: Psychometric Evidence and Taxonomic Implications.</w:t>
      </w:r>
      <w:r w:rsidRPr="000A1B9A">
        <w:rPr>
          <w:i/>
          <w:iCs/>
        </w:rPr>
        <w:t> Journal of Abnormal Psychology</w:t>
      </w:r>
      <w:r w:rsidR="007467B4">
        <w:rPr>
          <w:i/>
          <w:iCs/>
        </w:rPr>
        <w:t xml:space="preserve"> (1965),</w:t>
      </w:r>
      <w:r w:rsidRPr="000A1B9A">
        <w:rPr>
          <w:i/>
          <w:iCs/>
        </w:rPr>
        <w:t> 100</w:t>
      </w:r>
      <w:r w:rsidRPr="000A1B9A">
        <w:t>(3), 316</w:t>
      </w:r>
      <w:r w:rsidR="007467B4">
        <w:t>-336</w:t>
      </w:r>
      <w:r w:rsidRPr="000A1B9A">
        <w:t xml:space="preserve">. </w:t>
      </w:r>
      <w:r w:rsidR="007467B4" w:rsidRPr="007467B4">
        <w:t>https://doi.org/10.1037/0021-843X.100.3.316</w:t>
      </w:r>
    </w:p>
    <w:p w14:paraId="4A1E023D" w14:textId="7C4B28C0" w:rsidR="006420EB" w:rsidRPr="004E1F73" w:rsidRDefault="006420EB" w:rsidP="003749A4">
      <w:pPr>
        <w:ind w:left="720" w:hanging="720"/>
      </w:pPr>
      <w:r w:rsidRPr="00A11E73">
        <w:t xml:space="preserve">Clark, L. A., &amp; Watson, D. (2019). Constructing </w:t>
      </w:r>
      <w:r w:rsidR="004E1F73">
        <w:t>V</w:t>
      </w:r>
      <w:r w:rsidRPr="00A11E73">
        <w:t xml:space="preserve">alidity: </w:t>
      </w:r>
      <w:r w:rsidR="004E1F73">
        <w:t>N</w:t>
      </w:r>
      <w:r w:rsidRPr="00A11E73">
        <w:t xml:space="preserve">ew </w:t>
      </w:r>
      <w:r w:rsidR="004E1F73">
        <w:t>D</w:t>
      </w:r>
      <w:r w:rsidRPr="00A11E73">
        <w:t xml:space="preserve">evelopments in </w:t>
      </w:r>
      <w:r w:rsidR="004E1F73">
        <w:t>C</w:t>
      </w:r>
      <w:r w:rsidRPr="00A11E73">
        <w:t xml:space="preserve">reating </w:t>
      </w:r>
      <w:r w:rsidR="004E1F73">
        <w:t>O</w:t>
      </w:r>
      <w:r w:rsidRPr="00A11E73">
        <w:t xml:space="preserve">bjective </w:t>
      </w:r>
      <w:r w:rsidR="004E1F73">
        <w:t>M</w:t>
      </w:r>
      <w:r w:rsidRPr="00A11E73">
        <w:t xml:space="preserve">easuring </w:t>
      </w:r>
      <w:r w:rsidR="004E1F73">
        <w:t>I</w:t>
      </w:r>
      <w:r w:rsidRPr="00A11E73">
        <w:t>nstruments</w:t>
      </w:r>
      <w:r w:rsidR="004E1F73">
        <w:t>.</w:t>
      </w:r>
      <w:r w:rsidR="004E1F73" w:rsidRPr="004E1F73">
        <w:rPr>
          <w:rFonts w:ascii="Source Sans Pro" w:hAnsi="Source Sans Pro"/>
          <w:i/>
          <w:iCs/>
          <w:color w:val="3A3A3A"/>
          <w:sz w:val="23"/>
          <w:szCs w:val="23"/>
          <w:shd w:val="clear" w:color="auto" w:fill="FFFFFF"/>
        </w:rPr>
        <w:t xml:space="preserve"> </w:t>
      </w:r>
      <w:r w:rsidR="004E1F73" w:rsidRPr="004E1F73">
        <w:rPr>
          <w:i/>
          <w:iCs/>
        </w:rPr>
        <w:t>Psychological Assessment</w:t>
      </w:r>
      <w:r w:rsidR="004E1F73" w:rsidRPr="004E1F73">
        <w:t>, </w:t>
      </w:r>
      <w:r w:rsidR="004E1F73" w:rsidRPr="004E1F73">
        <w:rPr>
          <w:i/>
          <w:iCs/>
        </w:rPr>
        <w:t>31</w:t>
      </w:r>
      <w:r w:rsidR="004E1F73" w:rsidRPr="004E1F73">
        <w:t>(12), 1412–1427. https://doi.org/10.1037/pas0000626</w:t>
      </w:r>
      <w:r w:rsidR="004E1F73" w:rsidRPr="004E1F73">
        <w:t xml:space="preserve"> </w:t>
      </w:r>
    </w:p>
    <w:p w14:paraId="7C48B440" w14:textId="6A7625F8" w:rsidR="006420EB" w:rsidRPr="000A1B9A" w:rsidRDefault="006420EB" w:rsidP="003749A4">
      <w:pPr>
        <w:ind w:left="720" w:hanging="720"/>
        <w:rPr>
          <w:color w:val="3A3A3A"/>
          <w:shd w:val="clear" w:color="auto" w:fill="FFFFFF"/>
        </w:rPr>
      </w:pPr>
      <w:r w:rsidRPr="00641BA0">
        <w:rPr>
          <w:color w:val="3A3A3A"/>
          <w:shd w:val="clear" w:color="auto" w:fill="FFFFFF"/>
          <w:lang w:val="fr-FR"/>
        </w:rPr>
        <w:t>Cohen, S., Ka</w:t>
      </w:r>
      <w:proofErr w:type="spellStart"/>
      <w:r w:rsidRPr="00641BA0">
        <w:rPr>
          <w:color w:val="3A3A3A"/>
          <w:shd w:val="clear" w:color="auto" w:fill="FFFFFF"/>
          <w:lang w:val="fr-FR"/>
        </w:rPr>
        <w:t>marck</w:t>
      </w:r>
      <w:proofErr w:type="spellEnd"/>
      <w:r w:rsidRPr="00641BA0">
        <w:rPr>
          <w:color w:val="3A3A3A"/>
          <w:shd w:val="clear" w:color="auto" w:fill="FFFFFF"/>
          <w:lang w:val="fr-FR"/>
        </w:rPr>
        <w:t xml:space="preserve">, T., &amp; </w:t>
      </w:r>
      <w:proofErr w:type="spellStart"/>
      <w:r w:rsidRPr="00641BA0">
        <w:rPr>
          <w:color w:val="3A3A3A"/>
          <w:shd w:val="clear" w:color="auto" w:fill="FFFFFF"/>
          <w:lang w:val="fr-FR"/>
        </w:rPr>
        <w:t>Mermelstein</w:t>
      </w:r>
      <w:proofErr w:type="spellEnd"/>
      <w:r w:rsidRPr="00641BA0">
        <w:rPr>
          <w:color w:val="3A3A3A"/>
          <w:shd w:val="clear" w:color="auto" w:fill="FFFFFF"/>
          <w:lang w:val="fr-FR"/>
        </w:rPr>
        <w:t xml:space="preserve">, R. (1983). </w:t>
      </w:r>
      <w:r w:rsidRPr="000A1B9A">
        <w:rPr>
          <w:color w:val="3A3A3A"/>
          <w:shd w:val="clear" w:color="auto" w:fill="FFFFFF"/>
        </w:rPr>
        <w:t>A Global Measure of Perceived</w:t>
      </w:r>
      <w:r w:rsidR="004E1F73">
        <w:rPr>
          <w:color w:val="3A3A3A"/>
          <w:shd w:val="clear" w:color="auto" w:fill="FFFFFF"/>
        </w:rPr>
        <w:t xml:space="preserve"> </w:t>
      </w:r>
      <w:r w:rsidRPr="000A1B9A">
        <w:rPr>
          <w:color w:val="3A3A3A"/>
          <w:shd w:val="clear" w:color="auto" w:fill="FFFFFF"/>
        </w:rPr>
        <w:t>Stress. </w:t>
      </w:r>
      <w:r w:rsidRPr="000A1B9A">
        <w:rPr>
          <w:i/>
          <w:iCs/>
          <w:color w:val="3A3A3A"/>
          <w:shd w:val="clear" w:color="auto" w:fill="FFFFFF"/>
        </w:rPr>
        <w:t>Journal of Health and Social Behavior</w:t>
      </w:r>
      <w:r w:rsidRPr="000A1B9A">
        <w:rPr>
          <w:color w:val="3A3A3A"/>
          <w:shd w:val="clear" w:color="auto" w:fill="FFFFFF"/>
        </w:rPr>
        <w:t>, </w:t>
      </w:r>
      <w:r w:rsidRPr="000A1B9A">
        <w:rPr>
          <w:i/>
          <w:iCs/>
          <w:color w:val="3A3A3A"/>
          <w:shd w:val="clear" w:color="auto" w:fill="FFFFFF"/>
        </w:rPr>
        <w:t>24</w:t>
      </w:r>
      <w:r w:rsidRPr="000A1B9A">
        <w:rPr>
          <w:color w:val="3A3A3A"/>
          <w:shd w:val="clear" w:color="auto" w:fill="FFFFFF"/>
        </w:rPr>
        <w:t xml:space="preserve">(4), 385–396. </w:t>
      </w:r>
      <w:hyperlink r:id="rId14" w:history="1">
        <w:r w:rsidRPr="000A1B9A">
          <w:rPr>
            <w:rStyle w:val="Hyperlink"/>
            <w:shd w:val="clear" w:color="auto" w:fill="FFFFFF"/>
          </w:rPr>
          <w:t>https://doi.org/10.2307/2136404</w:t>
        </w:r>
      </w:hyperlink>
    </w:p>
    <w:p w14:paraId="0C37F024" w14:textId="77777777" w:rsidR="006420EB" w:rsidRPr="000A1B9A" w:rsidRDefault="006420EB" w:rsidP="003749A4">
      <w:pPr>
        <w:ind w:left="720" w:hanging="720"/>
        <w:rPr>
          <w:color w:val="3A3A3A"/>
          <w:shd w:val="clear" w:color="auto" w:fill="FFFFFF"/>
        </w:rPr>
      </w:pPr>
      <w:r w:rsidRPr="000A1B9A">
        <w:rPr>
          <w:color w:val="3A3A3A"/>
          <w:shd w:val="clear" w:color="auto" w:fill="FFFFFF"/>
        </w:rPr>
        <w:t>Connor, K. M., &amp; Davidson, J. R. T. (2003). Development of a new resilience scale: The Connor-Davidson Resilience Scale (CD-RISC). </w:t>
      </w:r>
      <w:r w:rsidRPr="000A1B9A">
        <w:rPr>
          <w:i/>
          <w:iCs/>
          <w:color w:val="3A3A3A"/>
          <w:shd w:val="clear" w:color="auto" w:fill="FFFFFF"/>
        </w:rPr>
        <w:t>Depression and Anxiety</w:t>
      </w:r>
      <w:r w:rsidRPr="000A1B9A">
        <w:rPr>
          <w:color w:val="3A3A3A"/>
          <w:shd w:val="clear" w:color="auto" w:fill="FFFFFF"/>
        </w:rPr>
        <w:t>, </w:t>
      </w:r>
      <w:r w:rsidRPr="000A1B9A">
        <w:rPr>
          <w:i/>
          <w:iCs/>
          <w:color w:val="3A3A3A"/>
          <w:shd w:val="clear" w:color="auto" w:fill="FFFFFF"/>
        </w:rPr>
        <w:t>18</w:t>
      </w:r>
      <w:r w:rsidRPr="000A1B9A">
        <w:rPr>
          <w:color w:val="3A3A3A"/>
          <w:shd w:val="clear" w:color="auto" w:fill="FFFFFF"/>
        </w:rPr>
        <w:t xml:space="preserve">(2), 76–82. </w:t>
      </w:r>
      <w:hyperlink r:id="rId15" w:history="1">
        <w:r w:rsidRPr="000A1B9A">
          <w:rPr>
            <w:rStyle w:val="Hyperlink"/>
            <w:shd w:val="clear" w:color="auto" w:fill="FFFFFF"/>
          </w:rPr>
          <w:t>https://doi.org/10.1002/da.10113</w:t>
        </w:r>
      </w:hyperlink>
    </w:p>
    <w:p w14:paraId="59045657" w14:textId="10D06DDB" w:rsidR="006420EB" w:rsidRDefault="006420EB" w:rsidP="003749A4">
      <w:pPr>
        <w:ind w:left="720" w:hanging="720"/>
        <w:rPr>
          <w:i/>
          <w:iCs/>
        </w:rPr>
      </w:pPr>
      <w:r w:rsidRPr="00641BA0">
        <w:t xml:space="preserve">Connor, K. M., &amp; Zhang, W. (2006). </w:t>
      </w:r>
      <w:r w:rsidRPr="00B702F2">
        <w:t xml:space="preserve">Resilience: Determinants, </w:t>
      </w:r>
      <w:r w:rsidR="00F0255E">
        <w:t>M</w:t>
      </w:r>
      <w:r w:rsidRPr="00B702F2">
        <w:t xml:space="preserve">easurement, and </w:t>
      </w:r>
      <w:r w:rsidR="00F0255E">
        <w:t>T</w:t>
      </w:r>
      <w:r w:rsidRPr="00B702F2">
        <w:t xml:space="preserve">reatment </w:t>
      </w:r>
      <w:r w:rsidR="00F0255E">
        <w:t>R</w:t>
      </w:r>
      <w:r w:rsidRPr="00B702F2">
        <w:t xml:space="preserve">esponsiveness. </w:t>
      </w:r>
      <w:r w:rsidRPr="00F0255E">
        <w:rPr>
          <w:i/>
          <w:iCs/>
        </w:rPr>
        <w:t>CNS Spectrums,</w:t>
      </w:r>
      <w:r w:rsidR="00F0255E" w:rsidRPr="00F0255E">
        <w:rPr>
          <w:rFonts w:ascii="Arial" w:hAnsi="Arial" w:cs="Arial"/>
          <w:i/>
          <w:iCs/>
          <w:color w:val="333333"/>
          <w:sz w:val="21"/>
          <w:szCs w:val="21"/>
          <w:shd w:val="clear" w:color="auto" w:fill="FFFFFF"/>
        </w:rPr>
        <w:t xml:space="preserve"> </w:t>
      </w:r>
      <w:r w:rsidR="00F0255E" w:rsidRPr="00F0255E">
        <w:rPr>
          <w:i/>
          <w:iCs/>
        </w:rPr>
        <w:t>11</w:t>
      </w:r>
      <w:r w:rsidR="00F0255E" w:rsidRPr="00F0255E">
        <w:t>(</w:t>
      </w:r>
      <w:r w:rsidR="00F0255E" w:rsidRPr="00F0255E">
        <w:t>10, Supp</w:t>
      </w:r>
      <w:r w:rsidR="00F0255E">
        <w:t>l1</w:t>
      </w:r>
      <w:r w:rsidR="00F0255E" w:rsidRPr="00F0255E">
        <w:t>2), 5–12.</w:t>
      </w:r>
      <w:r w:rsidR="00F0255E">
        <w:rPr>
          <w:i/>
          <w:iCs/>
        </w:rPr>
        <w:t xml:space="preserve"> </w:t>
      </w:r>
    </w:p>
    <w:p w14:paraId="3C5EE7C4" w14:textId="6FB6435D" w:rsidR="00F0255E" w:rsidRPr="00F0255E" w:rsidRDefault="00F0255E" w:rsidP="003749A4">
      <w:pPr>
        <w:ind w:left="720" w:hanging="720"/>
      </w:pPr>
      <w:r w:rsidRPr="00F0255E">
        <w:t xml:space="preserve">Cook, T. D., Campbell, D. T., &amp; Peracchio, L. (1990). Quasi experimentation. In M. D. </w:t>
      </w:r>
      <w:proofErr w:type="spellStart"/>
      <w:r w:rsidRPr="00F0255E">
        <w:t>Dunnette</w:t>
      </w:r>
      <w:proofErr w:type="spellEnd"/>
      <w:r w:rsidRPr="00F0255E">
        <w:t xml:space="preserve"> &amp; L. M. Hough (Eds.), </w:t>
      </w:r>
      <w:r w:rsidRPr="00F0255E">
        <w:rPr>
          <w:i/>
          <w:iCs/>
        </w:rPr>
        <w:t>Handbook of industrial and organizational psychology</w:t>
      </w:r>
      <w:r w:rsidRPr="00F0255E">
        <w:t> (2nd ed., pp. 491–576). Consulting Psychologists Press. (Reprinted in revised form from "Handbook of Industrial and Organizational Psychology," Wiley, 1982)</w:t>
      </w:r>
    </w:p>
    <w:p w14:paraId="0E507640" w14:textId="77777777" w:rsidR="006420EB" w:rsidRDefault="006420EB" w:rsidP="003749A4">
      <w:pPr>
        <w:ind w:left="720" w:hanging="720"/>
      </w:pPr>
      <w:r w:rsidRPr="00D27CC9">
        <w:t>Curtis, E. A., Comiskey, C., &amp; Dempsey, O. (2016). Importance and use of correlational research. </w:t>
      </w:r>
      <w:r w:rsidRPr="00D27CC9">
        <w:rPr>
          <w:i/>
          <w:iCs/>
        </w:rPr>
        <w:t>Nurse researcher</w:t>
      </w:r>
      <w:r w:rsidRPr="00D27CC9">
        <w:t>, </w:t>
      </w:r>
      <w:r w:rsidRPr="00D27CC9">
        <w:rPr>
          <w:i/>
          <w:iCs/>
        </w:rPr>
        <w:t>23</w:t>
      </w:r>
      <w:r w:rsidRPr="00D27CC9">
        <w:t xml:space="preserve">(6), 20–25. </w:t>
      </w:r>
      <w:hyperlink r:id="rId16" w:history="1">
        <w:r w:rsidRPr="007F6E3A">
          <w:rPr>
            <w:rStyle w:val="Hyperlink"/>
          </w:rPr>
          <w:t>https://doi.org/10.7748/nr.2016.e1382</w:t>
        </w:r>
      </w:hyperlink>
    </w:p>
    <w:p w14:paraId="3FD53BAF" w14:textId="77777777" w:rsidR="006420EB" w:rsidRDefault="006420EB" w:rsidP="003749A4">
      <w:pPr>
        <w:ind w:left="720" w:hanging="720"/>
      </w:pPr>
      <w:r w:rsidRPr="000A1B9A">
        <w:lastRenderedPageBreak/>
        <w:t xml:space="preserve">Davidson, J., &amp; Connor, K. (2018). Connor-Davidson resilience scale (CD-RISC) manual. Unpublished and partly accessible at </w:t>
      </w:r>
      <w:hyperlink r:id="rId17" w:history="1">
        <w:r w:rsidRPr="000A1B9A">
          <w:rPr>
            <w:rStyle w:val="Hyperlink"/>
          </w:rPr>
          <w:t>www.cd-risc.com</w:t>
        </w:r>
      </w:hyperlink>
      <w:r w:rsidRPr="000A1B9A">
        <w:t>.</w:t>
      </w:r>
    </w:p>
    <w:p w14:paraId="26627B04" w14:textId="572BAE76" w:rsidR="00F0255E" w:rsidRPr="000A1B9A" w:rsidRDefault="00F0255E" w:rsidP="003749A4">
      <w:pPr>
        <w:ind w:left="720" w:hanging="720"/>
      </w:pPr>
      <w:proofErr w:type="spellStart"/>
      <w:r w:rsidRPr="00F0255E">
        <w:t>Degtiar</w:t>
      </w:r>
      <w:proofErr w:type="spellEnd"/>
      <w:r w:rsidRPr="00F0255E">
        <w:t>, I., &amp; Rose, S. (2023). A Review of Generalizability and Transportability. </w:t>
      </w:r>
      <w:r w:rsidRPr="00F0255E">
        <w:rPr>
          <w:i/>
          <w:iCs/>
        </w:rPr>
        <w:t>Annual Review of Statistics and Its Application</w:t>
      </w:r>
      <w:r w:rsidRPr="00F0255E">
        <w:t>, </w:t>
      </w:r>
      <w:r w:rsidRPr="00F0255E">
        <w:rPr>
          <w:i/>
          <w:iCs/>
        </w:rPr>
        <w:t>10</w:t>
      </w:r>
      <w:r w:rsidRPr="00F0255E">
        <w:t>(1), 501–524. https://doi.org/10.1146/annurev-statistics-042522-103837</w:t>
      </w:r>
    </w:p>
    <w:p w14:paraId="28E19AAF" w14:textId="77777777" w:rsidR="006420EB" w:rsidRDefault="006420EB" w:rsidP="003749A4">
      <w:pPr>
        <w:ind w:left="720" w:hanging="720"/>
      </w:pPr>
      <w:r w:rsidRPr="00A06081">
        <w:t xml:space="preserve">Emerson, R. W. (2015). Causation and Pearson’s Correlation Coefficient. </w:t>
      </w:r>
      <w:r w:rsidRPr="00A06081">
        <w:rPr>
          <w:i/>
          <w:iCs/>
        </w:rPr>
        <w:t>Journal of Visual Impairment &amp; Blindness</w:t>
      </w:r>
      <w:r w:rsidRPr="00A06081">
        <w:t xml:space="preserve">, </w:t>
      </w:r>
      <w:r w:rsidRPr="00A06081">
        <w:rPr>
          <w:i/>
          <w:iCs/>
        </w:rPr>
        <w:t>109</w:t>
      </w:r>
      <w:r w:rsidRPr="00A06081">
        <w:t xml:space="preserve">(3), 242–244. </w:t>
      </w:r>
      <w:hyperlink r:id="rId18" w:history="1">
        <w:r w:rsidRPr="00221EB0">
          <w:rPr>
            <w:rStyle w:val="Hyperlink"/>
          </w:rPr>
          <w:t>https://doi.org/10.1177/0145482X1510900311</w:t>
        </w:r>
      </w:hyperlink>
    </w:p>
    <w:p w14:paraId="0A58B9F9" w14:textId="0FEA2BD7" w:rsidR="00F0255E" w:rsidRDefault="00F0255E" w:rsidP="003749A4">
      <w:pPr>
        <w:ind w:left="720" w:hanging="720"/>
      </w:pPr>
      <w:r w:rsidRPr="00F0255E">
        <w:t xml:space="preserve">Faul, F., </w:t>
      </w:r>
      <w:proofErr w:type="spellStart"/>
      <w:r w:rsidRPr="00F0255E">
        <w:t>Erdfelder</w:t>
      </w:r>
      <w:proofErr w:type="spellEnd"/>
      <w:r w:rsidRPr="00F0255E">
        <w:t xml:space="preserve">, E., Lang, A.-G., &amp; Buchner, A. (2007). </w:t>
      </w:r>
      <w:proofErr w:type="spellStart"/>
      <w:r w:rsidRPr="00F0255E">
        <w:t>GPower</w:t>
      </w:r>
      <w:proofErr w:type="spellEnd"/>
      <w:r w:rsidRPr="00F0255E">
        <w:t xml:space="preserve"> 3: a flexible statistical power analysis program for the social, behavioral, and biomedical sciences. </w:t>
      </w:r>
      <w:r w:rsidRPr="00F0255E">
        <w:rPr>
          <w:i/>
          <w:iCs/>
        </w:rPr>
        <w:t>Behavior Research Methods</w:t>
      </w:r>
      <w:r w:rsidRPr="00F0255E">
        <w:t>, </w:t>
      </w:r>
      <w:r w:rsidRPr="00F0255E">
        <w:rPr>
          <w:i/>
          <w:iCs/>
        </w:rPr>
        <w:t>39</w:t>
      </w:r>
      <w:r w:rsidRPr="00F0255E">
        <w:t>(2), 175–191. https://doi.org/10.3758/bf03193146</w:t>
      </w:r>
    </w:p>
    <w:p w14:paraId="51A4344F" w14:textId="77777777" w:rsidR="006420EB" w:rsidRDefault="006420EB" w:rsidP="003749A4">
      <w:pPr>
        <w:ind w:left="720" w:hanging="720"/>
      </w:pPr>
      <w:r w:rsidRPr="00A21797">
        <w:t>Grant, A., Ries, R., &amp; Thompson, C. (2016). Quantitative approaches in life cycle assessment--part 1--descriptive statistics and factor analysis.</w:t>
      </w:r>
      <w:r w:rsidRPr="00A21797">
        <w:rPr>
          <w:i/>
          <w:iCs/>
        </w:rPr>
        <w:t> The International Journal of Life Cycle Assessment, 21</w:t>
      </w:r>
      <w:r w:rsidRPr="00A21797">
        <w:t xml:space="preserve">(6), 903-911. </w:t>
      </w:r>
      <w:hyperlink r:id="rId19" w:history="1">
        <w:r w:rsidRPr="00D36AF0">
          <w:rPr>
            <w:rStyle w:val="Hyperlink"/>
          </w:rPr>
          <w:t>https://doi.org/10.1007/s11367-016-1099-4</w:t>
        </w:r>
      </w:hyperlink>
    </w:p>
    <w:p w14:paraId="2377A9F8" w14:textId="77777777" w:rsidR="006420EB" w:rsidRPr="000A1B9A" w:rsidRDefault="006420EB" w:rsidP="003749A4">
      <w:pPr>
        <w:ind w:left="720" w:hanging="720"/>
        <w:rPr>
          <w:color w:val="3A3A3A"/>
          <w:shd w:val="clear" w:color="auto" w:fill="FFFFFF"/>
        </w:rPr>
      </w:pPr>
      <w:r w:rsidRPr="000A1B9A">
        <w:rPr>
          <w:color w:val="3A3A3A"/>
          <w:shd w:val="clear" w:color="auto" w:fill="FFFFFF"/>
        </w:rPr>
        <w:t>Gucciardi, D. F., Jackson, B., Coulter, T. J., &amp; Mallett, C. J. (2011). The Connor-Davidson Resilience Scale (CD-RISC): Dimensionality and age-related measurement invariance with Australian cricketers. </w:t>
      </w:r>
      <w:r w:rsidRPr="000A1B9A">
        <w:rPr>
          <w:i/>
          <w:iCs/>
          <w:color w:val="3A3A3A"/>
          <w:shd w:val="clear" w:color="auto" w:fill="FFFFFF"/>
        </w:rPr>
        <w:t>Psychology of Sport and Exercise</w:t>
      </w:r>
      <w:r w:rsidRPr="000A1B9A">
        <w:rPr>
          <w:color w:val="3A3A3A"/>
          <w:shd w:val="clear" w:color="auto" w:fill="FFFFFF"/>
        </w:rPr>
        <w:t>, </w:t>
      </w:r>
      <w:r w:rsidRPr="000A1B9A">
        <w:rPr>
          <w:i/>
          <w:iCs/>
          <w:color w:val="3A3A3A"/>
          <w:shd w:val="clear" w:color="auto" w:fill="FFFFFF"/>
        </w:rPr>
        <w:t>12</w:t>
      </w:r>
      <w:r w:rsidRPr="000A1B9A">
        <w:rPr>
          <w:color w:val="3A3A3A"/>
          <w:shd w:val="clear" w:color="auto" w:fill="FFFFFF"/>
        </w:rPr>
        <w:t xml:space="preserve">(4), 423–433. </w:t>
      </w:r>
      <w:hyperlink r:id="rId20" w:history="1">
        <w:r w:rsidRPr="000A1B9A">
          <w:rPr>
            <w:rStyle w:val="Hyperlink"/>
            <w:shd w:val="clear" w:color="auto" w:fill="FFFFFF"/>
          </w:rPr>
          <w:t>https://doi.org/10.1016/j.psychsport.2011.02.005</w:t>
        </w:r>
      </w:hyperlink>
    </w:p>
    <w:p w14:paraId="40C05ED1" w14:textId="77777777" w:rsidR="006420EB" w:rsidRDefault="006420EB" w:rsidP="003749A4">
      <w:pPr>
        <w:ind w:left="720" w:hanging="720"/>
      </w:pPr>
      <w:r w:rsidRPr="00641BA0">
        <w:t xml:space="preserve">Güven, S., Şahin, E., </w:t>
      </w:r>
      <w:proofErr w:type="spellStart"/>
      <w:r w:rsidRPr="00641BA0">
        <w:t>Topkaya</w:t>
      </w:r>
      <w:proofErr w:type="spellEnd"/>
      <w:r w:rsidRPr="00641BA0">
        <w:t xml:space="preserve">, N., Aydın, Ö., Sude, H. A., &amp; Turgut, M. (2025). </w:t>
      </w:r>
      <w:r w:rsidRPr="003E2340">
        <w:t>Psychometric Properties of the Depression Anxiety Stress Scales (DASS-42 and DASS-21) in Patients with Hematologic Malignancies.</w:t>
      </w:r>
      <w:r w:rsidRPr="003E2340">
        <w:rPr>
          <w:i/>
          <w:iCs/>
        </w:rPr>
        <w:t> Journal of Clinical Medicine, 14</w:t>
      </w:r>
      <w:r w:rsidRPr="003E2340">
        <w:t xml:space="preserve">(6), 2097. </w:t>
      </w:r>
      <w:hyperlink r:id="rId21" w:history="1">
        <w:r w:rsidRPr="00D36AF0">
          <w:rPr>
            <w:rStyle w:val="Hyperlink"/>
          </w:rPr>
          <w:t>https://doi.org/10.3390/jcm14062097</w:t>
        </w:r>
      </w:hyperlink>
    </w:p>
    <w:p w14:paraId="2F025BF5" w14:textId="77777777" w:rsidR="006420EB" w:rsidRDefault="006420EB" w:rsidP="003749A4">
      <w:pPr>
        <w:ind w:left="720" w:hanging="720"/>
      </w:pPr>
      <w:r w:rsidRPr="008E3B44">
        <w:lastRenderedPageBreak/>
        <w:t xml:space="preserve">Hoaglin, D. C., </w:t>
      </w:r>
      <w:proofErr w:type="spellStart"/>
      <w:r w:rsidRPr="008E3B44">
        <w:t>Iglewicz</w:t>
      </w:r>
      <w:proofErr w:type="spellEnd"/>
      <w:r w:rsidRPr="008E3B44">
        <w:t xml:space="preserve">, B., &amp; Tukey, J. W. (1986). Performance of some resistant rules for outlier labeling. </w:t>
      </w:r>
      <w:r w:rsidRPr="00656612">
        <w:rPr>
          <w:i/>
          <w:iCs/>
        </w:rPr>
        <w:t>Journal of the American Statistical Association, 81</w:t>
      </w:r>
      <w:r w:rsidRPr="008E3B44">
        <w:t>(396), 991-999.</w:t>
      </w:r>
    </w:p>
    <w:p w14:paraId="088E8C4A" w14:textId="77777777" w:rsidR="006420EB" w:rsidRDefault="006420EB" w:rsidP="003749A4">
      <w:pPr>
        <w:ind w:left="720" w:hanging="720"/>
      </w:pPr>
      <w:r w:rsidRPr="00A06081">
        <w:t>Howitt, D., &amp; Cramer, D. (2014). Introduction to Statistics in Psychology (5th ed.). Harlow: Pearson Education Limited.</w:t>
      </w:r>
    </w:p>
    <w:p w14:paraId="185AC074" w14:textId="0ECF90B3" w:rsidR="00D605D5" w:rsidRDefault="00D605D5" w:rsidP="003749A4">
      <w:pPr>
        <w:ind w:left="720" w:hanging="720"/>
      </w:pPr>
      <w:r w:rsidRPr="00D605D5">
        <w:rPr>
          <w:lang w:val="es-ES"/>
        </w:rPr>
        <w:t xml:space="preserve">Igartua, J.-J., &amp; Hayes, A. F. (2021). </w:t>
      </w:r>
      <w:r w:rsidRPr="00D605D5">
        <w:t>Mediation, Moderation, and Conditional Process Analysis: Concepts, Computations, and Some Common Confusions. </w:t>
      </w:r>
      <w:r w:rsidRPr="00D605D5">
        <w:rPr>
          <w:i/>
          <w:iCs/>
        </w:rPr>
        <w:t>The Spanish Journal of Psychology</w:t>
      </w:r>
      <w:r w:rsidRPr="00D605D5">
        <w:t>, </w:t>
      </w:r>
      <w:r w:rsidRPr="00D605D5">
        <w:rPr>
          <w:i/>
          <w:iCs/>
        </w:rPr>
        <w:t>24</w:t>
      </w:r>
      <w:r w:rsidRPr="00D605D5">
        <w:t xml:space="preserve">, e49–e49. </w:t>
      </w:r>
      <w:hyperlink r:id="rId22" w:history="1">
        <w:r w:rsidRPr="00EA6ED6">
          <w:rPr>
            <w:rStyle w:val="Hyperlink"/>
          </w:rPr>
          <w:t>https://doi.org/10.1017/SJP.2021.46</w:t>
        </w:r>
      </w:hyperlink>
    </w:p>
    <w:p w14:paraId="0E6BDC39" w14:textId="435B9B5E" w:rsidR="00D605D5" w:rsidRDefault="00D605D5" w:rsidP="003749A4">
      <w:pPr>
        <w:ind w:left="720" w:hanging="720"/>
      </w:pPr>
      <w:r w:rsidRPr="00D605D5">
        <w:t xml:space="preserve">Kandemir, M., Ilhan, T., </w:t>
      </w:r>
      <w:proofErr w:type="spellStart"/>
      <w:r w:rsidRPr="00D605D5">
        <w:t>Ozpolat</w:t>
      </w:r>
      <w:proofErr w:type="spellEnd"/>
      <w:r w:rsidRPr="00D605D5">
        <w:t xml:space="preserve">, A. R., &amp; </w:t>
      </w:r>
      <w:proofErr w:type="spellStart"/>
      <w:r w:rsidRPr="00D605D5">
        <w:t>Palanci</w:t>
      </w:r>
      <w:proofErr w:type="spellEnd"/>
      <w:r w:rsidRPr="00D605D5">
        <w:t>, M. (2014). Analysis of Academic Self-Efficacy, Self-Esteem and Coping with Stress Skills Predictive Power on Academic Procrastination. </w:t>
      </w:r>
      <w:r w:rsidRPr="00D605D5">
        <w:rPr>
          <w:i/>
          <w:iCs/>
        </w:rPr>
        <w:t>Educational Research and Reviews</w:t>
      </w:r>
      <w:r w:rsidRPr="00D605D5">
        <w:t>, </w:t>
      </w:r>
      <w:r w:rsidRPr="00D605D5">
        <w:rPr>
          <w:i/>
          <w:iCs/>
        </w:rPr>
        <w:t>9</w:t>
      </w:r>
      <w:r w:rsidRPr="00D605D5">
        <w:t xml:space="preserve">(5), 146–152. </w:t>
      </w:r>
      <w:hyperlink r:id="rId23" w:history="1">
        <w:r w:rsidRPr="00EA6ED6">
          <w:rPr>
            <w:rStyle w:val="Hyperlink"/>
          </w:rPr>
          <w:t>https://doi.org/10.5897/ERR2014.1763</w:t>
        </w:r>
      </w:hyperlink>
    </w:p>
    <w:p w14:paraId="48191821" w14:textId="4A068CBA" w:rsidR="00D605D5" w:rsidRDefault="00D605D5" w:rsidP="003749A4">
      <w:pPr>
        <w:ind w:left="720" w:hanging="720"/>
      </w:pPr>
      <w:r w:rsidRPr="00D605D5">
        <w:t xml:space="preserve">Kang, H. (2021). Sample size determination and power analysis using </w:t>
      </w:r>
      <w:proofErr w:type="gramStart"/>
      <w:r w:rsidRPr="00D605D5">
        <w:t xml:space="preserve">the </w:t>
      </w:r>
      <w:proofErr w:type="spellStart"/>
      <w:r w:rsidRPr="00D605D5">
        <w:t>GPower</w:t>
      </w:r>
      <w:proofErr w:type="spellEnd"/>
      <w:proofErr w:type="gramEnd"/>
      <w:r w:rsidRPr="00D605D5">
        <w:t xml:space="preserve"> software. </w:t>
      </w:r>
      <w:r w:rsidRPr="00D605D5">
        <w:rPr>
          <w:i/>
          <w:iCs/>
        </w:rPr>
        <w:t>Journal of Educational Evaluation for Health Professions</w:t>
      </w:r>
      <w:r w:rsidRPr="00D605D5">
        <w:t>, </w:t>
      </w:r>
      <w:r w:rsidRPr="00D605D5">
        <w:rPr>
          <w:i/>
          <w:iCs/>
        </w:rPr>
        <w:t>18</w:t>
      </w:r>
      <w:r w:rsidRPr="00D605D5">
        <w:t xml:space="preserve">, 17–17. </w:t>
      </w:r>
      <w:hyperlink r:id="rId24" w:history="1">
        <w:r w:rsidRPr="00EA6ED6">
          <w:rPr>
            <w:rStyle w:val="Hyperlink"/>
          </w:rPr>
          <w:t>https://doi.org/10.3352/jeehp.2021.18.17</w:t>
        </w:r>
      </w:hyperlink>
    </w:p>
    <w:p w14:paraId="6CC5AC5C" w14:textId="78A222F7" w:rsidR="00D605D5" w:rsidRDefault="00D605D5" w:rsidP="003749A4">
      <w:pPr>
        <w:ind w:left="720" w:hanging="720"/>
      </w:pPr>
      <w:r w:rsidRPr="00D605D5">
        <w:t>Kobasa, S. C. (1979). Stressful life events, personality, and health: An inquiry into hardiness. </w:t>
      </w:r>
      <w:r w:rsidRPr="00D605D5">
        <w:rPr>
          <w:i/>
          <w:iCs/>
        </w:rPr>
        <w:t>Journal of Personality and Social Psychology</w:t>
      </w:r>
      <w:r w:rsidRPr="00D605D5">
        <w:t>, </w:t>
      </w:r>
      <w:r w:rsidRPr="00D605D5">
        <w:rPr>
          <w:i/>
          <w:iCs/>
        </w:rPr>
        <w:t>37</w:t>
      </w:r>
      <w:r w:rsidRPr="00D605D5">
        <w:t>(1), 1–11. https://doi.org/10.1037/0022-3514.37.1.1</w:t>
      </w:r>
    </w:p>
    <w:p w14:paraId="3356598B" w14:textId="77777777" w:rsidR="006420EB" w:rsidRDefault="006420EB" w:rsidP="003749A4">
      <w:pPr>
        <w:ind w:left="720" w:hanging="720"/>
      </w:pPr>
      <w:proofErr w:type="spellStart"/>
      <w:r w:rsidRPr="00B702F2">
        <w:t>Laerd</w:t>
      </w:r>
      <w:proofErr w:type="spellEnd"/>
      <w:r w:rsidRPr="00B702F2">
        <w:t xml:space="preserve"> (2023). </w:t>
      </w:r>
      <w:proofErr w:type="spellStart"/>
      <w:r w:rsidRPr="00B702F2">
        <w:t>Laerd</w:t>
      </w:r>
      <w:proofErr w:type="spellEnd"/>
      <w:r w:rsidRPr="00B702F2">
        <w:t xml:space="preserve"> Statistics. Available at: https://statistics.laerd.com/ [Accessed 13 November 2023].</w:t>
      </w:r>
    </w:p>
    <w:p w14:paraId="12B5FBC5" w14:textId="3ADF4E57" w:rsidR="006420EB" w:rsidRDefault="006420EB" w:rsidP="003749A4">
      <w:pPr>
        <w:ind w:left="720" w:hanging="720"/>
      </w:pPr>
      <w:proofErr w:type="spellStart"/>
      <w:r w:rsidRPr="000A1B9A">
        <w:t>Laerd</w:t>
      </w:r>
      <w:proofErr w:type="spellEnd"/>
      <w:r w:rsidRPr="000A1B9A">
        <w:t xml:space="preserve"> Statistics. (2018). Statistical tutorials and software guides. </w:t>
      </w:r>
      <w:hyperlink r:id="rId25" w:history="1">
        <w:r w:rsidRPr="000A1B9A">
          <w:rPr>
            <w:rStyle w:val="Hyperlink"/>
          </w:rPr>
          <w:t>https://statistics.laerd.com/</w:t>
        </w:r>
      </w:hyperlink>
    </w:p>
    <w:p w14:paraId="1385D611" w14:textId="77777777" w:rsidR="001F4819" w:rsidRDefault="001F4819" w:rsidP="003749A4">
      <w:pPr>
        <w:ind w:left="720" w:hanging="720"/>
      </w:pPr>
    </w:p>
    <w:p w14:paraId="035B7BF8" w14:textId="77777777" w:rsidR="001F4819" w:rsidRPr="000A1B9A" w:rsidRDefault="001F4819" w:rsidP="003749A4">
      <w:pPr>
        <w:ind w:left="720" w:hanging="720"/>
      </w:pPr>
    </w:p>
    <w:p w14:paraId="6A8878F9" w14:textId="77777777" w:rsidR="006420EB" w:rsidRDefault="006420EB" w:rsidP="003749A4">
      <w:pPr>
        <w:ind w:left="720" w:hanging="720"/>
      </w:pPr>
      <w:r w:rsidRPr="00B702F2">
        <w:lastRenderedPageBreak/>
        <w:t xml:space="preserve">Lamond, A. J., Depp, C. A., Allison, M., Langer, R., Reichstadt, J., Moore, D. J., Golshan, S., </w:t>
      </w:r>
      <w:proofErr w:type="spellStart"/>
      <w:r w:rsidRPr="00B702F2">
        <w:t>Ganiats</w:t>
      </w:r>
      <w:proofErr w:type="spellEnd"/>
      <w:r w:rsidRPr="00B702F2">
        <w:t xml:space="preserve">, T. G., &amp; </w:t>
      </w:r>
      <w:proofErr w:type="spellStart"/>
      <w:r w:rsidRPr="00B702F2">
        <w:t>Jeste</w:t>
      </w:r>
      <w:proofErr w:type="spellEnd"/>
      <w:r w:rsidRPr="00B702F2">
        <w:t>, D. V. (2008). Measurement and predictors of resilience among community-dwelling older women. </w:t>
      </w:r>
      <w:r w:rsidRPr="00B702F2">
        <w:rPr>
          <w:i/>
          <w:iCs/>
        </w:rPr>
        <w:t>Journal of psychiatric research</w:t>
      </w:r>
      <w:r w:rsidRPr="00B702F2">
        <w:t>, </w:t>
      </w:r>
      <w:r w:rsidRPr="00B702F2">
        <w:rPr>
          <w:i/>
          <w:iCs/>
        </w:rPr>
        <w:t>43</w:t>
      </w:r>
      <w:r w:rsidRPr="00B702F2">
        <w:t xml:space="preserve">(2), 148–154. </w:t>
      </w:r>
      <w:hyperlink r:id="rId26" w:history="1">
        <w:r w:rsidRPr="00221EB0">
          <w:rPr>
            <w:rStyle w:val="Hyperlink"/>
          </w:rPr>
          <w:t>https://doi.org/10.1016/j.jpsychires.2008.03.007</w:t>
        </w:r>
      </w:hyperlink>
    </w:p>
    <w:p w14:paraId="1095E272" w14:textId="77777777" w:rsidR="006420EB" w:rsidRPr="000A1B9A" w:rsidRDefault="006420EB" w:rsidP="003749A4">
      <w:pPr>
        <w:ind w:left="720" w:hanging="720"/>
      </w:pPr>
      <w:r w:rsidRPr="000A1B9A">
        <w:t xml:space="preserve">Lovibond, P. F., &amp; Lovibond, S. H. (1995). The structure of negative emotional states: Comparison of the Depression Anxiety Stress Scales (DASS) with the Beck Depression and Anxiety Inventories. </w:t>
      </w:r>
      <w:proofErr w:type="spellStart"/>
      <w:r w:rsidRPr="000A1B9A">
        <w:rPr>
          <w:i/>
          <w:iCs/>
        </w:rPr>
        <w:t>Behaviour</w:t>
      </w:r>
      <w:proofErr w:type="spellEnd"/>
      <w:r w:rsidRPr="000A1B9A">
        <w:rPr>
          <w:i/>
          <w:iCs/>
        </w:rPr>
        <w:t xml:space="preserve"> Research and Therapy</w:t>
      </w:r>
      <w:r w:rsidRPr="000A1B9A">
        <w:t xml:space="preserve">, </w:t>
      </w:r>
      <w:r w:rsidRPr="000A1B9A">
        <w:rPr>
          <w:i/>
          <w:iCs/>
        </w:rPr>
        <w:t>33</w:t>
      </w:r>
      <w:r w:rsidRPr="000A1B9A">
        <w:t>(3), 335–343. https://doi.org/10.1016/0005-7967(94)00075-U</w:t>
      </w:r>
    </w:p>
    <w:p w14:paraId="611CD7CC" w14:textId="77777777" w:rsidR="006420EB" w:rsidRDefault="006420EB" w:rsidP="003749A4">
      <w:pPr>
        <w:ind w:left="720" w:hanging="720"/>
      </w:pPr>
      <w:r w:rsidRPr="000A1B9A">
        <w:rPr>
          <w:color w:val="3A3A3A"/>
          <w:shd w:val="clear" w:color="auto" w:fill="FFFFFF"/>
        </w:rPr>
        <w:t xml:space="preserve">Makara-Studzińska, M., Tyburski, E., </w:t>
      </w:r>
      <w:proofErr w:type="spellStart"/>
      <w:r w:rsidRPr="000A1B9A">
        <w:rPr>
          <w:color w:val="3A3A3A"/>
          <w:shd w:val="clear" w:color="auto" w:fill="FFFFFF"/>
        </w:rPr>
        <w:t>Załuski</w:t>
      </w:r>
      <w:proofErr w:type="spellEnd"/>
      <w:r w:rsidRPr="000A1B9A">
        <w:rPr>
          <w:color w:val="3A3A3A"/>
          <w:shd w:val="clear" w:color="auto" w:fill="FFFFFF"/>
        </w:rPr>
        <w:t>, M., Adamczyk, K., Mesterhazy, J., &amp; Mesterhazy, A. (2022). Confirmatory Factor Analysis of Three Versions of the Depression Anxiety Stress Scale (DASS-42, DASS-21, and DASS-12) in Polish Adults. </w:t>
      </w:r>
      <w:r w:rsidRPr="000A1B9A">
        <w:rPr>
          <w:i/>
          <w:iCs/>
          <w:color w:val="3A3A3A"/>
          <w:shd w:val="clear" w:color="auto" w:fill="FFFFFF"/>
        </w:rPr>
        <w:t>Frontiers in Psychiatry</w:t>
      </w:r>
      <w:r w:rsidRPr="000A1B9A">
        <w:rPr>
          <w:color w:val="3A3A3A"/>
          <w:shd w:val="clear" w:color="auto" w:fill="FFFFFF"/>
        </w:rPr>
        <w:t>, </w:t>
      </w:r>
      <w:r w:rsidRPr="000A1B9A">
        <w:rPr>
          <w:i/>
          <w:iCs/>
          <w:color w:val="3A3A3A"/>
          <w:shd w:val="clear" w:color="auto" w:fill="FFFFFF"/>
        </w:rPr>
        <w:t>12</w:t>
      </w:r>
      <w:r w:rsidRPr="000A1B9A">
        <w:rPr>
          <w:color w:val="3A3A3A"/>
          <w:shd w:val="clear" w:color="auto" w:fill="FFFFFF"/>
        </w:rPr>
        <w:t xml:space="preserve">, 770532–770532. </w:t>
      </w:r>
      <w:hyperlink r:id="rId27" w:history="1">
        <w:r w:rsidRPr="000A1B9A">
          <w:rPr>
            <w:rStyle w:val="Hyperlink"/>
            <w:shd w:val="clear" w:color="auto" w:fill="FFFFFF"/>
          </w:rPr>
          <w:t>https://doi.org/10.3389/fpsyt.2021.770532</w:t>
        </w:r>
      </w:hyperlink>
    </w:p>
    <w:p w14:paraId="2A8FA9A4" w14:textId="3E115FE6" w:rsidR="006420EB" w:rsidRDefault="001F4819" w:rsidP="003749A4">
      <w:pPr>
        <w:ind w:left="720" w:hanging="720"/>
        <w:rPr>
          <w:color w:val="3A3A3A"/>
          <w:shd w:val="clear" w:color="auto" w:fill="FFFFFF"/>
        </w:rPr>
      </w:pPr>
      <w:r w:rsidRPr="001F4819">
        <w:rPr>
          <w:color w:val="3A3A3A"/>
          <w:shd w:val="clear" w:color="auto" w:fill="FFFFFF"/>
        </w:rPr>
        <w:t>McCusker, K., &amp; Gunaydin, S. (2015). Research using qualitative, quantitative or mixed methods and choice based on the research. </w:t>
      </w:r>
      <w:r w:rsidRPr="001F4819">
        <w:rPr>
          <w:i/>
          <w:iCs/>
          <w:color w:val="3A3A3A"/>
          <w:shd w:val="clear" w:color="auto" w:fill="FFFFFF"/>
        </w:rPr>
        <w:t>Perfusion</w:t>
      </w:r>
      <w:r w:rsidRPr="001F4819">
        <w:rPr>
          <w:color w:val="3A3A3A"/>
          <w:shd w:val="clear" w:color="auto" w:fill="FFFFFF"/>
        </w:rPr>
        <w:t>, </w:t>
      </w:r>
      <w:r w:rsidRPr="001F4819">
        <w:rPr>
          <w:i/>
          <w:iCs/>
          <w:color w:val="3A3A3A"/>
          <w:shd w:val="clear" w:color="auto" w:fill="FFFFFF"/>
        </w:rPr>
        <w:t>30</w:t>
      </w:r>
      <w:r w:rsidRPr="001F4819">
        <w:rPr>
          <w:color w:val="3A3A3A"/>
          <w:shd w:val="clear" w:color="auto" w:fill="FFFFFF"/>
        </w:rPr>
        <w:t xml:space="preserve">(7), 537–542. </w:t>
      </w:r>
      <w:hyperlink r:id="rId28" w:history="1">
        <w:r w:rsidRPr="00EA6ED6">
          <w:rPr>
            <w:rStyle w:val="Hyperlink"/>
            <w:shd w:val="clear" w:color="auto" w:fill="FFFFFF"/>
          </w:rPr>
          <w:t>https://doi.org/10.1177/0267659114559116</w:t>
        </w:r>
      </w:hyperlink>
    </w:p>
    <w:p w14:paraId="43B5D5B7" w14:textId="42471A30" w:rsidR="001F4819" w:rsidRPr="001F4819" w:rsidRDefault="001F4819" w:rsidP="003749A4">
      <w:pPr>
        <w:ind w:left="720" w:hanging="720"/>
        <w:rPr>
          <w:color w:val="3A3A3A"/>
          <w:shd w:val="clear" w:color="auto" w:fill="FFFFFF"/>
        </w:rPr>
      </w:pPr>
      <w:r w:rsidRPr="001F4819">
        <w:rPr>
          <w:color w:val="3A3A3A"/>
          <w:shd w:val="clear" w:color="auto" w:fill="FFFFFF"/>
        </w:rPr>
        <w:t>McKechnie, D., &amp; Fisher, M. (2020). Considerations when choosing a statistical method for data analysis. </w:t>
      </w:r>
      <w:proofErr w:type="gramStart"/>
      <w:r w:rsidRPr="001F4819">
        <w:rPr>
          <w:i/>
          <w:iCs/>
          <w:color w:val="3A3A3A"/>
          <w:shd w:val="clear" w:color="auto" w:fill="FFFFFF"/>
        </w:rPr>
        <w:t>JARNA :</w:t>
      </w:r>
      <w:proofErr w:type="gramEnd"/>
      <w:r w:rsidRPr="001F4819">
        <w:rPr>
          <w:i/>
          <w:iCs/>
          <w:color w:val="3A3A3A"/>
          <w:shd w:val="clear" w:color="auto" w:fill="FFFFFF"/>
        </w:rPr>
        <w:t xml:space="preserve"> The Official Journal of the Australasian Rehabilitation Nurses’ Association</w:t>
      </w:r>
      <w:r w:rsidRPr="001F4819">
        <w:rPr>
          <w:color w:val="3A3A3A"/>
          <w:shd w:val="clear" w:color="auto" w:fill="FFFFFF"/>
        </w:rPr>
        <w:t>, </w:t>
      </w:r>
      <w:r w:rsidRPr="001F4819">
        <w:rPr>
          <w:i/>
          <w:iCs/>
          <w:color w:val="3A3A3A"/>
          <w:shd w:val="clear" w:color="auto" w:fill="FFFFFF"/>
        </w:rPr>
        <w:t>22</w:t>
      </w:r>
      <w:r w:rsidRPr="001F4819">
        <w:rPr>
          <w:color w:val="3A3A3A"/>
          <w:shd w:val="clear" w:color="auto" w:fill="FFFFFF"/>
        </w:rPr>
        <w:t>(3), 20–29. https://doi.org/10.33235/jarna.22.3.20-29</w:t>
      </w:r>
    </w:p>
    <w:p w14:paraId="16CD6C0C" w14:textId="77777777" w:rsidR="006420EB" w:rsidRDefault="006420EB" w:rsidP="003749A4">
      <w:pPr>
        <w:ind w:left="720" w:hanging="720"/>
      </w:pPr>
      <w:r w:rsidRPr="00F61662">
        <w:t>Mealer, M., Schmiege, S. J., &amp; Meek, P. (2016). The Connor-Davidson Resilience Scale in Critical Care Nurses: A Psychometric Analysis. </w:t>
      </w:r>
      <w:r w:rsidRPr="00F61662">
        <w:rPr>
          <w:i/>
          <w:iCs/>
        </w:rPr>
        <w:t>Journal of nursing measurement</w:t>
      </w:r>
      <w:r w:rsidRPr="00F61662">
        <w:t>, </w:t>
      </w:r>
      <w:r w:rsidRPr="00F61662">
        <w:rPr>
          <w:i/>
          <w:iCs/>
        </w:rPr>
        <w:t>24</w:t>
      </w:r>
      <w:r w:rsidRPr="00F61662">
        <w:t xml:space="preserve">(1), 28–39. </w:t>
      </w:r>
      <w:hyperlink r:id="rId29" w:history="1">
        <w:r w:rsidRPr="00CD3F06">
          <w:rPr>
            <w:rStyle w:val="Hyperlink"/>
          </w:rPr>
          <w:t>https://doi.org/10.1891/1061-3749.24.1.28</w:t>
        </w:r>
      </w:hyperlink>
    </w:p>
    <w:p w14:paraId="61B6C43A" w14:textId="1A814DBA" w:rsidR="006420EB" w:rsidRDefault="006420EB" w:rsidP="003749A4">
      <w:pPr>
        <w:ind w:hanging="720"/>
      </w:pPr>
    </w:p>
    <w:p w14:paraId="08A9B89F" w14:textId="11BE84C8" w:rsidR="001F4819" w:rsidRDefault="001F4819" w:rsidP="003749A4">
      <w:pPr>
        <w:ind w:left="720" w:hanging="720"/>
      </w:pPr>
      <w:r w:rsidRPr="001F4819">
        <w:lastRenderedPageBreak/>
        <w:t>Neuman, W. Lawrence. (2014). </w:t>
      </w:r>
      <w:r w:rsidRPr="001F4819">
        <w:rPr>
          <w:i/>
          <w:iCs/>
        </w:rPr>
        <w:t xml:space="preserve">Social Research </w:t>
      </w:r>
      <w:proofErr w:type="gramStart"/>
      <w:r w:rsidRPr="001F4819">
        <w:rPr>
          <w:i/>
          <w:iCs/>
        </w:rPr>
        <w:t>Methods :</w:t>
      </w:r>
      <w:proofErr w:type="gramEnd"/>
      <w:r w:rsidRPr="001F4819">
        <w:rPr>
          <w:i/>
          <w:iCs/>
        </w:rPr>
        <w:t xml:space="preserve"> qualitative and quantitative approaches</w:t>
      </w:r>
      <w:r w:rsidRPr="001F4819">
        <w:t> (Ed. 7th). Harlow: Pearson Education Limited.</w:t>
      </w:r>
    </w:p>
    <w:p w14:paraId="3B92C3EE" w14:textId="77777777" w:rsidR="006420EB" w:rsidRDefault="006420EB" w:rsidP="003749A4">
      <w:pPr>
        <w:ind w:left="720" w:hanging="720"/>
      </w:pPr>
      <w:r w:rsidRPr="000A1B9A">
        <w:rPr>
          <w:color w:val="3A3A3A"/>
          <w:shd w:val="clear" w:color="auto" w:fill="FFFFFF"/>
        </w:rPr>
        <w:t>Ni, M. Y., Li, T. K., Yu, N. X., Pang, H., Chan, B. H. Y., Leung, G. M., &amp; Stewart, S. M. (2016). Normative data and psychometric properties of the Connor-Davidson Resilience Scale (CD-RISC) and the abbreviated version (CD-RISC2) among the general population in Hong Kong. </w:t>
      </w:r>
      <w:r w:rsidRPr="000A1B9A">
        <w:rPr>
          <w:i/>
          <w:iCs/>
          <w:color w:val="3A3A3A"/>
          <w:shd w:val="clear" w:color="auto" w:fill="FFFFFF"/>
        </w:rPr>
        <w:t>Quality of Life Research</w:t>
      </w:r>
      <w:r w:rsidRPr="000A1B9A">
        <w:rPr>
          <w:color w:val="3A3A3A"/>
          <w:shd w:val="clear" w:color="auto" w:fill="FFFFFF"/>
        </w:rPr>
        <w:t>, </w:t>
      </w:r>
      <w:r w:rsidRPr="000A1B9A">
        <w:rPr>
          <w:i/>
          <w:iCs/>
          <w:color w:val="3A3A3A"/>
          <w:shd w:val="clear" w:color="auto" w:fill="FFFFFF"/>
        </w:rPr>
        <w:t>25</w:t>
      </w:r>
      <w:r w:rsidRPr="000A1B9A">
        <w:rPr>
          <w:color w:val="3A3A3A"/>
          <w:shd w:val="clear" w:color="auto" w:fill="FFFFFF"/>
        </w:rPr>
        <w:t xml:space="preserve">(1), 111–116. </w:t>
      </w:r>
      <w:hyperlink r:id="rId30" w:history="1">
        <w:r w:rsidRPr="000A1B9A">
          <w:rPr>
            <w:rStyle w:val="Hyperlink"/>
            <w:shd w:val="clear" w:color="auto" w:fill="FFFFFF"/>
          </w:rPr>
          <w:t>https://doi.org/10.1007/s11136-015-1072-x</w:t>
        </w:r>
      </w:hyperlink>
    </w:p>
    <w:p w14:paraId="4A36BF2D" w14:textId="3A5415A2" w:rsidR="00166CB7" w:rsidRPr="00166CB7" w:rsidRDefault="00166CB7" w:rsidP="003749A4">
      <w:pPr>
        <w:ind w:left="720" w:hanging="720"/>
        <w:rPr>
          <w:color w:val="3A3A3A"/>
          <w:shd w:val="clear" w:color="auto" w:fill="FFFFFF"/>
          <w:lang w:val="fr-FR"/>
        </w:rPr>
      </w:pPr>
      <w:r w:rsidRPr="00166CB7">
        <w:rPr>
          <w:color w:val="3A3A3A"/>
          <w:shd w:val="clear" w:color="auto" w:fill="FFFFFF"/>
        </w:rPr>
        <w:t>Norman, G. (2010). Likert scales, levels of measurement and the “laws” of statistics. </w:t>
      </w:r>
      <w:r w:rsidRPr="00166CB7">
        <w:rPr>
          <w:i/>
          <w:iCs/>
          <w:color w:val="3A3A3A"/>
          <w:shd w:val="clear" w:color="auto" w:fill="FFFFFF"/>
        </w:rPr>
        <w:t xml:space="preserve">Advances in Health Sciences </w:t>
      </w:r>
      <w:proofErr w:type="gramStart"/>
      <w:r w:rsidRPr="00166CB7">
        <w:rPr>
          <w:i/>
          <w:iCs/>
          <w:color w:val="3A3A3A"/>
          <w:shd w:val="clear" w:color="auto" w:fill="FFFFFF"/>
        </w:rPr>
        <w:t>Education :</w:t>
      </w:r>
      <w:proofErr w:type="gramEnd"/>
      <w:r w:rsidRPr="00166CB7">
        <w:rPr>
          <w:i/>
          <w:iCs/>
          <w:color w:val="3A3A3A"/>
          <w:shd w:val="clear" w:color="auto" w:fill="FFFFFF"/>
        </w:rPr>
        <w:t xml:space="preserve"> Theory and Practice</w:t>
      </w:r>
      <w:r w:rsidRPr="00166CB7">
        <w:rPr>
          <w:color w:val="3A3A3A"/>
          <w:shd w:val="clear" w:color="auto" w:fill="FFFFFF"/>
        </w:rPr>
        <w:t>, </w:t>
      </w:r>
      <w:r w:rsidRPr="00166CB7">
        <w:rPr>
          <w:i/>
          <w:iCs/>
          <w:color w:val="3A3A3A"/>
          <w:shd w:val="clear" w:color="auto" w:fill="FFFFFF"/>
        </w:rPr>
        <w:t>15</w:t>
      </w:r>
      <w:r w:rsidRPr="00166CB7">
        <w:rPr>
          <w:color w:val="3A3A3A"/>
          <w:shd w:val="clear" w:color="auto" w:fill="FFFFFF"/>
        </w:rPr>
        <w:t xml:space="preserve">(5), 625–632. </w:t>
      </w:r>
      <w:hyperlink r:id="rId31" w:history="1">
        <w:r w:rsidRPr="00166CB7">
          <w:rPr>
            <w:rStyle w:val="Hyperlink"/>
            <w:shd w:val="clear" w:color="auto" w:fill="FFFFFF"/>
            <w:lang w:val="fr-FR"/>
          </w:rPr>
          <w:t>https://doi.org/10.1007/s10459-010-9222-y</w:t>
        </w:r>
      </w:hyperlink>
    </w:p>
    <w:p w14:paraId="616541D1" w14:textId="5607A84A" w:rsidR="00166CB7" w:rsidRPr="000A1B9A" w:rsidRDefault="00166CB7" w:rsidP="003749A4">
      <w:pPr>
        <w:ind w:left="720" w:hanging="720"/>
        <w:rPr>
          <w:color w:val="3A3A3A"/>
          <w:shd w:val="clear" w:color="auto" w:fill="FFFFFF"/>
        </w:rPr>
      </w:pPr>
      <w:proofErr w:type="spellStart"/>
      <w:r w:rsidRPr="00166CB7">
        <w:rPr>
          <w:color w:val="3A3A3A"/>
          <w:shd w:val="clear" w:color="auto" w:fill="FFFFFF"/>
        </w:rPr>
        <w:t>Ogińska</w:t>
      </w:r>
      <w:proofErr w:type="spellEnd"/>
      <w:r w:rsidRPr="00166CB7">
        <w:rPr>
          <w:color w:val="3A3A3A"/>
          <w:shd w:val="clear" w:color="auto" w:fill="FFFFFF"/>
        </w:rPr>
        <w:t xml:space="preserve">-Bulik, N., &amp; Michalska, P. (2021). Psychological Resilience and Secondary Traumatic Stress in Nurses Working </w:t>
      </w:r>
      <w:proofErr w:type="gramStart"/>
      <w:r w:rsidRPr="00166CB7">
        <w:rPr>
          <w:color w:val="3A3A3A"/>
          <w:shd w:val="clear" w:color="auto" w:fill="FFFFFF"/>
        </w:rPr>
        <w:t>With</w:t>
      </w:r>
      <w:proofErr w:type="gramEnd"/>
      <w:r w:rsidRPr="00166CB7">
        <w:rPr>
          <w:color w:val="3A3A3A"/>
          <w:shd w:val="clear" w:color="auto" w:fill="FFFFFF"/>
        </w:rPr>
        <w:t xml:space="preserve"> Terminally Ill Patients-The Mediating Role of Job Burnout. </w:t>
      </w:r>
      <w:r w:rsidRPr="00166CB7">
        <w:rPr>
          <w:i/>
          <w:iCs/>
          <w:color w:val="3A3A3A"/>
          <w:shd w:val="clear" w:color="auto" w:fill="FFFFFF"/>
        </w:rPr>
        <w:t>Psychological Services</w:t>
      </w:r>
      <w:r w:rsidRPr="00166CB7">
        <w:rPr>
          <w:color w:val="3A3A3A"/>
          <w:shd w:val="clear" w:color="auto" w:fill="FFFFFF"/>
        </w:rPr>
        <w:t>, </w:t>
      </w:r>
      <w:r w:rsidRPr="00166CB7">
        <w:rPr>
          <w:i/>
          <w:iCs/>
          <w:color w:val="3A3A3A"/>
          <w:shd w:val="clear" w:color="auto" w:fill="FFFFFF"/>
        </w:rPr>
        <w:t>18</w:t>
      </w:r>
      <w:r w:rsidRPr="00166CB7">
        <w:rPr>
          <w:color w:val="3A3A3A"/>
          <w:shd w:val="clear" w:color="auto" w:fill="FFFFFF"/>
        </w:rPr>
        <w:t>(3), 398–405. https://doi.org/10.1037/ser0000421</w:t>
      </w:r>
    </w:p>
    <w:p w14:paraId="4834FBBC" w14:textId="05026FFA" w:rsidR="006420EB" w:rsidRDefault="006420EB" w:rsidP="003749A4">
      <w:pPr>
        <w:ind w:left="720" w:hanging="720"/>
      </w:pPr>
      <w:r w:rsidRPr="00EC0566">
        <w:t xml:space="preserve">Pallant, J. (2013) SPSS Survival Manual. A </w:t>
      </w:r>
      <w:r w:rsidR="00166CB7" w:rsidRPr="00EC0566">
        <w:t>Step-by-Step</w:t>
      </w:r>
      <w:r w:rsidRPr="00EC0566">
        <w:t xml:space="preserve"> Guide to Data Analysis Using IBM SPSS. Open University Press, Berkshire.</w:t>
      </w:r>
    </w:p>
    <w:p w14:paraId="33AA47A5" w14:textId="7F0BC40B" w:rsidR="006420EB" w:rsidRDefault="00166CB7" w:rsidP="003749A4">
      <w:pPr>
        <w:ind w:left="720" w:hanging="720"/>
      </w:pPr>
      <w:r w:rsidRPr="00166CB7">
        <w:t xml:space="preserve">Polit, D.F. and Beck, C.T. (2012) Nursing Research, Generating and Assessing Evidence for Nursing Practice. </w:t>
      </w:r>
      <w:r>
        <w:t>(</w:t>
      </w:r>
      <w:r w:rsidRPr="00166CB7">
        <w:t>9</w:t>
      </w:r>
      <w:r w:rsidRPr="00166CB7">
        <w:rPr>
          <w:vertAlign w:val="superscript"/>
        </w:rPr>
        <w:t>th</w:t>
      </w:r>
      <w:r>
        <w:t xml:space="preserve"> ed.).</w:t>
      </w:r>
      <w:r w:rsidRPr="00166CB7">
        <w:t xml:space="preserve"> Wolters Kluwer Health/Lippincott Williams &amp; Wilkins, Philadelphia.</w:t>
      </w:r>
    </w:p>
    <w:p w14:paraId="7465AC46" w14:textId="4AACB947" w:rsidR="003749A4" w:rsidRDefault="003749A4" w:rsidP="003749A4">
      <w:pPr>
        <w:ind w:left="720" w:hanging="720"/>
      </w:pPr>
      <w:r w:rsidRPr="003749A4">
        <w:t>Powell, T. C. (2020). Can Quantitative Research Solve Social Problems? Pragmatism and the Ethics of Social Research. </w:t>
      </w:r>
      <w:r w:rsidRPr="003749A4">
        <w:rPr>
          <w:i/>
          <w:iCs/>
        </w:rPr>
        <w:t>Journal of Business Ethics</w:t>
      </w:r>
      <w:r w:rsidRPr="003749A4">
        <w:t>, </w:t>
      </w:r>
      <w:r w:rsidRPr="003749A4">
        <w:rPr>
          <w:i/>
          <w:iCs/>
        </w:rPr>
        <w:t>167</w:t>
      </w:r>
      <w:r w:rsidRPr="003749A4">
        <w:t xml:space="preserve">(1), 41–48. </w:t>
      </w:r>
      <w:hyperlink r:id="rId32" w:history="1">
        <w:r w:rsidRPr="00EA6ED6">
          <w:rPr>
            <w:rStyle w:val="Hyperlink"/>
          </w:rPr>
          <w:t>https://doi.org/10.1007/s10551-019-04196-7</w:t>
        </w:r>
      </w:hyperlink>
    </w:p>
    <w:p w14:paraId="736FAD7C" w14:textId="77777777" w:rsidR="003749A4" w:rsidRDefault="003749A4" w:rsidP="003749A4">
      <w:pPr>
        <w:ind w:left="720" w:hanging="720"/>
      </w:pPr>
    </w:p>
    <w:p w14:paraId="7626927D" w14:textId="240D4D26" w:rsidR="003749A4" w:rsidRDefault="003749A4" w:rsidP="003749A4">
      <w:pPr>
        <w:ind w:left="720" w:hanging="720"/>
      </w:pPr>
      <w:proofErr w:type="spellStart"/>
      <w:r w:rsidRPr="003749A4">
        <w:rPr>
          <w:lang w:val="fr-FR"/>
        </w:rPr>
        <w:lastRenderedPageBreak/>
        <w:t>Sargeant</w:t>
      </w:r>
      <w:proofErr w:type="spellEnd"/>
      <w:r w:rsidRPr="003749A4">
        <w:rPr>
          <w:lang w:val="fr-FR"/>
        </w:rPr>
        <w:t xml:space="preserve">, J. M., Brennan, M. L., &amp; </w:t>
      </w:r>
      <w:proofErr w:type="spellStart"/>
      <w:r w:rsidRPr="003749A4">
        <w:rPr>
          <w:lang w:val="fr-FR"/>
        </w:rPr>
        <w:t>O’Connor</w:t>
      </w:r>
      <w:proofErr w:type="spellEnd"/>
      <w:r w:rsidRPr="003749A4">
        <w:rPr>
          <w:lang w:val="fr-FR"/>
        </w:rPr>
        <w:t xml:space="preserve">, A. M. (2022). </w:t>
      </w:r>
      <w:r w:rsidRPr="003749A4">
        <w:t>Levels of Evidence, Quality Assessment, and Risk of Bias: Evaluating the Internal Validity of Primary Research. </w:t>
      </w:r>
      <w:r w:rsidRPr="003749A4">
        <w:rPr>
          <w:i/>
          <w:iCs/>
        </w:rPr>
        <w:t>Frontiers in Veterinary Science</w:t>
      </w:r>
      <w:r w:rsidRPr="003749A4">
        <w:t>, </w:t>
      </w:r>
      <w:r w:rsidRPr="003749A4">
        <w:rPr>
          <w:i/>
          <w:iCs/>
        </w:rPr>
        <w:t>9</w:t>
      </w:r>
      <w:r w:rsidRPr="003749A4">
        <w:t>, 960957–960957. https://doi.org/10.3389/fvets.2022.960957</w:t>
      </w:r>
    </w:p>
    <w:p w14:paraId="707DFF5D" w14:textId="77777777" w:rsidR="006420EB" w:rsidRPr="000A1B9A" w:rsidRDefault="006420EB" w:rsidP="003749A4">
      <w:pPr>
        <w:ind w:left="720" w:hanging="720"/>
        <w:rPr>
          <w:color w:val="3A3A3A"/>
          <w:shd w:val="clear" w:color="auto" w:fill="FFFFFF"/>
        </w:rPr>
      </w:pPr>
      <w:r w:rsidRPr="000A1B9A">
        <w:rPr>
          <w:color w:val="3A3A3A"/>
          <w:shd w:val="clear" w:color="auto" w:fill="FFFFFF"/>
        </w:rPr>
        <w:t xml:space="preserve">Seyed Alireza </w:t>
      </w:r>
      <w:proofErr w:type="spellStart"/>
      <w:r w:rsidRPr="000A1B9A">
        <w:rPr>
          <w:color w:val="3A3A3A"/>
          <w:shd w:val="clear" w:color="auto" w:fill="FFFFFF"/>
        </w:rPr>
        <w:t>Derakhshanrad</w:t>
      </w:r>
      <w:proofErr w:type="spellEnd"/>
      <w:r w:rsidRPr="000A1B9A">
        <w:rPr>
          <w:color w:val="3A3A3A"/>
          <w:shd w:val="clear" w:color="auto" w:fill="FFFFFF"/>
        </w:rPr>
        <w:t xml:space="preserve">, Emily Piven, Mehdi </w:t>
      </w:r>
      <w:proofErr w:type="spellStart"/>
      <w:r w:rsidRPr="000A1B9A">
        <w:rPr>
          <w:color w:val="3A3A3A"/>
          <w:shd w:val="clear" w:color="auto" w:fill="FFFFFF"/>
        </w:rPr>
        <w:t>Rassafiani</w:t>
      </w:r>
      <w:proofErr w:type="spellEnd"/>
      <w:r w:rsidRPr="000A1B9A">
        <w:rPr>
          <w:color w:val="3A3A3A"/>
          <w:shd w:val="clear" w:color="auto" w:fill="FFFFFF"/>
        </w:rPr>
        <w:t xml:space="preserve">, Seyed Ali Hosseini, &amp; Farahnaz Mohammadi </w:t>
      </w:r>
      <w:proofErr w:type="spellStart"/>
      <w:r w:rsidRPr="000A1B9A">
        <w:rPr>
          <w:color w:val="3A3A3A"/>
          <w:shd w:val="clear" w:color="auto" w:fill="FFFFFF"/>
        </w:rPr>
        <w:t>Shahboulaghi</w:t>
      </w:r>
      <w:proofErr w:type="spellEnd"/>
      <w:r w:rsidRPr="000A1B9A">
        <w:rPr>
          <w:color w:val="3A3A3A"/>
          <w:shd w:val="clear" w:color="auto" w:fill="FFFFFF"/>
        </w:rPr>
        <w:t>. (2014). Standardization of Connor-Davidson Resilience Scale in Iranian subjects with Cerebrovascular Accident. </w:t>
      </w:r>
      <w:r w:rsidRPr="000A1B9A">
        <w:rPr>
          <w:i/>
          <w:iCs/>
          <w:color w:val="3A3A3A"/>
          <w:shd w:val="clear" w:color="auto" w:fill="FFFFFF"/>
        </w:rPr>
        <w:t>Journal of Rehabilitation Sciences and Research</w:t>
      </w:r>
      <w:r w:rsidRPr="000A1B9A">
        <w:rPr>
          <w:color w:val="3A3A3A"/>
          <w:shd w:val="clear" w:color="auto" w:fill="FFFFFF"/>
        </w:rPr>
        <w:t>, </w:t>
      </w:r>
      <w:r w:rsidRPr="000A1B9A">
        <w:rPr>
          <w:i/>
          <w:iCs/>
          <w:color w:val="3A3A3A"/>
          <w:shd w:val="clear" w:color="auto" w:fill="FFFFFF"/>
        </w:rPr>
        <w:t>1</w:t>
      </w:r>
      <w:r w:rsidRPr="000A1B9A">
        <w:rPr>
          <w:color w:val="3A3A3A"/>
          <w:shd w:val="clear" w:color="auto" w:fill="FFFFFF"/>
        </w:rPr>
        <w:t>(4), 73–77.</w:t>
      </w:r>
    </w:p>
    <w:p w14:paraId="2CBA916A" w14:textId="77777777" w:rsidR="006420EB" w:rsidRPr="009E35E4" w:rsidRDefault="006420EB" w:rsidP="003749A4">
      <w:pPr>
        <w:ind w:left="720" w:hanging="720"/>
      </w:pPr>
      <w:r w:rsidRPr="009E35E4">
        <w:t xml:space="preserve">Singer, H., Clarke, E. B., Schiltz, H. K., &amp; Lord, C. (2025). Caregivers and Coping: Well-Being, Depression, and Coping Strategies Among Caregivers of Young Adults </w:t>
      </w:r>
      <w:proofErr w:type="gramStart"/>
      <w:r w:rsidRPr="009E35E4">
        <w:t>With</w:t>
      </w:r>
      <w:proofErr w:type="gramEnd"/>
      <w:r w:rsidRPr="009E35E4">
        <w:t xml:space="preserve"> Developmental Disabilities. </w:t>
      </w:r>
      <w:r w:rsidRPr="009E35E4">
        <w:rPr>
          <w:i/>
          <w:iCs/>
        </w:rPr>
        <w:t>American journal on intellectual and developmental disabilities</w:t>
      </w:r>
      <w:r w:rsidRPr="009E35E4">
        <w:t>, </w:t>
      </w:r>
      <w:r w:rsidRPr="009E35E4">
        <w:rPr>
          <w:i/>
          <w:iCs/>
        </w:rPr>
        <w:t>130</w:t>
      </w:r>
      <w:r w:rsidRPr="009E35E4">
        <w:t>(1), 41–62. https://doi.org/10.1352/1944-7558-130.1.41</w:t>
      </w:r>
    </w:p>
    <w:p w14:paraId="0C696873" w14:textId="77777777" w:rsidR="006420EB" w:rsidRDefault="006420EB" w:rsidP="003749A4">
      <w:pPr>
        <w:ind w:left="720" w:hanging="720"/>
        <w:rPr>
          <w:color w:val="3A3A3A"/>
          <w:shd w:val="clear" w:color="auto" w:fill="FFFFFF"/>
        </w:rPr>
      </w:pPr>
      <w:r w:rsidRPr="000A1B9A">
        <w:rPr>
          <w:i/>
          <w:iCs/>
          <w:color w:val="3A3A3A"/>
          <w:shd w:val="clear" w:color="auto" w:fill="FFFFFF"/>
        </w:rPr>
        <w:t xml:space="preserve">The Belmont </w:t>
      </w:r>
      <w:proofErr w:type="gramStart"/>
      <w:r w:rsidRPr="000A1B9A">
        <w:rPr>
          <w:i/>
          <w:iCs/>
          <w:color w:val="3A3A3A"/>
          <w:shd w:val="clear" w:color="auto" w:fill="FFFFFF"/>
        </w:rPr>
        <w:t>report :</w:t>
      </w:r>
      <w:proofErr w:type="gramEnd"/>
      <w:r w:rsidRPr="000A1B9A">
        <w:rPr>
          <w:i/>
          <w:iCs/>
          <w:color w:val="3A3A3A"/>
          <w:shd w:val="clear" w:color="auto" w:fill="FFFFFF"/>
        </w:rPr>
        <w:t xml:space="preserve"> ethical principles and guidelines for the protection of human subjects of research</w:t>
      </w:r>
      <w:r w:rsidRPr="000A1B9A">
        <w:rPr>
          <w:color w:val="3A3A3A"/>
          <w:shd w:val="clear" w:color="auto" w:fill="FFFFFF"/>
        </w:rPr>
        <w:t>. (1978). The Commission.</w:t>
      </w:r>
    </w:p>
    <w:p w14:paraId="205122B7" w14:textId="11A5E1D4" w:rsidR="003749A4" w:rsidRPr="000A1B9A" w:rsidRDefault="003749A4" w:rsidP="003749A4">
      <w:pPr>
        <w:ind w:left="720" w:hanging="720"/>
        <w:rPr>
          <w:color w:val="3A3A3A"/>
          <w:shd w:val="clear" w:color="auto" w:fill="FFFFFF"/>
        </w:rPr>
      </w:pPr>
      <w:r w:rsidRPr="003749A4">
        <w:rPr>
          <w:color w:val="3A3A3A"/>
          <w:shd w:val="clear" w:color="auto" w:fill="FFFFFF"/>
        </w:rPr>
        <w:t>Warner, P. (2010). Quantifying association in ordinal data. </w:t>
      </w:r>
      <w:r w:rsidRPr="003749A4">
        <w:rPr>
          <w:i/>
          <w:iCs/>
          <w:color w:val="3A3A3A"/>
          <w:shd w:val="clear" w:color="auto" w:fill="FFFFFF"/>
        </w:rPr>
        <w:t>BMJ Sexual &amp; Reproductive Health</w:t>
      </w:r>
      <w:r w:rsidRPr="003749A4">
        <w:rPr>
          <w:color w:val="3A3A3A"/>
          <w:shd w:val="clear" w:color="auto" w:fill="FFFFFF"/>
        </w:rPr>
        <w:t>, </w:t>
      </w:r>
      <w:r w:rsidRPr="003749A4">
        <w:rPr>
          <w:i/>
          <w:iCs/>
          <w:color w:val="3A3A3A"/>
          <w:shd w:val="clear" w:color="auto" w:fill="FFFFFF"/>
        </w:rPr>
        <w:t>36</w:t>
      </w:r>
      <w:r w:rsidRPr="003749A4">
        <w:rPr>
          <w:color w:val="3A3A3A"/>
          <w:shd w:val="clear" w:color="auto" w:fill="FFFFFF"/>
        </w:rPr>
        <w:t>(2), 83-. https://doi.org/10.1783/147118910791069187</w:t>
      </w:r>
    </w:p>
    <w:p w14:paraId="12790211" w14:textId="77777777" w:rsidR="006420EB" w:rsidRDefault="006420EB" w:rsidP="003749A4">
      <w:pPr>
        <w:ind w:left="720" w:hanging="720"/>
      </w:pPr>
      <w:r w:rsidRPr="000A1B9A">
        <w:rPr>
          <w:color w:val="3A3A3A"/>
          <w:shd w:val="clear" w:color="auto" w:fill="FFFFFF"/>
        </w:rPr>
        <w:t>Windle, G., Bennett, K. M., &amp; Noyes, J. (2011). A methodological review of resilience measurement scales. </w:t>
      </w:r>
      <w:r w:rsidRPr="000A1B9A">
        <w:rPr>
          <w:i/>
          <w:iCs/>
          <w:color w:val="3A3A3A"/>
          <w:shd w:val="clear" w:color="auto" w:fill="FFFFFF"/>
        </w:rPr>
        <w:t>Health and Quality of Life Outcomes</w:t>
      </w:r>
      <w:r w:rsidRPr="000A1B9A">
        <w:rPr>
          <w:color w:val="3A3A3A"/>
          <w:shd w:val="clear" w:color="auto" w:fill="FFFFFF"/>
        </w:rPr>
        <w:t>, </w:t>
      </w:r>
      <w:r w:rsidRPr="000A1B9A">
        <w:rPr>
          <w:i/>
          <w:iCs/>
          <w:color w:val="3A3A3A"/>
          <w:shd w:val="clear" w:color="auto" w:fill="FFFFFF"/>
        </w:rPr>
        <w:t>9</w:t>
      </w:r>
      <w:r w:rsidRPr="000A1B9A">
        <w:rPr>
          <w:color w:val="3A3A3A"/>
          <w:shd w:val="clear" w:color="auto" w:fill="FFFFFF"/>
        </w:rPr>
        <w:t xml:space="preserve">(1), 8–8. </w:t>
      </w:r>
      <w:hyperlink r:id="rId33" w:history="1">
        <w:r w:rsidRPr="000A1B9A">
          <w:rPr>
            <w:rStyle w:val="Hyperlink"/>
            <w:shd w:val="clear" w:color="auto" w:fill="FFFFFF"/>
          </w:rPr>
          <w:t>https://doi.org/10.1186/1477-7525-9-8</w:t>
        </w:r>
      </w:hyperlink>
    </w:p>
    <w:p w14:paraId="0202F900" w14:textId="7B045E73" w:rsidR="003749A4" w:rsidRDefault="003749A4" w:rsidP="003749A4">
      <w:pPr>
        <w:ind w:left="720" w:hanging="720"/>
      </w:pPr>
      <w:proofErr w:type="spellStart"/>
      <w:r w:rsidRPr="003749A4">
        <w:rPr>
          <w:lang w:val="es-ES"/>
        </w:rPr>
        <w:t>Wojujutari</w:t>
      </w:r>
      <w:proofErr w:type="spellEnd"/>
      <w:r w:rsidRPr="003749A4">
        <w:rPr>
          <w:lang w:val="es-ES"/>
        </w:rPr>
        <w:t xml:space="preserve">, A. K., </w:t>
      </w:r>
      <w:proofErr w:type="spellStart"/>
      <w:r w:rsidRPr="003749A4">
        <w:rPr>
          <w:lang w:val="es-ES"/>
        </w:rPr>
        <w:t>Idemudia</w:t>
      </w:r>
      <w:proofErr w:type="spellEnd"/>
      <w:r w:rsidRPr="003749A4">
        <w:rPr>
          <w:lang w:val="es-ES"/>
        </w:rPr>
        <w:t xml:space="preserve">, E. S., &amp; </w:t>
      </w:r>
      <w:proofErr w:type="spellStart"/>
      <w:r w:rsidRPr="003749A4">
        <w:rPr>
          <w:lang w:val="es-ES"/>
        </w:rPr>
        <w:t>Ugwu</w:t>
      </w:r>
      <w:proofErr w:type="spellEnd"/>
      <w:r w:rsidRPr="003749A4">
        <w:rPr>
          <w:lang w:val="es-ES"/>
        </w:rPr>
        <w:t xml:space="preserve">, L. E. (2024). </w:t>
      </w:r>
      <w:r w:rsidRPr="003749A4">
        <w:t>Evaluation of reliability generalization of Conner-Davison Resilience Scale (CD-RISC-10 and CD-RISC-25): A Meta-analysis. </w:t>
      </w:r>
      <w:proofErr w:type="spellStart"/>
      <w:r w:rsidRPr="003749A4">
        <w:rPr>
          <w:i/>
          <w:iCs/>
        </w:rPr>
        <w:t>PloS</w:t>
      </w:r>
      <w:proofErr w:type="spellEnd"/>
      <w:r w:rsidRPr="003749A4">
        <w:rPr>
          <w:i/>
          <w:iCs/>
        </w:rPr>
        <w:t xml:space="preserve"> One</w:t>
      </w:r>
      <w:r w:rsidRPr="003749A4">
        <w:t>, </w:t>
      </w:r>
      <w:r w:rsidRPr="003749A4">
        <w:rPr>
          <w:i/>
          <w:iCs/>
        </w:rPr>
        <w:t>19</w:t>
      </w:r>
      <w:r w:rsidRPr="003749A4">
        <w:t>(11), e0297913-. https://doi.org/10.1371/journal.pone.0297913</w:t>
      </w:r>
    </w:p>
    <w:p w14:paraId="1FE29943" w14:textId="5584AC7A" w:rsidR="006420EB" w:rsidRDefault="003749A4" w:rsidP="003749A4">
      <w:pPr>
        <w:ind w:left="720" w:hanging="720"/>
      </w:pPr>
      <w:proofErr w:type="spellStart"/>
      <w:r w:rsidRPr="003749A4">
        <w:lastRenderedPageBreak/>
        <w:t>Zawiślak</w:t>
      </w:r>
      <w:proofErr w:type="spellEnd"/>
      <w:r w:rsidRPr="003749A4">
        <w:t xml:space="preserve">, D., </w:t>
      </w:r>
      <w:proofErr w:type="spellStart"/>
      <w:r w:rsidRPr="003749A4">
        <w:t>Żur-Wyrozumska</w:t>
      </w:r>
      <w:proofErr w:type="spellEnd"/>
      <w:r w:rsidRPr="003749A4">
        <w:t xml:space="preserve">, K., </w:t>
      </w:r>
      <w:proofErr w:type="spellStart"/>
      <w:r w:rsidRPr="003749A4">
        <w:t>Habera</w:t>
      </w:r>
      <w:proofErr w:type="spellEnd"/>
      <w:r w:rsidRPr="003749A4">
        <w:t>, M., Skrzypiec, K., Pac, A., &amp; Cebula, G. (2021). Evaluation of a Polish Version of the Dundee Ready Education Environment Measure. </w:t>
      </w:r>
      <w:r w:rsidRPr="003749A4">
        <w:rPr>
          <w:i/>
          <w:iCs/>
        </w:rPr>
        <w:t xml:space="preserve">Folia Medica </w:t>
      </w:r>
      <w:proofErr w:type="spellStart"/>
      <w:r w:rsidRPr="003749A4">
        <w:rPr>
          <w:i/>
          <w:iCs/>
        </w:rPr>
        <w:t>Cracoviensia</w:t>
      </w:r>
      <w:proofErr w:type="spellEnd"/>
      <w:r w:rsidRPr="003749A4">
        <w:t>, </w:t>
      </w:r>
      <w:r w:rsidRPr="003749A4">
        <w:rPr>
          <w:i/>
          <w:iCs/>
        </w:rPr>
        <w:t>61</w:t>
      </w:r>
      <w:r w:rsidRPr="003749A4">
        <w:t>(1), 81–93. https://doi.org/10.24425/fmc.2021.137215</w:t>
      </w:r>
    </w:p>
    <w:p w14:paraId="5235B5BA" w14:textId="77777777" w:rsidR="006420EB" w:rsidRDefault="006420EB" w:rsidP="003749A4">
      <w:pPr>
        <w:ind w:left="720" w:hanging="720"/>
      </w:pPr>
    </w:p>
    <w:p w14:paraId="45827947" w14:textId="77777777" w:rsidR="006420EB" w:rsidRDefault="006420EB" w:rsidP="003749A4">
      <w:pPr>
        <w:ind w:left="720" w:hanging="720"/>
      </w:pPr>
    </w:p>
    <w:p w14:paraId="1CDF0414" w14:textId="77777777" w:rsidR="006420EB" w:rsidRDefault="006420EB" w:rsidP="003749A4">
      <w:pPr>
        <w:ind w:left="720" w:hanging="720"/>
      </w:pPr>
    </w:p>
    <w:p w14:paraId="12EF4656" w14:textId="77777777" w:rsidR="006420EB" w:rsidRDefault="006420EB" w:rsidP="003749A4">
      <w:pPr>
        <w:ind w:left="720" w:hanging="720"/>
      </w:pPr>
    </w:p>
    <w:p w14:paraId="7CBCEA1A" w14:textId="77777777" w:rsidR="006420EB" w:rsidRDefault="006420EB" w:rsidP="003749A4">
      <w:pPr>
        <w:ind w:left="720" w:hanging="720"/>
      </w:pPr>
    </w:p>
    <w:p w14:paraId="6F0C8614" w14:textId="77777777" w:rsidR="006420EB" w:rsidRDefault="006420EB" w:rsidP="003749A4">
      <w:pPr>
        <w:ind w:left="720" w:hanging="720"/>
      </w:pPr>
    </w:p>
    <w:p w14:paraId="34CE9CEB" w14:textId="77777777" w:rsidR="006420EB" w:rsidRDefault="006420EB" w:rsidP="003749A4">
      <w:pPr>
        <w:ind w:left="720" w:hanging="720"/>
      </w:pPr>
    </w:p>
    <w:p w14:paraId="7E989343" w14:textId="77777777" w:rsidR="006420EB" w:rsidRDefault="006420EB" w:rsidP="006420EB">
      <w:pPr>
        <w:ind w:left="720" w:hanging="720"/>
      </w:pPr>
    </w:p>
    <w:p w14:paraId="178219E6" w14:textId="77777777" w:rsidR="006420EB" w:rsidRDefault="006420EB" w:rsidP="006420EB">
      <w:pPr>
        <w:ind w:left="720" w:hanging="720"/>
      </w:pPr>
    </w:p>
    <w:p w14:paraId="7D28B6AC" w14:textId="77777777" w:rsidR="003749A4" w:rsidRDefault="003749A4" w:rsidP="006420EB">
      <w:pPr>
        <w:ind w:left="720" w:hanging="720"/>
      </w:pPr>
    </w:p>
    <w:p w14:paraId="56F605AF" w14:textId="77777777" w:rsidR="003749A4" w:rsidRDefault="003749A4" w:rsidP="006420EB">
      <w:pPr>
        <w:ind w:left="720" w:hanging="720"/>
      </w:pPr>
    </w:p>
    <w:p w14:paraId="69F59CED" w14:textId="77777777" w:rsidR="003749A4" w:rsidRDefault="003749A4" w:rsidP="006420EB">
      <w:pPr>
        <w:ind w:left="720" w:hanging="720"/>
      </w:pPr>
    </w:p>
    <w:p w14:paraId="64ADFFFF" w14:textId="77777777" w:rsidR="003749A4" w:rsidRDefault="003749A4" w:rsidP="006420EB">
      <w:pPr>
        <w:ind w:left="720" w:hanging="720"/>
      </w:pPr>
    </w:p>
    <w:p w14:paraId="56676469" w14:textId="77777777" w:rsidR="003749A4" w:rsidRDefault="003749A4" w:rsidP="006420EB">
      <w:pPr>
        <w:ind w:left="720" w:hanging="720"/>
      </w:pPr>
    </w:p>
    <w:p w14:paraId="7C2160CB" w14:textId="77777777" w:rsidR="003749A4" w:rsidRDefault="003749A4" w:rsidP="006420EB">
      <w:pPr>
        <w:ind w:left="720" w:hanging="720"/>
      </w:pPr>
    </w:p>
    <w:p w14:paraId="5FCFF956" w14:textId="53EA2688" w:rsidR="003749A4" w:rsidRDefault="003749A4" w:rsidP="003749A4"/>
    <w:p w14:paraId="7E6377FB" w14:textId="77777777" w:rsidR="003749A4" w:rsidRDefault="003749A4" w:rsidP="003749A4"/>
    <w:p w14:paraId="71A0D83A" w14:textId="77777777" w:rsidR="003749A4" w:rsidRDefault="003749A4" w:rsidP="003749A4"/>
    <w:p w14:paraId="24D6DCF3" w14:textId="77777777" w:rsidR="006420EB" w:rsidRDefault="006420EB" w:rsidP="006420EB">
      <w:pPr>
        <w:ind w:left="720" w:hanging="720"/>
      </w:pPr>
    </w:p>
    <w:p w14:paraId="4A1A178E" w14:textId="0A4A3750" w:rsidR="00B67E9D" w:rsidRPr="00B67E9D" w:rsidRDefault="00B67E9D" w:rsidP="00B67E9D">
      <w:pPr>
        <w:ind w:left="720" w:hanging="720"/>
        <w:rPr>
          <w:b/>
          <w:bCs/>
        </w:rPr>
      </w:pPr>
      <w:r>
        <w:lastRenderedPageBreak/>
        <w:t xml:space="preserve">                                                       </w:t>
      </w:r>
      <w:r w:rsidRPr="00B67E9D">
        <w:rPr>
          <w:b/>
          <w:bCs/>
        </w:rPr>
        <w:t>Appendix A</w:t>
      </w:r>
    </w:p>
    <w:p w14:paraId="251C0E07" w14:textId="77777777" w:rsidR="00B67E9D" w:rsidRDefault="00B67E9D" w:rsidP="000A1B9A">
      <w:pPr>
        <w:ind w:left="720" w:hanging="720"/>
      </w:pPr>
    </w:p>
    <w:p w14:paraId="22280C41" w14:textId="3C4C13B5" w:rsidR="006420EB" w:rsidRDefault="00AA5730" w:rsidP="006420EB">
      <w:pPr>
        <w:ind w:left="720" w:hanging="720"/>
      </w:pPr>
      <w:r w:rsidRPr="00AE4E11">
        <w:rPr>
          <w:noProof/>
          <w:color w:val="3A3A3A"/>
          <w:shd w:val="clear" w:color="auto" w:fill="FFFFFF"/>
        </w:rPr>
        <w:drawing>
          <wp:inline distT="0" distB="0" distL="0" distR="0" wp14:anchorId="54FC32CA" wp14:editId="6A354F70">
            <wp:extent cx="5715798" cy="6773220"/>
            <wp:effectExtent l="0" t="0" r="0" b="8890"/>
            <wp:docPr id="66871624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16245" name="Picture 1" descr="A screenshot of a computer&#10;&#10;AI-generated content may be incorrect."/>
                    <pic:cNvPicPr/>
                  </pic:nvPicPr>
                  <pic:blipFill>
                    <a:blip r:embed="rId34"/>
                    <a:stretch>
                      <a:fillRect/>
                    </a:stretch>
                  </pic:blipFill>
                  <pic:spPr>
                    <a:xfrm>
                      <a:off x="0" y="0"/>
                      <a:ext cx="5715798" cy="6773220"/>
                    </a:xfrm>
                    <a:prstGeom prst="rect">
                      <a:avLst/>
                    </a:prstGeom>
                  </pic:spPr>
                </pic:pic>
              </a:graphicData>
            </a:graphic>
          </wp:inline>
        </w:drawing>
      </w:r>
    </w:p>
    <w:p w14:paraId="12AF4371" w14:textId="77777777" w:rsidR="006420EB" w:rsidRPr="006420EB" w:rsidRDefault="006420EB" w:rsidP="006420EB">
      <w:pPr>
        <w:ind w:left="720" w:hanging="720"/>
      </w:pPr>
    </w:p>
    <w:p w14:paraId="1E253333" w14:textId="77777777" w:rsidR="006420EB" w:rsidRDefault="006420EB" w:rsidP="000A1B9A">
      <w:pPr>
        <w:ind w:left="720" w:hanging="720"/>
        <w:rPr>
          <w:color w:val="3A3A3A"/>
          <w:shd w:val="clear" w:color="auto" w:fill="FFFFFF"/>
        </w:rPr>
      </w:pPr>
    </w:p>
    <w:p w14:paraId="708F30E3" w14:textId="77777777" w:rsidR="006420EB" w:rsidRDefault="006420EB" w:rsidP="000A1B9A">
      <w:pPr>
        <w:ind w:left="720" w:hanging="720"/>
        <w:rPr>
          <w:color w:val="3A3A3A"/>
          <w:shd w:val="clear" w:color="auto" w:fill="FFFFFF"/>
        </w:rPr>
      </w:pPr>
    </w:p>
    <w:p w14:paraId="59936527" w14:textId="77777777" w:rsidR="006420EB" w:rsidRDefault="006420EB" w:rsidP="000A1B9A">
      <w:pPr>
        <w:ind w:left="720" w:hanging="720"/>
        <w:rPr>
          <w:color w:val="3A3A3A"/>
          <w:shd w:val="clear" w:color="auto" w:fill="FFFFFF"/>
        </w:rPr>
      </w:pPr>
    </w:p>
    <w:p w14:paraId="0FF467C9" w14:textId="6D1C2A67" w:rsidR="00D6061C" w:rsidRPr="00B67E9D" w:rsidRDefault="00B67E9D" w:rsidP="00B67E9D">
      <w:pPr>
        <w:ind w:left="720" w:hanging="720"/>
        <w:rPr>
          <w:b/>
          <w:bCs/>
          <w:color w:val="3A3A3A"/>
          <w:shd w:val="clear" w:color="auto" w:fill="FFFFFF"/>
        </w:rPr>
      </w:pPr>
      <w:r>
        <w:rPr>
          <w:color w:val="3A3A3A"/>
          <w:shd w:val="clear" w:color="auto" w:fill="FFFFFF"/>
        </w:rPr>
        <w:t xml:space="preserve">                                                                </w:t>
      </w:r>
      <w:r w:rsidRPr="00B67E9D">
        <w:rPr>
          <w:b/>
          <w:bCs/>
          <w:color w:val="3A3A3A"/>
          <w:shd w:val="clear" w:color="auto" w:fill="FFFFFF"/>
        </w:rPr>
        <w:t>Appendix B</w:t>
      </w:r>
    </w:p>
    <w:p w14:paraId="38BD644A" w14:textId="1CDAC641" w:rsidR="00D6061C" w:rsidRPr="00D6061C" w:rsidRDefault="00D6061C" w:rsidP="00D6061C">
      <w:pPr>
        <w:spacing w:before="100" w:beforeAutospacing="1" w:after="100" w:afterAutospacing="1" w:line="240" w:lineRule="auto"/>
      </w:pPr>
      <w:r w:rsidRPr="00D6061C">
        <w:rPr>
          <w:noProof/>
        </w:rPr>
        <w:drawing>
          <wp:inline distT="0" distB="0" distL="0" distR="0" wp14:anchorId="54BD356F" wp14:editId="622FEA02">
            <wp:extent cx="6191250" cy="3028950"/>
            <wp:effectExtent l="0" t="0" r="0" b="0"/>
            <wp:docPr id="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10;&#10;AI-generated content may be incorrec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91250" cy="3028950"/>
                    </a:xfrm>
                    <a:prstGeom prst="rect">
                      <a:avLst/>
                    </a:prstGeom>
                    <a:noFill/>
                    <a:ln>
                      <a:noFill/>
                    </a:ln>
                  </pic:spPr>
                </pic:pic>
              </a:graphicData>
            </a:graphic>
          </wp:inline>
        </w:drawing>
      </w:r>
    </w:p>
    <w:p w14:paraId="586BDAC0" w14:textId="77777777" w:rsidR="00D6061C" w:rsidRDefault="00D6061C" w:rsidP="000A1B9A">
      <w:pPr>
        <w:ind w:left="720" w:hanging="720"/>
        <w:rPr>
          <w:color w:val="3A3A3A"/>
          <w:shd w:val="clear" w:color="auto" w:fill="FFFFFF"/>
        </w:rPr>
      </w:pPr>
    </w:p>
    <w:p w14:paraId="529BA0C0" w14:textId="77777777" w:rsidR="006876C5" w:rsidRDefault="006876C5" w:rsidP="000A1B9A">
      <w:pPr>
        <w:ind w:left="720" w:hanging="720"/>
        <w:rPr>
          <w:color w:val="3A3A3A"/>
          <w:shd w:val="clear" w:color="auto" w:fill="FFFFFF"/>
        </w:rPr>
      </w:pPr>
    </w:p>
    <w:p w14:paraId="48A59018" w14:textId="77777777" w:rsidR="006876C5" w:rsidRDefault="006876C5" w:rsidP="000A1B9A">
      <w:pPr>
        <w:ind w:left="720" w:hanging="720"/>
        <w:rPr>
          <w:color w:val="3A3A3A"/>
          <w:shd w:val="clear" w:color="auto" w:fill="FFFFFF"/>
        </w:rPr>
      </w:pPr>
    </w:p>
    <w:p w14:paraId="19131A11" w14:textId="77777777" w:rsidR="006876C5" w:rsidRDefault="006876C5" w:rsidP="000A1B9A">
      <w:pPr>
        <w:ind w:left="720" w:hanging="720"/>
        <w:rPr>
          <w:color w:val="3A3A3A"/>
          <w:shd w:val="clear" w:color="auto" w:fill="FFFFFF"/>
        </w:rPr>
      </w:pPr>
    </w:p>
    <w:p w14:paraId="67B331DE" w14:textId="77777777" w:rsidR="006876C5" w:rsidRDefault="006876C5" w:rsidP="000A1B9A">
      <w:pPr>
        <w:ind w:left="720" w:hanging="720"/>
        <w:rPr>
          <w:color w:val="3A3A3A"/>
          <w:shd w:val="clear" w:color="auto" w:fill="FFFFFF"/>
        </w:rPr>
      </w:pPr>
    </w:p>
    <w:p w14:paraId="1A8BDC91" w14:textId="77777777" w:rsidR="006876C5" w:rsidRDefault="006876C5" w:rsidP="000A1B9A">
      <w:pPr>
        <w:ind w:left="720" w:hanging="720"/>
        <w:rPr>
          <w:color w:val="3A3A3A"/>
          <w:shd w:val="clear" w:color="auto" w:fill="FFFFFF"/>
        </w:rPr>
      </w:pPr>
    </w:p>
    <w:p w14:paraId="50B4155F" w14:textId="77777777" w:rsidR="006876C5" w:rsidRDefault="006876C5" w:rsidP="000A1B9A">
      <w:pPr>
        <w:ind w:left="720" w:hanging="720"/>
        <w:rPr>
          <w:color w:val="3A3A3A"/>
          <w:shd w:val="clear" w:color="auto" w:fill="FFFFFF"/>
        </w:rPr>
      </w:pPr>
    </w:p>
    <w:p w14:paraId="1E785A11" w14:textId="77777777" w:rsidR="006420EB" w:rsidRDefault="006420EB" w:rsidP="000A1B9A">
      <w:pPr>
        <w:ind w:left="720" w:hanging="720"/>
        <w:rPr>
          <w:color w:val="3A3A3A"/>
          <w:shd w:val="clear" w:color="auto" w:fill="FFFFFF"/>
        </w:rPr>
      </w:pPr>
    </w:p>
    <w:p w14:paraId="47036B24" w14:textId="77777777" w:rsidR="003749A4" w:rsidRDefault="003749A4" w:rsidP="000A1B9A">
      <w:pPr>
        <w:ind w:left="720" w:hanging="720"/>
        <w:rPr>
          <w:color w:val="3A3A3A"/>
          <w:shd w:val="clear" w:color="auto" w:fill="FFFFFF"/>
        </w:rPr>
      </w:pPr>
    </w:p>
    <w:p w14:paraId="648B6B1D" w14:textId="77777777" w:rsidR="00B67E9D" w:rsidRDefault="00B67E9D" w:rsidP="000A1B9A">
      <w:pPr>
        <w:ind w:left="720" w:hanging="720"/>
        <w:rPr>
          <w:color w:val="3A3A3A"/>
          <w:shd w:val="clear" w:color="auto" w:fill="FFFFFF"/>
        </w:rPr>
      </w:pPr>
    </w:p>
    <w:p w14:paraId="51C8A831" w14:textId="77777777" w:rsidR="006876C5" w:rsidRDefault="006876C5" w:rsidP="000A1B9A">
      <w:pPr>
        <w:ind w:left="720" w:hanging="720"/>
        <w:rPr>
          <w:color w:val="3A3A3A"/>
          <w:shd w:val="clear" w:color="auto" w:fill="FFFFFF"/>
        </w:rPr>
      </w:pPr>
    </w:p>
    <w:p w14:paraId="0C78A9A3" w14:textId="77777777" w:rsidR="00B67E9D" w:rsidRPr="00F62476" w:rsidRDefault="00B67E9D" w:rsidP="00B67E9D">
      <w:pPr>
        <w:pStyle w:val="NoSpacing"/>
        <w:rPr>
          <w:b/>
          <w:bCs/>
        </w:rPr>
      </w:pPr>
      <w:r>
        <w:rPr>
          <w:b/>
          <w:bCs/>
        </w:rPr>
        <w:lastRenderedPageBreak/>
        <w:t xml:space="preserve">                                </w:t>
      </w:r>
      <w:r w:rsidRPr="00F62476">
        <w:rPr>
          <w:b/>
          <w:bCs/>
        </w:rPr>
        <w:t xml:space="preserve">Appendix C: Email requesting site authorization, </w:t>
      </w:r>
    </w:p>
    <w:p w14:paraId="0C1082FF" w14:textId="77777777" w:rsidR="00B67E9D" w:rsidRDefault="00B67E9D" w:rsidP="00B67E9D">
      <w:pPr>
        <w:pStyle w:val="NoSpacing"/>
      </w:pPr>
    </w:p>
    <w:p w14:paraId="707E2DA0" w14:textId="77777777" w:rsidR="00B67E9D" w:rsidRDefault="00B67E9D" w:rsidP="00B67E9D">
      <w:pPr>
        <w:pStyle w:val="NoSpacing"/>
      </w:pPr>
      <w:r>
        <w:t>Greetings,</w:t>
      </w:r>
    </w:p>
    <w:p w14:paraId="33A94DC9" w14:textId="77777777" w:rsidR="00B67E9D" w:rsidRDefault="00B67E9D" w:rsidP="00B67E9D">
      <w:pPr>
        <w:pStyle w:val="NoSpacing"/>
      </w:pPr>
    </w:p>
    <w:p w14:paraId="0119D8D6" w14:textId="77777777" w:rsidR="00B67E9D" w:rsidRPr="00F62476" w:rsidRDefault="00B67E9D" w:rsidP="00B67E9D">
      <w:pPr>
        <w:pStyle w:val="NoSpacing"/>
        <w:rPr>
          <w:i/>
          <w:iCs/>
        </w:rPr>
      </w:pPr>
      <w:r>
        <w:t>I am</w:t>
      </w:r>
      <w:r w:rsidRPr="007E4FCC">
        <w:t xml:space="preserve"> Richard Nti, a doctoral student </w:t>
      </w:r>
      <w:r>
        <w:t xml:space="preserve">studying social research </w:t>
      </w:r>
      <w:r w:rsidRPr="007E4FCC">
        <w:t>at Omega Graduate School</w:t>
      </w:r>
      <w:r>
        <w:t xml:space="preserve">. The purpose of this email is to request site authorization for my research project, </w:t>
      </w:r>
      <w:r w:rsidRPr="00F62476">
        <w:rPr>
          <w:i/>
          <w:iCs/>
        </w:rPr>
        <w:t xml:space="preserve">"The relationship between psychological health and psychological resilience among direct support professionals (DSPs)." </w:t>
      </w:r>
    </w:p>
    <w:p w14:paraId="57A041CA" w14:textId="77777777" w:rsidR="00B67E9D" w:rsidRDefault="00B67E9D" w:rsidP="00B67E9D">
      <w:pPr>
        <w:pStyle w:val="NoSpacing"/>
      </w:pPr>
    </w:p>
    <w:p w14:paraId="3A08B721" w14:textId="77777777" w:rsidR="00B67E9D" w:rsidRDefault="00B67E9D" w:rsidP="00B67E9D">
      <w:pPr>
        <w:pStyle w:val="NoSpacing"/>
      </w:pPr>
      <w:r w:rsidRPr="007E4FCC">
        <w:t>The research will involve gathering information from your DSPs who are at least 18 years old, have</w:t>
      </w:r>
      <w:r>
        <w:t xml:space="preserve"> been employed</w:t>
      </w:r>
      <w:r w:rsidRPr="007E4FCC">
        <w:t xml:space="preserve"> for at least </w:t>
      </w:r>
      <w:r>
        <w:t>three</w:t>
      </w:r>
      <w:r w:rsidRPr="007E4FCC">
        <w:t xml:space="preserve"> months, exclusively assist individuals with IDD, and are literate in English. Either full-time or part-time employment is required of them. </w:t>
      </w:r>
    </w:p>
    <w:p w14:paraId="7B663CA2" w14:textId="77777777" w:rsidR="00B67E9D" w:rsidRDefault="00B67E9D" w:rsidP="00B67E9D">
      <w:pPr>
        <w:pStyle w:val="NoSpacing"/>
      </w:pPr>
    </w:p>
    <w:p w14:paraId="1C311647" w14:textId="77777777" w:rsidR="00B67E9D" w:rsidRDefault="00B67E9D" w:rsidP="00B67E9D">
      <w:pPr>
        <w:pStyle w:val="NoSpacing"/>
      </w:pPr>
      <w:r w:rsidRPr="007E4FCC">
        <w:t xml:space="preserve">If they consent, DSPs from your company will be asked to </w:t>
      </w:r>
      <w:r>
        <w:t>answer</w:t>
      </w:r>
      <w:r w:rsidRPr="007E4FCC">
        <w:t xml:space="preserve"> survey questions </w:t>
      </w:r>
      <w:r>
        <w:t xml:space="preserve">using </w:t>
      </w:r>
      <w:r w:rsidRPr="007E4FCC">
        <w:t xml:space="preserve">Survey Monkey. </w:t>
      </w:r>
      <w:r>
        <w:t xml:space="preserve">Their written consent will be requested prior to the commencement of the study. </w:t>
      </w:r>
      <w:r w:rsidRPr="007E4FCC">
        <w:t xml:space="preserve">Unless otherwise specified, their answers will be kept private, and their identities will remain anonymous. </w:t>
      </w:r>
    </w:p>
    <w:p w14:paraId="22306C59" w14:textId="77777777" w:rsidR="00B67E9D" w:rsidRDefault="00B67E9D" w:rsidP="00B67E9D">
      <w:pPr>
        <w:pStyle w:val="NoSpacing"/>
      </w:pPr>
    </w:p>
    <w:p w14:paraId="36B961E8" w14:textId="77777777" w:rsidR="00B67E9D" w:rsidRDefault="00B67E9D" w:rsidP="00B67E9D">
      <w:pPr>
        <w:pStyle w:val="NoSpacing"/>
      </w:pPr>
      <w:r w:rsidRPr="007E4FCC">
        <w:t xml:space="preserve">Every published and written piece of </w:t>
      </w:r>
      <w:r>
        <w:t xml:space="preserve">work </w:t>
      </w:r>
      <w:r w:rsidRPr="007E4FCC">
        <w:t xml:space="preserve">arising from the study will respect individual privacy. </w:t>
      </w:r>
      <w:r>
        <w:t>P</w:t>
      </w:r>
      <w:r w:rsidRPr="007E4FCC">
        <w:t xml:space="preserve">articipants will need to spend thirty to forty-five minutes filling out the survey packet. Since this will be done online, prospective participants can fill out the survey from the convenience of their own homes. </w:t>
      </w:r>
    </w:p>
    <w:p w14:paraId="00EDD761" w14:textId="77777777" w:rsidR="00B67E9D" w:rsidRDefault="00B67E9D" w:rsidP="00B67E9D">
      <w:pPr>
        <w:pStyle w:val="NoSpacing"/>
      </w:pPr>
    </w:p>
    <w:p w14:paraId="3F6C4C66" w14:textId="77777777" w:rsidR="00B67E9D" w:rsidRDefault="00B67E9D" w:rsidP="00B67E9D">
      <w:pPr>
        <w:pStyle w:val="NoSpacing"/>
      </w:pPr>
      <w:r w:rsidRPr="007E4FCC">
        <w:t>You will be informed of the survey's findings. There will be no benefits or drawbacks for the research participants. They will be assured that there will be no consequences if they decide to revoke their consent at any point while the study is underway.</w:t>
      </w:r>
    </w:p>
    <w:p w14:paraId="38BBCCAF" w14:textId="77777777" w:rsidR="00B67E9D" w:rsidRDefault="00B67E9D" w:rsidP="00B67E9D">
      <w:pPr>
        <w:pStyle w:val="NoSpacing"/>
      </w:pPr>
    </w:p>
    <w:p w14:paraId="17A81C89" w14:textId="77777777" w:rsidR="00B67E9D" w:rsidRDefault="00B67E9D" w:rsidP="00B67E9D">
      <w:pPr>
        <w:pStyle w:val="NoSpacing"/>
      </w:pPr>
      <w:r w:rsidRPr="007E4FCC">
        <w:t xml:space="preserve">There are no known risks associated with taking part in this research. </w:t>
      </w:r>
      <w:r>
        <w:t xml:space="preserve">After completing the survey, participants will receive </w:t>
      </w:r>
      <w:r w:rsidRPr="007E4FCC">
        <w:t>$20 gas cards</w:t>
      </w:r>
      <w:r>
        <w:t>.</w:t>
      </w:r>
      <w:r w:rsidRPr="007E4FCC">
        <w:t xml:space="preserve"> After three years, all research data will be deleted. </w:t>
      </w:r>
    </w:p>
    <w:p w14:paraId="275B67C6" w14:textId="77777777" w:rsidR="00B67E9D" w:rsidRDefault="00B67E9D" w:rsidP="00B67E9D">
      <w:pPr>
        <w:pStyle w:val="NoSpacing"/>
      </w:pPr>
    </w:p>
    <w:p w14:paraId="78A8CCA6" w14:textId="77777777" w:rsidR="00B67E9D" w:rsidRDefault="00B67E9D" w:rsidP="00B67E9D">
      <w:pPr>
        <w:pStyle w:val="NoSpacing"/>
      </w:pPr>
      <w:r w:rsidRPr="007E4FCC">
        <w:t>As a result, I am writing to ask for permission to conduct my research at your company. The authorization letter should be signed, dated, and on the official letterhead of your organization. It should include my name and the title of my research. Kindly notify me if you need any additional details. As soon as it</w:t>
      </w:r>
      <w:r>
        <w:t xml:space="preserve"> is </w:t>
      </w:r>
      <w:r w:rsidRPr="007E4FCC">
        <w:t xml:space="preserve">convenient, I eagerly await your response. </w:t>
      </w:r>
    </w:p>
    <w:p w14:paraId="7EC00592" w14:textId="77777777" w:rsidR="00B67E9D" w:rsidRDefault="00B67E9D" w:rsidP="00B67E9D">
      <w:pPr>
        <w:pStyle w:val="NoSpacing"/>
      </w:pPr>
    </w:p>
    <w:p w14:paraId="27A2A940" w14:textId="77777777" w:rsidR="00B67E9D" w:rsidRDefault="00B67E9D" w:rsidP="00B67E9D">
      <w:pPr>
        <w:pStyle w:val="NoSpacing"/>
      </w:pPr>
      <w:r w:rsidRPr="007E4FCC">
        <w:t>Sincerely,</w:t>
      </w:r>
    </w:p>
    <w:p w14:paraId="2643D5CB" w14:textId="77777777" w:rsidR="00B67E9D" w:rsidRDefault="00B67E9D" w:rsidP="00B67E9D">
      <w:pPr>
        <w:pStyle w:val="NoSpacing"/>
      </w:pPr>
      <w:r w:rsidRPr="007E4FCC">
        <w:t xml:space="preserve">Richard Nti </w:t>
      </w:r>
    </w:p>
    <w:p w14:paraId="136D828C" w14:textId="77777777" w:rsidR="00B67E9D" w:rsidRDefault="00B67E9D" w:rsidP="00B67E9D">
      <w:pPr>
        <w:pStyle w:val="NoSpacing"/>
      </w:pPr>
      <w:r w:rsidRPr="007E4FCC">
        <w:t xml:space="preserve">7272528185 </w:t>
      </w:r>
    </w:p>
    <w:p w14:paraId="70BE7654" w14:textId="6D212000" w:rsidR="006420EB" w:rsidRPr="006420EB" w:rsidRDefault="00B67E9D" w:rsidP="006876C5">
      <w:pPr>
        <w:pStyle w:val="NoSpacing"/>
      </w:pPr>
      <w:r w:rsidRPr="007E4FCC">
        <w:t xml:space="preserve">ntirich@yahoo.com. </w:t>
      </w:r>
    </w:p>
    <w:p w14:paraId="6DE320A0" w14:textId="77777777" w:rsidR="006876C5" w:rsidRDefault="006876C5" w:rsidP="006876C5">
      <w:pPr>
        <w:pStyle w:val="NoSpacing"/>
        <w:rPr>
          <w:color w:val="3A3A3A"/>
          <w:shd w:val="clear" w:color="auto" w:fill="FFFFFF"/>
        </w:rPr>
      </w:pPr>
    </w:p>
    <w:p w14:paraId="46346CC1" w14:textId="77777777" w:rsidR="006876C5" w:rsidRDefault="006876C5" w:rsidP="006876C5">
      <w:pPr>
        <w:pStyle w:val="NoSpacing"/>
        <w:rPr>
          <w:color w:val="3A3A3A"/>
          <w:shd w:val="clear" w:color="auto" w:fill="FFFFFF"/>
        </w:rPr>
      </w:pPr>
    </w:p>
    <w:p w14:paraId="13725FF6" w14:textId="77777777" w:rsidR="006876C5" w:rsidRDefault="006876C5" w:rsidP="006876C5">
      <w:pPr>
        <w:pStyle w:val="NoSpacing"/>
        <w:rPr>
          <w:color w:val="3A3A3A"/>
          <w:shd w:val="clear" w:color="auto" w:fill="FFFFFF"/>
        </w:rPr>
      </w:pPr>
    </w:p>
    <w:p w14:paraId="44CC19DC" w14:textId="77777777" w:rsidR="003749A4" w:rsidRDefault="003749A4" w:rsidP="006876C5">
      <w:pPr>
        <w:pStyle w:val="NoSpacing"/>
        <w:rPr>
          <w:color w:val="3A3A3A"/>
          <w:shd w:val="clear" w:color="auto" w:fill="FFFFFF"/>
        </w:rPr>
      </w:pPr>
    </w:p>
    <w:p w14:paraId="20F6FF1C" w14:textId="77777777" w:rsidR="003749A4" w:rsidRDefault="003749A4" w:rsidP="006876C5">
      <w:pPr>
        <w:pStyle w:val="NoSpacing"/>
        <w:rPr>
          <w:color w:val="3A3A3A"/>
          <w:shd w:val="clear" w:color="auto" w:fill="FFFFFF"/>
        </w:rPr>
      </w:pPr>
    </w:p>
    <w:p w14:paraId="5B9314B6" w14:textId="77777777" w:rsidR="006420EB" w:rsidRDefault="006420EB" w:rsidP="006876C5">
      <w:pPr>
        <w:pStyle w:val="NoSpacing"/>
        <w:rPr>
          <w:color w:val="3A3A3A"/>
          <w:shd w:val="clear" w:color="auto" w:fill="FFFFFF"/>
        </w:rPr>
      </w:pPr>
    </w:p>
    <w:p w14:paraId="1D26F2B3" w14:textId="77777777" w:rsidR="004D7AFA" w:rsidRDefault="004D7AFA" w:rsidP="004D7AFA">
      <w:pPr>
        <w:rPr>
          <w:b/>
          <w:bCs/>
        </w:rPr>
      </w:pPr>
      <w:r>
        <w:lastRenderedPageBreak/>
        <w:t xml:space="preserve">                                           </w:t>
      </w:r>
      <w:r w:rsidRPr="003E7630">
        <w:rPr>
          <w:b/>
          <w:bCs/>
        </w:rPr>
        <w:t>Appendix F: Informed Consent</w:t>
      </w:r>
    </w:p>
    <w:p w14:paraId="7A398C39" w14:textId="77777777" w:rsidR="004D7AFA" w:rsidRPr="0012727A" w:rsidRDefault="004D7AFA" w:rsidP="004D7AFA">
      <w:r w:rsidRPr="0012727A">
        <w:rPr>
          <w:b/>
          <w:bCs/>
        </w:rPr>
        <w:t>Introduction</w:t>
      </w:r>
      <w:r w:rsidRPr="0012727A">
        <w:t xml:space="preserve">: As a research study participant, you should be informed about the proposed study </w:t>
      </w:r>
      <w:proofErr w:type="gramStart"/>
      <w:r w:rsidRPr="0012727A">
        <w:t>in order to</w:t>
      </w:r>
      <w:proofErr w:type="gramEnd"/>
      <w:r w:rsidRPr="0012727A">
        <w:t xml:space="preserve"> obtain your informed consent. You may decide not to participate in this survey after reading this information.</w:t>
      </w:r>
    </w:p>
    <w:p w14:paraId="0CC566B0" w14:textId="77777777" w:rsidR="004D7AFA" w:rsidRDefault="004D7AFA" w:rsidP="004D7AFA">
      <w:r w:rsidRPr="0012727A">
        <w:rPr>
          <w:b/>
          <w:bCs/>
        </w:rPr>
        <w:t>Research</w:t>
      </w:r>
      <w:r w:rsidRPr="0012727A">
        <w:t>: I, Richard Nti, am asking you to participate in this study. I am completing this research as part of my doctoral degree.</w:t>
      </w:r>
    </w:p>
    <w:p w14:paraId="0C012AB5" w14:textId="77777777" w:rsidR="004D7AFA" w:rsidRDefault="004D7AFA" w:rsidP="004D7AFA">
      <w:r w:rsidRPr="0012727A">
        <w:rPr>
          <w:b/>
          <w:bCs/>
        </w:rPr>
        <w:t>Purpose of the study</w:t>
      </w:r>
      <w:r>
        <w:rPr>
          <w:b/>
          <w:bCs/>
        </w:rPr>
        <w:t xml:space="preserve">: </w:t>
      </w:r>
      <w:r w:rsidRPr="00EF6D49">
        <w:t>The purpose of this research will be to examine the relationship between psychological health and psychological resilience among DSPs in southern Minnesota.</w:t>
      </w:r>
    </w:p>
    <w:p w14:paraId="23D02125" w14:textId="22433CC7" w:rsidR="004D7AFA" w:rsidRDefault="004D7AFA" w:rsidP="004D7AFA">
      <w:r>
        <w:rPr>
          <w:b/>
          <w:bCs/>
        </w:rPr>
        <w:t xml:space="preserve">Eligibility: </w:t>
      </w:r>
      <w:r w:rsidRPr="00EF6D49">
        <w:t>You can take part in this study if you</w:t>
      </w:r>
      <w:r>
        <w:t>; 1. 18 years of age or older 2. DSP 3. Have been employed for at least 3 months, and serve people with IDD and able to read and understand English</w:t>
      </w:r>
    </w:p>
    <w:p w14:paraId="0294558C" w14:textId="77777777" w:rsidR="004D7AFA" w:rsidRDefault="004D7AFA" w:rsidP="004D7AFA">
      <w:r w:rsidRPr="000666EC">
        <w:rPr>
          <w:b/>
          <w:bCs/>
        </w:rPr>
        <w:t>Description of Research Activity</w:t>
      </w:r>
      <w:r>
        <w:t xml:space="preserve">: </w:t>
      </w:r>
      <w:r w:rsidRPr="000666EC">
        <w:t>If you decide to participate in the study, you will be asked for the following information</w:t>
      </w:r>
      <w:r>
        <w:t xml:space="preserve">: Age, gender, years of services as DSP, educational attainment. </w:t>
      </w:r>
    </w:p>
    <w:p w14:paraId="0FA28BD1" w14:textId="77777777" w:rsidR="004D7AFA" w:rsidRDefault="004D7AFA" w:rsidP="004D7AFA">
      <w:r w:rsidRPr="0034799E">
        <w:t>These questions are asked to help the researcher to understand the general characteristics of the respondents. They will be presented as a group, and no individual information will be presented in the final analysis of the data. This survey will take approximately 30-45 minutes to complete. All the quest</w:t>
      </w:r>
      <w:r>
        <w:t>ions should</w:t>
      </w:r>
      <w:r w:rsidRPr="0034799E">
        <w:t xml:space="preserve"> be answered.</w:t>
      </w:r>
      <w:r>
        <w:t xml:space="preserve"> Under 100 participants</w:t>
      </w:r>
      <w:r w:rsidRPr="0034799E">
        <w:t xml:space="preserve"> will participate in this research study.</w:t>
      </w:r>
    </w:p>
    <w:p w14:paraId="69DA8DFE" w14:textId="77777777" w:rsidR="004D7AFA" w:rsidRDefault="004D7AFA" w:rsidP="004D7AFA">
      <w:r w:rsidRPr="0034799E">
        <w:rPr>
          <w:b/>
          <w:bCs/>
        </w:rPr>
        <w:t>Risks</w:t>
      </w:r>
      <w:r>
        <w:rPr>
          <w:b/>
          <w:bCs/>
        </w:rPr>
        <w:t xml:space="preserve">: </w:t>
      </w:r>
      <w:r>
        <w:t xml:space="preserve">There are minimal to no risks in this study. </w:t>
      </w:r>
    </w:p>
    <w:p w14:paraId="00863B8B" w14:textId="77777777" w:rsidR="004D7AFA" w:rsidRDefault="004D7AFA" w:rsidP="004D7AFA">
      <w:r w:rsidRPr="0034799E">
        <w:rPr>
          <w:b/>
          <w:bCs/>
        </w:rPr>
        <w:t>Benefits</w:t>
      </w:r>
      <w:r>
        <w:rPr>
          <w:b/>
          <w:bCs/>
        </w:rPr>
        <w:t xml:space="preserve">: </w:t>
      </w:r>
      <w:r w:rsidRPr="00FE6AD3">
        <w:t>Indirect benefits of participating include allowing researchers to use different research designs to continue studying this topic, developing new interventions, policies, and strategies to protect you from psychopathology, and possibly serving as a wake-up call for human services organizations</w:t>
      </w:r>
      <w:r>
        <w:t>.</w:t>
      </w:r>
    </w:p>
    <w:p w14:paraId="38A6F70C" w14:textId="77777777" w:rsidR="004D7AFA" w:rsidRPr="00EF6D49" w:rsidRDefault="004D7AFA" w:rsidP="004D7AFA">
      <w:r w:rsidRPr="006033B2">
        <w:rPr>
          <w:b/>
          <w:bCs/>
        </w:rPr>
        <w:lastRenderedPageBreak/>
        <w:t>Anonymity</w:t>
      </w:r>
      <w:r>
        <w:t xml:space="preserve">: </w:t>
      </w:r>
      <w:r w:rsidRPr="00FE6AD3">
        <w:t>Unless disclosure is required by law, all information gathered for this study is kept private. Participants will not be linked to any of the survey's responses. The results of this study will be incorporated into publications, reports, and representations. The participant's name, address, and email address will not be collected by the researcher for this study. This will enable the researcher to protect the privacy of your personal data. No identifying information, including name, address, or email address, will be gathered by the researcher, and the study will not associate the responses with the participants' identities. Members of my dissertation committee and I are the parties responsible who will have access to your personal data. Your private data will be safeguarded by (a) password-protecting the computer file, (b) a password-protected USB flash drive, and (c) a password-protected external hard drive. I</w:t>
      </w:r>
      <w:r>
        <w:t xml:space="preserve"> wi</w:t>
      </w:r>
      <w:r w:rsidRPr="00FE6AD3">
        <w:t>ll retain your information for three years. I will then destroy all printed copies and erase any electronic data.</w:t>
      </w:r>
    </w:p>
    <w:p w14:paraId="78605FFF" w14:textId="77777777" w:rsidR="004D7AFA" w:rsidRDefault="004D7AFA" w:rsidP="004D7AFA">
      <w:r w:rsidRPr="00782B1F">
        <w:rPr>
          <w:b/>
          <w:bCs/>
        </w:rPr>
        <w:t>Withdrawal Privilege</w:t>
      </w:r>
      <w:r>
        <w:t>: You may</w:t>
      </w:r>
      <w:r w:rsidRPr="005928F1">
        <w:t xml:space="preserve"> decline to take part in this study. You can say </w:t>
      </w:r>
      <w:r>
        <w:t>“No”</w:t>
      </w:r>
      <w:r w:rsidRPr="005928F1">
        <w:t xml:space="preserve"> later and cease taking part at any moment, even if you say yes now. There </w:t>
      </w:r>
      <w:r>
        <w:t>will not</w:t>
      </w:r>
      <w:r w:rsidRPr="005928F1">
        <w:t xml:space="preserve"> be any consequences for you. You can click "No" if you would like to cease participating. At any point, you are free to leave the study</w:t>
      </w:r>
      <w:r>
        <w:t>.</w:t>
      </w:r>
    </w:p>
    <w:p w14:paraId="244FC0BC" w14:textId="77777777" w:rsidR="004D7AFA" w:rsidRPr="005928F1" w:rsidRDefault="004D7AFA" w:rsidP="004D7AFA">
      <w:r w:rsidRPr="00782B1F">
        <w:rPr>
          <w:b/>
          <w:bCs/>
        </w:rPr>
        <w:t>Costs and Rewards</w:t>
      </w:r>
      <w:r>
        <w:t>:</w:t>
      </w:r>
      <w:r w:rsidRPr="00782B1F">
        <w:t xml:space="preserve"> </w:t>
      </w:r>
      <w:r w:rsidRPr="005928F1">
        <w:t xml:space="preserve">As a study participant, there is no financial cost </w:t>
      </w:r>
      <w:proofErr w:type="gramStart"/>
      <w:r w:rsidRPr="005928F1">
        <w:t>to</w:t>
      </w:r>
      <w:proofErr w:type="gramEnd"/>
      <w:r w:rsidRPr="005928F1">
        <w:t xml:space="preserve"> you. Those who finish the survey will get a gas card worth $20.</w:t>
      </w:r>
      <w:r>
        <w:t xml:space="preserve"> You can also request a copy of the analysis of data and findings.</w:t>
      </w:r>
    </w:p>
    <w:p w14:paraId="22A1B2F5" w14:textId="77777777" w:rsidR="004D7AFA" w:rsidRDefault="004D7AFA" w:rsidP="004D7AFA">
      <w:r w:rsidRPr="00A16913">
        <w:rPr>
          <w:b/>
          <w:bCs/>
        </w:rPr>
        <w:t>Voluntary Consent</w:t>
      </w:r>
      <w:r>
        <w:t xml:space="preserve">: </w:t>
      </w:r>
      <w:r w:rsidRPr="001E139F">
        <w:t>Before or after you give your consent, I, Richard Nti, will respond to any inquiries you may have about taking part in this research study. Please</w:t>
      </w:r>
      <w:r>
        <w:t xml:space="preserve"> feel free to contact me</w:t>
      </w:r>
      <w:r w:rsidRPr="001E139F">
        <w:t xml:space="preserve"> at ntirich@yahoo.com or with my advisor, Dr. Taladay, at se</w:t>
      </w:r>
      <w:r>
        <w:t>an.</w:t>
      </w:r>
      <w:r w:rsidRPr="001E139F">
        <w:t xml:space="preserve">taladay1@gmail.com. If you feel that you are in danger both during and after taking part in this research study, or if you have concerns about your rights as a participant, please contact Omega Graduate School's Chair of the </w:t>
      </w:r>
      <w:r w:rsidRPr="001E139F">
        <w:lastRenderedPageBreak/>
        <w:t xml:space="preserve">Human Subjects Institutional Review Board. The nature, eligibility, </w:t>
      </w:r>
      <w:r>
        <w:t>benefits</w:t>
      </w:r>
      <w:r w:rsidRPr="001E139F">
        <w:t xml:space="preserve"> and potential risks of the research study will all be covered in this </w:t>
      </w:r>
      <w:r>
        <w:t>informed consent form</w:t>
      </w:r>
      <w:r w:rsidRPr="001E139F">
        <w:t>. By selecting "I Agree," you attest that you are at least eighteen years old, that you comprehend the information on this form, and that you consent to participate in this study.</w:t>
      </w:r>
    </w:p>
    <w:p w14:paraId="305B1F7F" w14:textId="77777777" w:rsidR="004D7AFA" w:rsidRDefault="004D7AFA" w:rsidP="004D7AFA">
      <w:r>
        <w:t>----I Agree ---- I Do Not Agree</w:t>
      </w:r>
    </w:p>
    <w:p w14:paraId="273158B0" w14:textId="77777777" w:rsidR="004D7AFA" w:rsidRDefault="004D7AFA" w:rsidP="004D7AFA"/>
    <w:p w14:paraId="4457C9A6" w14:textId="77777777" w:rsidR="004D7AFA" w:rsidRDefault="004D7AFA" w:rsidP="004D7AFA">
      <w:pPr>
        <w:pStyle w:val="NoSpacing"/>
        <w:rPr>
          <w:color w:val="3A3A3A"/>
          <w:shd w:val="clear" w:color="auto" w:fill="FFFFFF"/>
        </w:rPr>
      </w:pPr>
    </w:p>
    <w:p w14:paraId="76DFC4C3" w14:textId="60911C7F" w:rsidR="004D7AFA" w:rsidRPr="00FA013D" w:rsidRDefault="004D7AFA" w:rsidP="004D7AFA">
      <w:pPr>
        <w:rPr>
          <w:b/>
          <w:bCs/>
        </w:rPr>
      </w:pPr>
      <w:r>
        <w:rPr>
          <w:b/>
          <w:bCs/>
        </w:rPr>
        <w:t xml:space="preserve">                           </w:t>
      </w:r>
      <w:r w:rsidR="006420EB">
        <w:rPr>
          <w:b/>
          <w:bCs/>
        </w:rPr>
        <w:t xml:space="preserve">              </w:t>
      </w:r>
      <w:r>
        <w:rPr>
          <w:b/>
          <w:bCs/>
        </w:rPr>
        <w:t xml:space="preserve"> </w:t>
      </w:r>
      <w:r w:rsidRPr="00FA013D">
        <w:rPr>
          <w:b/>
          <w:bCs/>
        </w:rPr>
        <w:t xml:space="preserve">Appendix </w:t>
      </w:r>
      <w:r>
        <w:rPr>
          <w:b/>
          <w:bCs/>
        </w:rPr>
        <w:t>G</w:t>
      </w:r>
      <w:r w:rsidRPr="00FA013D">
        <w:rPr>
          <w:b/>
          <w:bCs/>
        </w:rPr>
        <w:t>: Demographic Questions</w:t>
      </w:r>
    </w:p>
    <w:p w14:paraId="018C566B" w14:textId="77777777" w:rsidR="004D7AFA" w:rsidRDefault="004D7AFA" w:rsidP="004D7AFA">
      <w:pPr>
        <w:pStyle w:val="ListParagraph"/>
        <w:numPr>
          <w:ilvl w:val="0"/>
          <w:numId w:val="10"/>
        </w:numPr>
        <w:spacing w:after="160"/>
      </w:pPr>
      <w:r>
        <w:t>What is your age?</w:t>
      </w:r>
    </w:p>
    <w:p w14:paraId="7FDBF7CC" w14:textId="77777777" w:rsidR="004D7AFA" w:rsidRDefault="004D7AFA" w:rsidP="004D7AFA">
      <w:pPr>
        <w:pStyle w:val="ListParagraph"/>
        <w:numPr>
          <w:ilvl w:val="0"/>
          <w:numId w:val="10"/>
        </w:numPr>
        <w:spacing w:after="160"/>
      </w:pPr>
      <w:r>
        <w:t>How many years of DSP experience do you have?</w:t>
      </w:r>
    </w:p>
    <w:p w14:paraId="34BE3E67" w14:textId="77777777" w:rsidR="004D7AFA" w:rsidRDefault="004D7AFA" w:rsidP="004D7AFA">
      <w:pPr>
        <w:pStyle w:val="ListParagraph"/>
        <w:numPr>
          <w:ilvl w:val="0"/>
          <w:numId w:val="10"/>
        </w:numPr>
        <w:spacing w:after="160"/>
      </w:pPr>
      <w:r>
        <w:t>What is your highest earned academic degree?</w:t>
      </w:r>
    </w:p>
    <w:p w14:paraId="016CCD03" w14:textId="77777777" w:rsidR="004D7AFA" w:rsidRDefault="004D7AFA" w:rsidP="004D7AFA">
      <w:pPr>
        <w:pStyle w:val="ListParagraph"/>
      </w:pPr>
      <w:r>
        <w:t>1-High School Diploma</w:t>
      </w:r>
    </w:p>
    <w:p w14:paraId="4601AC87" w14:textId="77777777" w:rsidR="004D7AFA" w:rsidRDefault="004D7AFA" w:rsidP="004D7AFA">
      <w:pPr>
        <w:pStyle w:val="ListParagraph"/>
      </w:pPr>
      <w:r>
        <w:t xml:space="preserve">2-Associate </w:t>
      </w:r>
    </w:p>
    <w:p w14:paraId="494498FA" w14:textId="77777777" w:rsidR="004D7AFA" w:rsidRDefault="004D7AFA" w:rsidP="004D7AFA">
      <w:pPr>
        <w:pStyle w:val="ListParagraph"/>
      </w:pPr>
      <w:r>
        <w:t xml:space="preserve">3-Bachelor’s </w:t>
      </w:r>
    </w:p>
    <w:p w14:paraId="67AD7D45" w14:textId="77777777" w:rsidR="004D7AFA" w:rsidRDefault="004D7AFA" w:rsidP="004D7AFA">
      <w:pPr>
        <w:pStyle w:val="ListParagraph"/>
      </w:pPr>
      <w:r>
        <w:t>4-Master’s</w:t>
      </w:r>
    </w:p>
    <w:p w14:paraId="05ABA0BA" w14:textId="77777777" w:rsidR="004D7AFA" w:rsidRDefault="004D7AFA" w:rsidP="004D7AFA">
      <w:pPr>
        <w:pStyle w:val="ListParagraph"/>
      </w:pPr>
      <w:r>
        <w:t>5-other</w:t>
      </w:r>
    </w:p>
    <w:p w14:paraId="2441BF30" w14:textId="77777777" w:rsidR="004D7AFA" w:rsidRDefault="004D7AFA" w:rsidP="004D7AFA">
      <w:pPr>
        <w:pStyle w:val="ListParagraph"/>
        <w:numPr>
          <w:ilvl w:val="0"/>
          <w:numId w:val="10"/>
        </w:numPr>
        <w:spacing w:after="160"/>
      </w:pPr>
      <w:r>
        <w:t>How would you best describe your employment status in the last year?</w:t>
      </w:r>
    </w:p>
    <w:p w14:paraId="09505016" w14:textId="77777777" w:rsidR="004D7AFA" w:rsidRDefault="004D7AFA" w:rsidP="004D7AFA">
      <w:pPr>
        <w:pStyle w:val="ListParagraph"/>
      </w:pPr>
      <w:r>
        <w:t>1-Part time</w:t>
      </w:r>
    </w:p>
    <w:p w14:paraId="691CFF95" w14:textId="77777777" w:rsidR="004D7AFA" w:rsidRDefault="004D7AFA" w:rsidP="004D7AFA">
      <w:pPr>
        <w:pStyle w:val="ListParagraph"/>
      </w:pPr>
      <w:r>
        <w:t xml:space="preserve">2-Full time. </w:t>
      </w:r>
    </w:p>
    <w:p w14:paraId="1885DBAF" w14:textId="77777777" w:rsidR="004D7AFA" w:rsidRDefault="004D7AFA" w:rsidP="004D7AFA">
      <w:pPr>
        <w:pStyle w:val="ListParagraph"/>
        <w:numPr>
          <w:ilvl w:val="0"/>
          <w:numId w:val="10"/>
        </w:numPr>
        <w:spacing w:after="160"/>
      </w:pPr>
      <w:r>
        <w:t>What is your gender?</w:t>
      </w:r>
    </w:p>
    <w:p w14:paraId="32D41158" w14:textId="77777777" w:rsidR="004D7AFA" w:rsidRDefault="004D7AFA" w:rsidP="004D7AFA"/>
    <w:p w14:paraId="5DD15FDF" w14:textId="77777777" w:rsidR="004D7AFA" w:rsidRDefault="004D7AFA" w:rsidP="004D7AFA"/>
    <w:p w14:paraId="04C290FD" w14:textId="77777777" w:rsidR="004D7AFA" w:rsidRDefault="004D7AFA" w:rsidP="004D7AFA"/>
    <w:p w14:paraId="4E6FFCB3" w14:textId="77777777" w:rsidR="004D7AFA" w:rsidRPr="00EF6D49" w:rsidRDefault="004D7AFA" w:rsidP="004D7AFA"/>
    <w:p w14:paraId="316684F6" w14:textId="39FF1D30" w:rsidR="004D7AFA" w:rsidRDefault="004D7AFA" w:rsidP="004D7AFA">
      <w:pPr>
        <w:pStyle w:val="NoSpacing"/>
        <w:rPr>
          <w:b/>
          <w:bCs/>
          <w:color w:val="3A3A3A"/>
          <w:shd w:val="clear" w:color="auto" w:fill="FFFFFF"/>
        </w:rPr>
      </w:pPr>
      <w:r>
        <w:rPr>
          <w:b/>
          <w:bCs/>
          <w:color w:val="3A3A3A"/>
          <w:shd w:val="clear" w:color="auto" w:fill="FFFFFF"/>
        </w:rPr>
        <w:lastRenderedPageBreak/>
        <w:t xml:space="preserve">                                  </w:t>
      </w:r>
      <w:r w:rsidR="006420EB">
        <w:rPr>
          <w:b/>
          <w:bCs/>
          <w:color w:val="3A3A3A"/>
          <w:shd w:val="clear" w:color="auto" w:fill="FFFFFF"/>
        </w:rPr>
        <w:t xml:space="preserve"> </w:t>
      </w:r>
      <w:r w:rsidRPr="00A16913">
        <w:rPr>
          <w:b/>
          <w:bCs/>
          <w:color w:val="3A3A3A"/>
          <w:shd w:val="clear" w:color="auto" w:fill="FFFFFF"/>
        </w:rPr>
        <w:t xml:space="preserve">Appendix </w:t>
      </w:r>
      <w:r>
        <w:rPr>
          <w:b/>
          <w:bCs/>
          <w:color w:val="3A3A3A"/>
          <w:shd w:val="clear" w:color="auto" w:fill="FFFFFF"/>
        </w:rPr>
        <w:t>H</w:t>
      </w:r>
      <w:r w:rsidRPr="00A16913">
        <w:rPr>
          <w:b/>
          <w:bCs/>
          <w:color w:val="3A3A3A"/>
          <w:shd w:val="clear" w:color="auto" w:fill="FFFFFF"/>
        </w:rPr>
        <w:t>: Connor-Davidson Resilience Scale</w:t>
      </w:r>
    </w:p>
    <w:p w14:paraId="45079BB2" w14:textId="77777777" w:rsidR="004D7AFA" w:rsidRDefault="004D7AFA" w:rsidP="004D7AFA">
      <w:pPr>
        <w:pStyle w:val="NoSpacing"/>
        <w:rPr>
          <w:b/>
          <w:bCs/>
          <w:color w:val="3A3A3A"/>
          <w:shd w:val="clear" w:color="auto" w:fill="FFFFFF"/>
        </w:rPr>
      </w:pPr>
    </w:p>
    <w:p w14:paraId="4FECDCB2" w14:textId="77777777" w:rsidR="004D7AFA" w:rsidRPr="00D74817" w:rsidRDefault="004D7AFA" w:rsidP="004D7AFA">
      <w:pPr>
        <w:pStyle w:val="NoSpacing"/>
        <w:rPr>
          <w:color w:val="3A3A3A"/>
          <w:shd w:val="clear" w:color="auto" w:fill="FFFFFF"/>
        </w:rPr>
      </w:pPr>
      <w:r w:rsidRPr="00D74817">
        <w:rPr>
          <w:color w:val="3A3A3A"/>
          <w:shd w:val="clear" w:color="auto" w:fill="FFFFFF"/>
        </w:rPr>
        <w:t>The Connor-Davidson Resilience Scale (CD-RISC-25) was not included in the appendix as requested by the author due to copyright concerns</w:t>
      </w:r>
    </w:p>
    <w:p w14:paraId="0CAA3E61" w14:textId="77777777" w:rsidR="004D7AFA" w:rsidRDefault="004D7AFA" w:rsidP="004D7AFA"/>
    <w:p w14:paraId="778A91B7" w14:textId="77777777" w:rsidR="004D7AFA" w:rsidRDefault="004D7AFA" w:rsidP="004D7AFA"/>
    <w:p w14:paraId="4DE2C0E9" w14:textId="77777777" w:rsidR="004D7AFA" w:rsidRDefault="004D7AFA" w:rsidP="004D7AFA"/>
    <w:p w14:paraId="7EC9AD28" w14:textId="60E6E881" w:rsidR="004D7AFA" w:rsidRPr="004D7AFA" w:rsidRDefault="004D7AFA" w:rsidP="004D7AFA">
      <w:pPr>
        <w:ind w:left="720" w:hanging="720"/>
        <w:rPr>
          <w:b/>
          <w:bCs/>
          <w:color w:val="3A3A3A"/>
          <w:shd w:val="clear" w:color="auto" w:fill="FFFFFF"/>
        </w:rPr>
      </w:pPr>
      <w:r>
        <w:rPr>
          <w:color w:val="3A3A3A"/>
          <w:shd w:val="clear" w:color="auto" w:fill="FFFFFF"/>
        </w:rPr>
        <w:t xml:space="preserve">                                                     </w:t>
      </w:r>
      <w:r w:rsidR="006420EB">
        <w:rPr>
          <w:color w:val="3A3A3A"/>
          <w:shd w:val="clear" w:color="auto" w:fill="FFFFFF"/>
        </w:rPr>
        <w:t xml:space="preserve">       </w:t>
      </w:r>
      <w:r w:rsidRPr="004D7AFA">
        <w:rPr>
          <w:b/>
          <w:bCs/>
          <w:color w:val="3A3A3A"/>
          <w:shd w:val="clear" w:color="auto" w:fill="FFFFFF"/>
        </w:rPr>
        <w:t>Appendix I</w:t>
      </w:r>
    </w:p>
    <w:p w14:paraId="1A04C681" w14:textId="77777777" w:rsidR="004D7AFA" w:rsidRPr="006876C5" w:rsidRDefault="004D7AFA" w:rsidP="004D7AFA">
      <w:pPr>
        <w:wordWrap w:val="0"/>
        <w:spacing w:line="240" w:lineRule="auto"/>
        <w:textAlignment w:val="baseline"/>
        <w:rPr>
          <w:rFonts w:ascii="inherit" w:hAnsi="inherit" w:cs="Segoe UI"/>
          <w:color w:val="242424"/>
          <w:sz w:val="21"/>
          <w:szCs w:val="21"/>
          <w:bdr w:val="none" w:sz="0" w:space="0" w:color="auto" w:frame="1"/>
        </w:rPr>
      </w:pPr>
      <w:r w:rsidRPr="006876C5">
        <w:rPr>
          <w:rFonts w:ascii="inherit" w:hAnsi="inherit" w:cs="Segoe UI"/>
          <w:color w:val="242424"/>
          <w:sz w:val="21"/>
          <w:szCs w:val="21"/>
          <w:bdr w:val="none" w:sz="0" w:space="0" w:color="auto" w:frame="1"/>
        </w:rPr>
        <w:t>Richard Nti - Alumni</w:t>
      </w:r>
    </w:p>
    <w:p w14:paraId="443FF6CA" w14:textId="77777777" w:rsidR="004D7AFA" w:rsidRPr="006876C5" w:rsidRDefault="004D7AFA" w:rsidP="004D7AFA">
      <w:pPr>
        <w:spacing w:line="240" w:lineRule="auto"/>
        <w:textAlignment w:val="baseline"/>
        <w:rPr>
          <w:rFonts w:ascii="inherit" w:hAnsi="inherit" w:cs="Segoe UI"/>
          <w:color w:val="424242"/>
          <w:sz w:val="21"/>
          <w:szCs w:val="21"/>
        </w:rPr>
      </w:pPr>
      <w:r w:rsidRPr="006876C5">
        <w:rPr>
          <w:rFonts w:ascii="inherit" w:hAnsi="inherit" w:cs="Segoe UI"/>
          <w:color w:val="424242"/>
          <w:sz w:val="21"/>
          <w:szCs w:val="21"/>
          <w:bdr w:val="none" w:sz="0" w:space="0" w:color="auto" w:frame="1"/>
        </w:rPr>
        <w:t>To:</w:t>
      </w:r>
      <w:r w:rsidRPr="006876C5">
        <w:rPr>
          <w:rFonts w:ascii="inherit" w:hAnsi="inherit" w:cs="Segoe UI"/>
          <w:color w:val="424242"/>
          <w:sz w:val="21"/>
          <w:szCs w:val="21"/>
        </w:rPr>
        <w:t>​</w:t>
      </w:r>
      <w:r w:rsidRPr="006876C5">
        <w:rPr>
          <w:rFonts w:ascii="inherit" w:hAnsi="inherit" w:cs="Segoe UI"/>
          <w:color w:val="242424"/>
          <w:sz w:val="21"/>
          <w:szCs w:val="21"/>
          <w:bdr w:val="none" w:sz="0" w:space="0" w:color="auto" w:frame="1"/>
        </w:rPr>
        <w:t>mail@cd-risc.com</w:t>
      </w:r>
      <w:r w:rsidRPr="006876C5">
        <w:rPr>
          <w:rFonts w:ascii="inherit" w:hAnsi="inherit" w:cs="Segoe UI"/>
          <w:color w:val="424242"/>
          <w:sz w:val="21"/>
          <w:szCs w:val="21"/>
        </w:rPr>
        <w:t>​</w:t>
      </w:r>
    </w:p>
    <w:p w14:paraId="64EB7880" w14:textId="77777777" w:rsidR="004D7AFA" w:rsidRPr="006876C5" w:rsidRDefault="004D7AFA" w:rsidP="004D7AFA">
      <w:pPr>
        <w:spacing w:line="240" w:lineRule="auto"/>
        <w:textAlignment w:val="baseline"/>
        <w:rPr>
          <w:rFonts w:ascii="inherit" w:hAnsi="inherit" w:cs="Segoe UI"/>
          <w:color w:val="424242"/>
          <w:sz w:val="21"/>
          <w:szCs w:val="21"/>
        </w:rPr>
      </w:pPr>
      <w:r w:rsidRPr="006876C5">
        <w:rPr>
          <w:rFonts w:ascii="inherit" w:hAnsi="inherit" w:cs="Segoe UI"/>
          <w:color w:val="424242"/>
          <w:sz w:val="21"/>
          <w:szCs w:val="21"/>
          <w:bdr w:val="none" w:sz="0" w:space="0" w:color="auto" w:frame="1"/>
        </w:rPr>
        <w:t>Cc:</w:t>
      </w:r>
      <w:r w:rsidRPr="006876C5">
        <w:rPr>
          <w:rFonts w:ascii="inherit" w:hAnsi="inherit" w:cs="Segoe UI"/>
          <w:color w:val="424242"/>
          <w:sz w:val="21"/>
          <w:szCs w:val="21"/>
        </w:rPr>
        <w:t>​</w:t>
      </w:r>
      <w:r w:rsidRPr="006876C5">
        <w:rPr>
          <w:rFonts w:ascii="inherit" w:hAnsi="inherit" w:cs="Segoe UI"/>
          <w:color w:val="242424"/>
          <w:sz w:val="21"/>
          <w:szCs w:val="21"/>
          <w:bdr w:val="none" w:sz="0" w:space="0" w:color="auto" w:frame="1"/>
        </w:rPr>
        <w:t>ntirich@yahoo.com</w:t>
      </w:r>
      <w:r w:rsidRPr="006876C5">
        <w:rPr>
          <w:rFonts w:ascii="inherit" w:hAnsi="inherit" w:cs="Segoe UI"/>
          <w:color w:val="424242"/>
          <w:sz w:val="21"/>
          <w:szCs w:val="21"/>
        </w:rPr>
        <w:t>​</w:t>
      </w:r>
    </w:p>
    <w:p w14:paraId="387AAD87" w14:textId="77777777" w:rsidR="004D7AFA" w:rsidRPr="006876C5" w:rsidRDefault="004D7AFA" w:rsidP="004D7AFA">
      <w:pPr>
        <w:spacing w:line="240" w:lineRule="auto"/>
        <w:jc w:val="right"/>
        <w:textAlignment w:val="baseline"/>
        <w:rPr>
          <w:rFonts w:ascii="inherit" w:hAnsi="inherit" w:cs="Segoe UI"/>
          <w:color w:val="424242"/>
          <w:sz w:val="18"/>
          <w:szCs w:val="18"/>
        </w:rPr>
      </w:pPr>
      <w:r w:rsidRPr="006876C5">
        <w:rPr>
          <w:rFonts w:ascii="inherit" w:hAnsi="inherit" w:cs="Segoe UI"/>
          <w:color w:val="424242"/>
          <w:sz w:val="18"/>
          <w:szCs w:val="18"/>
        </w:rPr>
        <w:t>Sat 2/10/2024 10:35 PM</w:t>
      </w:r>
    </w:p>
    <w:p w14:paraId="555FE484" w14:textId="77777777" w:rsidR="004D7AFA" w:rsidRPr="006876C5" w:rsidRDefault="004D7AFA" w:rsidP="004D7AFA">
      <w:pPr>
        <w:pStyle w:val="NoSpacing"/>
        <w:rPr>
          <w:rFonts w:ascii="inherit" w:hAnsi="inherit" w:cs="Segoe UI"/>
          <w:color w:val="242424"/>
          <w:sz w:val="23"/>
          <w:szCs w:val="23"/>
        </w:rPr>
      </w:pPr>
      <w:r w:rsidRPr="006876C5">
        <w:rPr>
          <w:bdr w:val="none" w:sz="0" w:space="0" w:color="auto" w:frame="1"/>
        </w:rPr>
        <w:t>Hello,</w:t>
      </w:r>
    </w:p>
    <w:p w14:paraId="5ACE78F0" w14:textId="77777777" w:rsidR="004D7AFA" w:rsidRPr="006876C5" w:rsidRDefault="004D7AFA" w:rsidP="004D7AFA">
      <w:pPr>
        <w:pStyle w:val="NoSpacing"/>
        <w:rPr>
          <w:rFonts w:ascii="inherit" w:hAnsi="inherit" w:cs="Segoe UI"/>
          <w:color w:val="242424"/>
          <w:sz w:val="23"/>
          <w:szCs w:val="23"/>
        </w:rPr>
      </w:pPr>
      <w:r w:rsidRPr="006876C5">
        <w:rPr>
          <w:bdr w:val="none" w:sz="0" w:space="0" w:color="auto" w:frame="1"/>
        </w:rPr>
        <w:t xml:space="preserve">I am Richard Nti, a doctoral student at the Omega Graduate School completing a dissertation in social research methods. I am writing to request permission to use your instrument psychological resilience </w:t>
      </w:r>
      <w:proofErr w:type="gramStart"/>
      <w:r w:rsidRPr="006876C5">
        <w:rPr>
          <w:bdr w:val="none" w:sz="0" w:space="0" w:color="auto" w:frame="1"/>
        </w:rPr>
        <w:t>scale(</w:t>
      </w:r>
      <w:proofErr w:type="gramEnd"/>
      <w:r w:rsidRPr="006876C5">
        <w:rPr>
          <w:bdr w:val="none" w:sz="0" w:space="0" w:color="auto" w:frame="1"/>
        </w:rPr>
        <w:t>CD-RISC-25) in my research study. The purpose of the study is to examine the relationship between direct support professionals’ psychological health and psychological resilience. The research is being supervised by Dr. Sean Taladay who is also my dissertation chair.</w:t>
      </w:r>
    </w:p>
    <w:p w14:paraId="3E0278FD" w14:textId="77777777" w:rsidR="004D7AFA" w:rsidRPr="006876C5" w:rsidRDefault="004D7AFA" w:rsidP="004D7AFA">
      <w:pPr>
        <w:pStyle w:val="NoSpacing"/>
        <w:rPr>
          <w:rFonts w:ascii="inherit" w:hAnsi="inherit" w:cs="Segoe UI"/>
          <w:color w:val="242424"/>
          <w:sz w:val="23"/>
          <w:szCs w:val="23"/>
        </w:rPr>
      </w:pPr>
      <w:r w:rsidRPr="006876C5">
        <w:rPr>
          <w:bdr w:val="none" w:sz="0" w:space="0" w:color="auto" w:frame="1"/>
        </w:rPr>
        <w:t>I plan to use the entire content of the instrument. When you give me your approval and consent, the instrument will be emailed to research participants for them to complete. The research will take place in Minnesota. A sample size of approximately three hundred direct support professionals is being anticipated.</w:t>
      </w:r>
    </w:p>
    <w:p w14:paraId="7FE847AA" w14:textId="77777777" w:rsidR="004D7AFA" w:rsidRPr="006876C5" w:rsidRDefault="004D7AFA" w:rsidP="004D7AFA">
      <w:pPr>
        <w:pStyle w:val="NoSpacing"/>
        <w:rPr>
          <w:rFonts w:ascii="inherit" w:hAnsi="inherit" w:cs="Segoe UI"/>
          <w:color w:val="242424"/>
          <w:sz w:val="23"/>
          <w:szCs w:val="23"/>
        </w:rPr>
      </w:pPr>
      <w:r w:rsidRPr="006876C5">
        <w:rPr>
          <w:bdr w:val="none" w:sz="0" w:space="0" w:color="auto" w:frame="1"/>
        </w:rPr>
        <w:t>I would also be grateful to receive copies of supplemental material that will help in administering the test and analyzing the results; for example, the test questionnaire, the standard instructions for administering the test, and scoring procedures or rubrics.</w:t>
      </w:r>
    </w:p>
    <w:p w14:paraId="0D124916" w14:textId="77777777" w:rsidR="004D7AFA" w:rsidRPr="006876C5" w:rsidRDefault="004D7AFA" w:rsidP="004D7AFA">
      <w:pPr>
        <w:pStyle w:val="NoSpacing"/>
        <w:rPr>
          <w:rFonts w:ascii="inherit" w:hAnsi="inherit" w:cs="Segoe UI"/>
          <w:color w:val="242424"/>
          <w:sz w:val="23"/>
          <w:szCs w:val="23"/>
        </w:rPr>
      </w:pPr>
      <w:r w:rsidRPr="006876C5">
        <w:rPr>
          <w:bdr w:val="none" w:sz="0" w:space="0" w:color="auto" w:frame="1"/>
        </w:rPr>
        <w:t>In addition to using the instrument, I also request your permission to reproduce it in my dissertation appendix.</w:t>
      </w:r>
    </w:p>
    <w:p w14:paraId="118A7C14" w14:textId="77777777" w:rsidR="004D7AFA" w:rsidRPr="006876C5" w:rsidRDefault="004D7AFA" w:rsidP="004D7AFA">
      <w:pPr>
        <w:pStyle w:val="NoSpacing"/>
        <w:rPr>
          <w:rFonts w:ascii="inherit" w:hAnsi="inherit" w:cs="Segoe UI"/>
          <w:color w:val="242424"/>
          <w:sz w:val="23"/>
          <w:szCs w:val="23"/>
        </w:rPr>
      </w:pPr>
      <w:r w:rsidRPr="006876C5">
        <w:rPr>
          <w:bdr w:val="none" w:sz="0" w:space="0" w:color="auto" w:frame="1"/>
        </w:rPr>
        <w:t>Let me say that the instrument will be used under the following conditions.</w:t>
      </w:r>
    </w:p>
    <w:p w14:paraId="08C6CFC1" w14:textId="77777777" w:rsidR="004D7AFA" w:rsidRPr="006876C5" w:rsidRDefault="004D7AFA" w:rsidP="004D7AFA">
      <w:pPr>
        <w:pStyle w:val="NoSpacing"/>
        <w:rPr>
          <w:rFonts w:ascii="inherit" w:hAnsi="inherit" w:cs="Segoe UI"/>
          <w:color w:val="242424"/>
          <w:sz w:val="23"/>
          <w:szCs w:val="23"/>
        </w:rPr>
      </w:pPr>
      <w:r w:rsidRPr="006876C5">
        <w:rPr>
          <w:rFonts w:ascii="Symbol" w:hAnsi="Symbol" w:cs="Segoe UI"/>
          <w:bdr w:val="none" w:sz="0" w:space="0" w:color="auto" w:frame="1"/>
        </w:rPr>
        <w:t>·</w:t>
      </w:r>
      <w:r w:rsidRPr="006876C5">
        <w:rPr>
          <w:sz w:val="14"/>
          <w:szCs w:val="14"/>
          <w:bdr w:val="none" w:sz="0" w:space="0" w:color="auto" w:frame="1"/>
        </w:rPr>
        <w:t>         </w:t>
      </w:r>
      <w:r w:rsidRPr="006876C5">
        <w:rPr>
          <w:bdr w:val="none" w:sz="0" w:space="0" w:color="auto" w:frame="1"/>
        </w:rPr>
        <w:t>The instrument will only be used for my research study and will not sell or use it for any other purposes.</w:t>
      </w:r>
    </w:p>
    <w:p w14:paraId="4E1CD356" w14:textId="77777777" w:rsidR="004D7AFA" w:rsidRPr="006876C5" w:rsidRDefault="004D7AFA" w:rsidP="004D7AFA">
      <w:pPr>
        <w:pStyle w:val="NoSpacing"/>
        <w:rPr>
          <w:rFonts w:ascii="inherit" w:hAnsi="inherit" w:cs="Segoe UI"/>
          <w:color w:val="242424"/>
          <w:sz w:val="23"/>
          <w:szCs w:val="23"/>
        </w:rPr>
      </w:pPr>
      <w:r w:rsidRPr="006876C5">
        <w:rPr>
          <w:rFonts w:ascii="Symbol" w:hAnsi="Symbol" w:cs="Segoe UI"/>
          <w:bdr w:val="none" w:sz="0" w:space="0" w:color="auto" w:frame="1"/>
        </w:rPr>
        <w:t>·</w:t>
      </w:r>
      <w:r w:rsidRPr="006876C5">
        <w:rPr>
          <w:sz w:val="14"/>
          <w:szCs w:val="14"/>
          <w:bdr w:val="none" w:sz="0" w:space="0" w:color="auto" w:frame="1"/>
        </w:rPr>
        <w:t>         </w:t>
      </w:r>
      <w:r w:rsidRPr="006876C5">
        <w:rPr>
          <w:bdr w:val="none" w:sz="0" w:space="0" w:color="auto" w:frame="1"/>
        </w:rPr>
        <w:t xml:space="preserve">Statement of attribution and copyright will be included </w:t>
      </w:r>
      <w:proofErr w:type="gramStart"/>
      <w:r w:rsidRPr="006876C5">
        <w:rPr>
          <w:bdr w:val="none" w:sz="0" w:space="0" w:color="auto" w:frame="1"/>
        </w:rPr>
        <w:t>on</w:t>
      </w:r>
      <w:proofErr w:type="gramEnd"/>
      <w:r w:rsidRPr="006876C5">
        <w:rPr>
          <w:bdr w:val="none" w:sz="0" w:space="0" w:color="auto" w:frame="1"/>
        </w:rPr>
        <w:t xml:space="preserve"> all copies of the instrument. If you have a specific statement of attribution that you would like me to include, please provide it in response.</w:t>
      </w:r>
    </w:p>
    <w:p w14:paraId="42E47B3C" w14:textId="77777777" w:rsidR="004D7AFA" w:rsidRPr="006876C5" w:rsidRDefault="004D7AFA" w:rsidP="004D7AFA">
      <w:pPr>
        <w:pStyle w:val="NoSpacing"/>
        <w:rPr>
          <w:rFonts w:ascii="inherit" w:hAnsi="inherit" w:cs="Segoe UI"/>
          <w:color w:val="242424"/>
          <w:sz w:val="23"/>
          <w:szCs w:val="23"/>
        </w:rPr>
      </w:pPr>
      <w:r w:rsidRPr="006876C5">
        <w:rPr>
          <w:rFonts w:ascii="Symbol" w:hAnsi="Symbol" w:cs="Segoe UI"/>
          <w:bdr w:val="none" w:sz="0" w:space="0" w:color="auto" w:frame="1"/>
        </w:rPr>
        <w:t>·</w:t>
      </w:r>
      <w:r w:rsidRPr="006876C5">
        <w:rPr>
          <w:sz w:val="14"/>
          <w:szCs w:val="14"/>
          <w:bdr w:val="none" w:sz="0" w:space="0" w:color="auto" w:frame="1"/>
        </w:rPr>
        <w:t>         </w:t>
      </w:r>
      <w:r w:rsidRPr="006876C5">
        <w:rPr>
          <w:bdr w:val="none" w:sz="0" w:space="0" w:color="auto" w:frame="1"/>
        </w:rPr>
        <w:t>At your request, I will make a copy of my completed research study available to you upon completion of the study.</w:t>
      </w:r>
    </w:p>
    <w:p w14:paraId="52588357" w14:textId="77777777" w:rsidR="004D7AFA" w:rsidRDefault="004D7AFA" w:rsidP="004D7AFA">
      <w:pPr>
        <w:pStyle w:val="NoSpacing"/>
        <w:rPr>
          <w:bdr w:val="none" w:sz="0" w:space="0" w:color="auto" w:frame="1"/>
        </w:rPr>
      </w:pPr>
      <w:r w:rsidRPr="006876C5">
        <w:rPr>
          <w:bdr w:val="none" w:sz="0" w:space="0" w:color="auto" w:frame="1"/>
        </w:rPr>
        <w:t>Looking forward to hearing from you</w:t>
      </w:r>
      <w:r>
        <w:rPr>
          <w:bdr w:val="none" w:sz="0" w:space="0" w:color="auto" w:frame="1"/>
        </w:rPr>
        <w:t>.</w:t>
      </w:r>
    </w:p>
    <w:p w14:paraId="28B37294" w14:textId="77777777" w:rsidR="004D7AFA" w:rsidRPr="006876C5" w:rsidRDefault="004D7AFA" w:rsidP="004D7AFA">
      <w:pPr>
        <w:pStyle w:val="NoSpacing"/>
        <w:rPr>
          <w:rFonts w:ascii="inherit" w:hAnsi="inherit" w:cs="Segoe UI"/>
          <w:color w:val="242424"/>
          <w:sz w:val="23"/>
          <w:szCs w:val="23"/>
        </w:rPr>
      </w:pPr>
      <w:r w:rsidRPr="006876C5">
        <w:rPr>
          <w:bdr w:val="none" w:sz="0" w:space="0" w:color="auto" w:frame="1"/>
        </w:rPr>
        <w:t>Sincerely,</w:t>
      </w:r>
    </w:p>
    <w:p w14:paraId="073F66AB" w14:textId="77777777" w:rsidR="004D7AFA" w:rsidRPr="006876C5" w:rsidRDefault="004D7AFA" w:rsidP="004D7AFA">
      <w:pPr>
        <w:pStyle w:val="NoSpacing"/>
        <w:rPr>
          <w:rFonts w:ascii="inherit" w:hAnsi="inherit" w:cs="Segoe UI"/>
          <w:color w:val="242424"/>
          <w:sz w:val="23"/>
          <w:szCs w:val="23"/>
        </w:rPr>
      </w:pPr>
      <w:r w:rsidRPr="006876C5">
        <w:rPr>
          <w:bdr w:val="none" w:sz="0" w:space="0" w:color="auto" w:frame="1"/>
        </w:rPr>
        <w:t>Richard Nti, BCBA</w:t>
      </w:r>
    </w:p>
    <w:p w14:paraId="450479D5" w14:textId="77777777" w:rsidR="004D7AFA" w:rsidRDefault="004D7AFA" w:rsidP="004D7AFA">
      <w:pPr>
        <w:pStyle w:val="NoSpacing"/>
        <w:rPr>
          <w:color w:val="3A3A3A"/>
          <w:shd w:val="clear" w:color="auto" w:fill="FFFFFF"/>
        </w:rPr>
      </w:pPr>
    </w:p>
    <w:p w14:paraId="1ADA9CED" w14:textId="77777777" w:rsidR="006420EB" w:rsidRDefault="006420EB" w:rsidP="004D7AFA">
      <w:pPr>
        <w:pStyle w:val="NoSpacing"/>
        <w:rPr>
          <w:color w:val="3A3A3A"/>
          <w:shd w:val="clear" w:color="auto" w:fill="FFFFFF"/>
        </w:rPr>
      </w:pPr>
    </w:p>
    <w:p w14:paraId="57C2B56C" w14:textId="77777777" w:rsidR="004D7AFA" w:rsidRDefault="004D7AFA" w:rsidP="004D7AFA">
      <w:pPr>
        <w:pStyle w:val="NoSpacing"/>
        <w:rPr>
          <w:color w:val="3A3A3A"/>
          <w:shd w:val="clear" w:color="auto" w:fill="FFFFFF"/>
        </w:rPr>
      </w:pPr>
    </w:p>
    <w:p w14:paraId="63B6D04A" w14:textId="77777777" w:rsidR="004D7AFA" w:rsidRDefault="004D7AFA" w:rsidP="004D7AFA">
      <w:pPr>
        <w:pStyle w:val="NoSpacing"/>
        <w:rPr>
          <w:color w:val="3A3A3A"/>
          <w:shd w:val="clear" w:color="auto" w:fill="FFFFFF"/>
        </w:rPr>
      </w:pPr>
    </w:p>
    <w:p w14:paraId="28632686" w14:textId="5FA32EEB" w:rsidR="004D7AFA" w:rsidRPr="00787758" w:rsidRDefault="00787758" w:rsidP="004D7AFA">
      <w:pPr>
        <w:rPr>
          <w:b/>
          <w:bCs/>
        </w:rPr>
      </w:pPr>
      <w:r>
        <w:lastRenderedPageBreak/>
        <w:t xml:space="preserve">                                                          </w:t>
      </w:r>
      <w:r w:rsidRPr="00787758">
        <w:rPr>
          <w:b/>
          <w:bCs/>
        </w:rPr>
        <w:t>Appendix J</w:t>
      </w:r>
    </w:p>
    <w:p w14:paraId="70835459" w14:textId="77777777" w:rsidR="006876C5" w:rsidRDefault="006876C5" w:rsidP="006876C5">
      <w:pPr>
        <w:pStyle w:val="NoSpacing"/>
        <w:rPr>
          <w:color w:val="3A3A3A"/>
          <w:shd w:val="clear" w:color="auto" w:fill="FFFFFF"/>
        </w:rPr>
      </w:pPr>
    </w:p>
    <w:tbl>
      <w:tblPr>
        <w:tblStyle w:val="TableGrid0"/>
        <w:tblW w:w="10435" w:type="dxa"/>
        <w:tblInd w:w="-142" w:type="dxa"/>
        <w:tblCellMar>
          <w:left w:w="142" w:type="dxa"/>
          <w:bottom w:w="9" w:type="dxa"/>
          <w:right w:w="87" w:type="dxa"/>
        </w:tblCellMar>
        <w:tblLook w:val="04A0" w:firstRow="1" w:lastRow="0" w:firstColumn="1" w:lastColumn="0" w:noHBand="0" w:noVBand="1"/>
      </w:tblPr>
      <w:tblGrid>
        <w:gridCol w:w="10435"/>
      </w:tblGrid>
      <w:tr w:rsidR="00CE19D1" w14:paraId="7BF3F303" w14:textId="77777777">
        <w:trPr>
          <w:trHeight w:val="868"/>
        </w:trPr>
        <w:tc>
          <w:tcPr>
            <w:tcW w:w="10435" w:type="dxa"/>
            <w:tcBorders>
              <w:top w:val="single" w:sz="6" w:space="0" w:color="000000"/>
              <w:left w:val="single" w:sz="6" w:space="0" w:color="000000"/>
              <w:bottom w:val="single" w:sz="24" w:space="0" w:color="000000"/>
              <w:right w:val="single" w:sz="6" w:space="0" w:color="000000"/>
            </w:tcBorders>
            <w:vAlign w:val="bottom"/>
          </w:tcPr>
          <w:p w14:paraId="6BC83DB3" w14:textId="77777777" w:rsidR="00CE19D1" w:rsidRDefault="00CE19D1">
            <w:pPr>
              <w:tabs>
                <w:tab w:val="center" w:pos="4295"/>
                <w:tab w:val="center" w:pos="8204"/>
              </w:tabs>
            </w:pPr>
            <w:r>
              <w:rPr>
                <w:rFonts w:ascii="Arial" w:eastAsia="Arial" w:hAnsi="Arial" w:cs="Arial"/>
                <w:sz w:val="72"/>
              </w:rPr>
              <w:t>DAS S</w:t>
            </w:r>
            <w:r>
              <w:rPr>
                <w:sz w:val="72"/>
              </w:rPr>
              <w:t xml:space="preserve"> </w:t>
            </w:r>
            <w:r>
              <w:rPr>
                <w:sz w:val="72"/>
              </w:rPr>
              <w:tab/>
            </w:r>
            <w:r>
              <w:t xml:space="preserve">Name: </w:t>
            </w:r>
            <w:r>
              <w:tab/>
              <w:t>Date:</w:t>
            </w:r>
            <w:r>
              <w:rPr>
                <w:rFonts w:ascii="Arial" w:eastAsia="Arial" w:hAnsi="Arial" w:cs="Arial"/>
              </w:rPr>
              <w:t xml:space="preserve"> </w:t>
            </w:r>
          </w:p>
        </w:tc>
      </w:tr>
      <w:tr w:rsidR="00CE19D1" w14:paraId="066EAA81" w14:textId="77777777">
        <w:trPr>
          <w:trHeight w:val="2912"/>
        </w:trPr>
        <w:tc>
          <w:tcPr>
            <w:tcW w:w="10435" w:type="dxa"/>
            <w:tcBorders>
              <w:top w:val="single" w:sz="24" w:space="0" w:color="000000"/>
              <w:left w:val="single" w:sz="6" w:space="0" w:color="000000"/>
              <w:bottom w:val="single" w:sz="6" w:space="0" w:color="000000"/>
              <w:right w:val="single" w:sz="6" w:space="0" w:color="000000"/>
            </w:tcBorders>
            <w:vAlign w:val="bottom"/>
          </w:tcPr>
          <w:p w14:paraId="58BEA503" w14:textId="77777777" w:rsidR="00CE19D1" w:rsidRDefault="00CE19D1">
            <w:pPr>
              <w:spacing w:after="240" w:line="241" w:lineRule="auto"/>
              <w:ind w:right="61"/>
              <w:jc w:val="both"/>
            </w:pPr>
            <w:r>
              <w:rPr>
                <w:rFonts w:ascii="Arial" w:eastAsia="Arial" w:hAnsi="Arial" w:cs="Arial"/>
              </w:rPr>
              <w:t xml:space="preserve">Please read each statement and circle </w:t>
            </w:r>
            <w:proofErr w:type="gramStart"/>
            <w:r>
              <w:rPr>
                <w:rFonts w:ascii="Arial" w:eastAsia="Arial" w:hAnsi="Arial" w:cs="Arial"/>
              </w:rPr>
              <w:t>a number</w:t>
            </w:r>
            <w:proofErr w:type="gramEnd"/>
            <w:r>
              <w:rPr>
                <w:rFonts w:ascii="Arial" w:eastAsia="Arial" w:hAnsi="Arial" w:cs="Arial"/>
              </w:rPr>
              <w:t xml:space="preserve"> 0, 1, 2 or 3 which indicates how much the statement applied to you </w:t>
            </w:r>
            <w:r>
              <w:t>over the past week</w:t>
            </w:r>
            <w:r>
              <w:rPr>
                <w:rFonts w:ascii="Arial" w:eastAsia="Arial" w:hAnsi="Arial" w:cs="Arial"/>
              </w:rPr>
              <w:t xml:space="preserve">.  There are no right or wrong answers.  Do not spend too much time on any statement. </w:t>
            </w:r>
          </w:p>
          <w:p w14:paraId="24CD45B9" w14:textId="77777777" w:rsidR="00CE19D1" w:rsidRDefault="00CE19D1">
            <w:pPr>
              <w:spacing w:after="101"/>
            </w:pPr>
            <w:r>
              <w:t>The rating scale is as follows:</w:t>
            </w:r>
            <w:r>
              <w:rPr>
                <w:rFonts w:ascii="Arial" w:eastAsia="Arial" w:hAnsi="Arial" w:cs="Arial"/>
              </w:rPr>
              <w:t xml:space="preserve"> </w:t>
            </w:r>
          </w:p>
          <w:p w14:paraId="71F897AE" w14:textId="77777777" w:rsidR="00CE19D1" w:rsidRDefault="00CE19D1" w:rsidP="00CE19D1">
            <w:pPr>
              <w:numPr>
                <w:ilvl w:val="0"/>
                <w:numId w:val="7"/>
              </w:numPr>
            </w:pPr>
            <w:r>
              <w:rPr>
                <w:rFonts w:ascii="Arial" w:eastAsia="Arial" w:hAnsi="Arial" w:cs="Arial"/>
              </w:rPr>
              <w:t xml:space="preserve">Did not apply to me at all </w:t>
            </w:r>
          </w:p>
          <w:p w14:paraId="68DFE75E" w14:textId="77777777" w:rsidR="00CE19D1" w:rsidRDefault="00CE19D1" w:rsidP="00CE19D1">
            <w:pPr>
              <w:numPr>
                <w:ilvl w:val="0"/>
                <w:numId w:val="7"/>
              </w:numPr>
            </w:pPr>
            <w:r>
              <w:rPr>
                <w:rFonts w:ascii="Arial" w:eastAsia="Arial" w:hAnsi="Arial" w:cs="Arial"/>
              </w:rPr>
              <w:t xml:space="preserve">Applied to me to some degree, or some of the time </w:t>
            </w:r>
          </w:p>
          <w:p w14:paraId="2AA48093" w14:textId="77777777" w:rsidR="00CE19D1" w:rsidRPr="00CE19D1" w:rsidRDefault="00CE19D1" w:rsidP="00CE19D1">
            <w:pPr>
              <w:numPr>
                <w:ilvl w:val="0"/>
                <w:numId w:val="7"/>
              </w:numPr>
            </w:pPr>
            <w:r>
              <w:rPr>
                <w:rFonts w:ascii="Arial" w:eastAsia="Arial" w:hAnsi="Arial" w:cs="Arial"/>
              </w:rPr>
              <w:t>Applied to me to a considerable degree, or a good part of time</w:t>
            </w:r>
          </w:p>
          <w:p w14:paraId="70BBF669" w14:textId="0F3103F5" w:rsidR="00CE19D1" w:rsidRDefault="00CE19D1" w:rsidP="00CE19D1">
            <w:r>
              <w:rPr>
                <w:rFonts w:ascii="Arial" w:eastAsia="Arial" w:hAnsi="Arial" w:cs="Arial"/>
              </w:rPr>
              <w:t xml:space="preserve">3         Applied to me very much, or most of the time </w:t>
            </w:r>
          </w:p>
          <w:p w14:paraId="75E8FE3F" w14:textId="77777777" w:rsidR="00CE19D1" w:rsidRDefault="00CE19D1">
            <w:r>
              <w:rPr>
                <w:rFonts w:ascii="Arial" w:eastAsia="Arial" w:hAnsi="Arial" w:cs="Arial"/>
              </w:rPr>
              <w:t xml:space="preserve"> </w:t>
            </w:r>
          </w:p>
        </w:tc>
      </w:tr>
      <w:tr w:rsidR="00CE19D1" w14:paraId="679CF1AE" w14:textId="77777777">
        <w:trPr>
          <w:trHeight w:val="9990"/>
        </w:trPr>
        <w:tc>
          <w:tcPr>
            <w:tcW w:w="10435" w:type="dxa"/>
            <w:tcBorders>
              <w:top w:val="single" w:sz="6" w:space="0" w:color="000000"/>
              <w:left w:val="single" w:sz="6" w:space="0" w:color="000000"/>
              <w:bottom w:val="single" w:sz="6" w:space="0" w:color="000000"/>
              <w:right w:val="single" w:sz="6" w:space="0" w:color="000000"/>
            </w:tcBorders>
            <w:vAlign w:val="center"/>
          </w:tcPr>
          <w:p w14:paraId="5E8FD4D4" w14:textId="77777777" w:rsidR="00CE19D1" w:rsidRDefault="00CE19D1" w:rsidP="00CE19D1">
            <w:pPr>
              <w:numPr>
                <w:ilvl w:val="0"/>
                <w:numId w:val="8"/>
              </w:numPr>
              <w:spacing w:after="148"/>
              <w:ind w:left="566" w:hanging="528"/>
            </w:pPr>
            <w:r>
              <w:rPr>
                <w:rFonts w:ascii="Arial" w:eastAsia="Arial" w:hAnsi="Arial" w:cs="Arial"/>
              </w:rPr>
              <w:lastRenderedPageBreak/>
              <w:t xml:space="preserve">I found myself getting upset by quite trivial things </w:t>
            </w:r>
            <w:r>
              <w:rPr>
                <w:rFonts w:ascii="Arial" w:eastAsia="Arial" w:hAnsi="Arial" w:cs="Arial"/>
              </w:rPr>
              <w:tab/>
              <w:t xml:space="preserve">0      1      2      3 </w:t>
            </w:r>
          </w:p>
          <w:p w14:paraId="4EE4AB2C" w14:textId="77777777" w:rsidR="00CE19D1" w:rsidRDefault="00CE19D1" w:rsidP="00CE19D1">
            <w:pPr>
              <w:numPr>
                <w:ilvl w:val="0"/>
                <w:numId w:val="8"/>
              </w:numPr>
              <w:spacing w:after="148"/>
              <w:ind w:left="566" w:hanging="528"/>
            </w:pPr>
            <w:r>
              <w:rPr>
                <w:rFonts w:ascii="Arial" w:eastAsia="Arial" w:hAnsi="Arial" w:cs="Arial"/>
              </w:rPr>
              <w:t xml:space="preserve">I was aware of dryness of my mouth </w:t>
            </w:r>
            <w:r>
              <w:rPr>
                <w:rFonts w:ascii="Arial" w:eastAsia="Arial" w:hAnsi="Arial" w:cs="Arial"/>
              </w:rPr>
              <w:tab/>
              <w:t xml:space="preserve">0      1      2      3 </w:t>
            </w:r>
          </w:p>
          <w:p w14:paraId="35878EE0" w14:textId="77777777" w:rsidR="00CE19D1" w:rsidRDefault="00CE19D1" w:rsidP="00CE19D1">
            <w:pPr>
              <w:numPr>
                <w:ilvl w:val="0"/>
                <w:numId w:val="8"/>
              </w:numPr>
              <w:spacing w:after="148"/>
              <w:ind w:left="566" w:hanging="528"/>
            </w:pPr>
            <w:r>
              <w:rPr>
                <w:rFonts w:ascii="Arial" w:eastAsia="Arial" w:hAnsi="Arial" w:cs="Arial"/>
              </w:rPr>
              <w:t xml:space="preserve">I couldn't seem to experience any positive feeling at all </w:t>
            </w:r>
            <w:r>
              <w:rPr>
                <w:rFonts w:ascii="Arial" w:eastAsia="Arial" w:hAnsi="Arial" w:cs="Arial"/>
              </w:rPr>
              <w:tab/>
              <w:t xml:space="preserve">0      1      2      3 </w:t>
            </w:r>
          </w:p>
          <w:p w14:paraId="2C8103B0" w14:textId="77777777" w:rsidR="00CE19D1" w:rsidRDefault="00CE19D1" w:rsidP="00CE19D1">
            <w:pPr>
              <w:numPr>
                <w:ilvl w:val="0"/>
                <w:numId w:val="8"/>
              </w:numPr>
              <w:spacing w:after="161"/>
              <w:ind w:left="566" w:hanging="528"/>
            </w:pPr>
            <w:r>
              <w:rPr>
                <w:rFonts w:ascii="Arial" w:eastAsia="Arial" w:hAnsi="Arial" w:cs="Arial"/>
              </w:rPr>
              <w:t>I experienced breathing difficulty (</w:t>
            </w:r>
            <w:proofErr w:type="spellStart"/>
            <w:r>
              <w:rPr>
                <w:rFonts w:ascii="Arial" w:eastAsia="Arial" w:hAnsi="Arial" w:cs="Arial"/>
              </w:rPr>
              <w:t>eg</w:t>
            </w:r>
            <w:proofErr w:type="spellEnd"/>
            <w:r>
              <w:rPr>
                <w:rFonts w:ascii="Arial" w:eastAsia="Arial" w:hAnsi="Arial" w:cs="Arial"/>
              </w:rPr>
              <w:t xml:space="preserve">, excessively rapid breathing, 0      1      2      3 breathlessness in the absence of physical exertion) </w:t>
            </w:r>
          </w:p>
          <w:p w14:paraId="6C774862" w14:textId="77777777" w:rsidR="00CE19D1" w:rsidRDefault="00CE19D1" w:rsidP="00CE19D1">
            <w:pPr>
              <w:numPr>
                <w:ilvl w:val="0"/>
                <w:numId w:val="8"/>
              </w:numPr>
              <w:spacing w:after="148"/>
              <w:ind w:left="566" w:hanging="528"/>
            </w:pPr>
            <w:r>
              <w:rPr>
                <w:rFonts w:ascii="Arial" w:eastAsia="Arial" w:hAnsi="Arial" w:cs="Arial"/>
              </w:rPr>
              <w:t xml:space="preserve">I just couldn't seem to get going </w:t>
            </w:r>
            <w:r>
              <w:rPr>
                <w:rFonts w:ascii="Arial" w:eastAsia="Arial" w:hAnsi="Arial" w:cs="Arial"/>
              </w:rPr>
              <w:tab/>
              <w:t xml:space="preserve">0      1      2      3 </w:t>
            </w:r>
          </w:p>
          <w:p w14:paraId="3720C273" w14:textId="77777777" w:rsidR="00CE19D1" w:rsidRDefault="00CE19D1" w:rsidP="00CE19D1">
            <w:pPr>
              <w:numPr>
                <w:ilvl w:val="0"/>
                <w:numId w:val="8"/>
              </w:numPr>
              <w:spacing w:after="148"/>
              <w:ind w:left="566" w:hanging="528"/>
            </w:pPr>
            <w:r>
              <w:rPr>
                <w:rFonts w:ascii="Arial" w:eastAsia="Arial" w:hAnsi="Arial" w:cs="Arial"/>
              </w:rPr>
              <w:t xml:space="preserve">I tended to over-react to situations </w:t>
            </w:r>
            <w:r>
              <w:rPr>
                <w:rFonts w:ascii="Arial" w:eastAsia="Arial" w:hAnsi="Arial" w:cs="Arial"/>
              </w:rPr>
              <w:tab/>
              <w:t xml:space="preserve">0      1      2      3 </w:t>
            </w:r>
          </w:p>
          <w:p w14:paraId="7ED09083" w14:textId="77777777" w:rsidR="00CE19D1" w:rsidRDefault="00CE19D1" w:rsidP="00CE19D1">
            <w:pPr>
              <w:numPr>
                <w:ilvl w:val="0"/>
                <w:numId w:val="8"/>
              </w:numPr>
              <w:spacing w:after="148"/>
              <w:ind w:left="566" w:hanging="528"/>
            </w:pPr>
            <w:r>
              <w:rPr>
                <w:rFonts w:ascii="Arial" w:eastAsia="Arial" w:hAnsi="Arial" w:cs="Arial"/>
              </w:rPr>
              <w:t>I had a feeling of shakiness (</w:t>
            </w:r>
            <w:proofErr w:type="spellStart"/>
            <w:r>
              <w:rPr>
                <w:rFonts w:ascii="Arial" w:eastAsia="Arial" w:hAnsi="Arial" w:cs="Arial"/>
              </w:rPr>
              <w:t>eg</w:t>
            </w:r>
            <w:proofErr w:type="spellEnd"/>
            <w:r>
              <w:rPr>
                <w:rFonts w:ascii="Arial" w:eastAsia="Arial" w:hAnsi="Arial" w:cs="Arial"/>
              </w:rPr>
              <w:t>, legs going to give way</w:t>
            </w:r>
            <w:proofErr w:type="gramStart"/>
            <w:r>
              <w:rPr>
                <w:rFonts w:ascii="Arial" w:eastAsia="Arial" w:hAnsi="Arial" w:cs="Arial"/>
              </w:rPr>
              <w:t xml:space="preserve">) </w:t>
            </w:r>
            <w:r>
              <w:rPr>
                <w:rFonts w:ascii="Arial" w:eastAsia="Arial" w:hAnsi="Arial" w:cs="Arial"/>
              </w:rPr>
              <w:tab/>
              <w:t xml:space="preserve">0     </w:t>
            </w:r>
            <w:proofErr w:type="gramEnd"/>
            <w:r>
              <w:rPr>
                <w:rFonts w:ascii="Arial" w:eastAsia="Arial" w:hAnsi="Arial" w:cs="Arial"/>
              </w:rPr>
              <w:t xml:space="preserve"> 1      2      3 </w:t>
            </w:r>
          </w:p>
          <w:p w14:paraId="2244F085" w14:textId="77777777" w:rsidR="00CE19D1" w:rsidRDefault="00CE19D1" w:rsidP="00CE19D1">
            <w:pPr>
              <w:numPr>
                <w:ilvl w:val="0"/>
                <w:numId w:val="8"/>
              </w:numPr>
              <w:spacing w:after="149"/>
              <w:ind w:left="566" w:hanging="528"/>
            </w:pPr>
            <w:r>
              <w:rPr>
                <w:rFonts w:ascii="Arial" w:eastAsia="Arial" w:hAnsi="Arial" w:cs="Arial"/>
              </w:rPr>
              <w:t xml:space="preserve">I found it difficult to relax </w:t>
            </w:r>
            <w:r>
              <w:rPr>
                <w:rFonts w:ascii="Arial" w:eastAsia="Arial" w:hAnsi="Arial" w:cs="Arial"/>
              </w:rPr>
              <w:tab/>
              <w:t xml:space="preserve">0      1      2      3 </w:t>
            </w:r>
          </w:p>
          <w:p w14:paraId="49CBECC4" w14:textId="77777777" w:rsidR="00CE19D1" w:rsidRDefault="00CE19D1" w:rsidP="00CE19D1">
            <w:pPr>
              <w:numPr>
                <w:ilvl w:val="0"/>
                <w:numId w:val="8"/>
              </w:numPr>
              <w:spacing w:after="154" w:line="247" w:lineRule="auto"/>
              <w:ind w:left="566" w:hanging="528"/>
            </w:pPr>
            <w:r>
              <w:rPr>
                <w:rFonts w:ascii="Arial" w:eastAsia="Arial" w:hAnsi="Arial" w:cs="Arial"/>
              </w:rPr>
              <w:t>I found myself in situations that made me so anxious</w:t>
            </w:r>
            <w:proofErr w:type="gramStart"/>
            <w:r>
              <w:rPr>
                <w:rFonts w:ascii="Arial" w:eastAsia="Arial" w:hAnsi="Arial" w:cs="Arial"/>
              </w:rPr>
              <w:t xml:space="preserve"> I was</w:t>
            </w:r>
            <w:proofErr w:type="gramEnd"/>
            <w:r>
              <w:rPr>
                <w:rFonts w:ascii="Arial" w:eastAsia="Arial" w:hAnsi="Arial" w:cs="Arial"/>
              </w:rPr>
              <w:t xml:space="preserve"> </w:t>
            </w:r>
            <w:proofErr w:type="gramStart"/>
            <w:r>
              <w:rPr>
                <w:rFonts w:ascii="Arial" w:eastAsia="Arial" w:hAnsi="Arial" w:cs="Arial"/>
              </w:rPr>
              <w:t xml:space="preserve">most </w:t>
            </w:r>
            <w:r>
              <w:rPr>
                <w:rFonts w:ascii="Arial" w:eastAsia="Arial" w:hAnsi="Arial" w:cs="Arial"/>
              </w:rPr>
              <w:tab/>
              <w:t>0      1      2      3</w:t>
            </w:r>
            <w:proofErr w:type="gramEnd"/>
            <w:r>
              <w:rPr>
                <w:rFonts w:ascii="Arial" w:eastAsia="Arial" w:hAnsi="Arial" w:cs="Arial"/>
              </w:rPr>
              <w:t xml:space="preserve"> relieved when they ended </w:t>
            </w:r>
          </w:p>
          <w:p w14:paraId="2F46FBDD" w14:textId="77777777" w:rsidR="00CE19D1" w:rsidRDefault="00CE19D1" w:rsidP="00CE19D1">
            <w:pPr>
              <w:numPr>
                <w:ilvl w:val="0"/>
                <w:numId w:val="8"/>
              </w:numPr>
              <w:spacing w:after="148"/>
              <w:ind w:left="566" w:hanging="528"/>
            </w:pPr>
            <w:r>
              <w:rPr>
                <w:rFonts w:ascii="Arial" w:eastAsia="Arial" w:hAnsi="Arial" w:cs="Arial"/>
              </w:rPr>
              <w:t xml:space="preserve">I felt that I had nothing to look forward to </w:t>
            </w:r>
            <w:r>
              <w:rPr>
                <w:rFonts w:ascii="Arial" w:eastAsia="Arial" w:hAnsi="Arial" w:cs="Arial"/>
              </w:rPr>
              <w:tab/>
              <w:t xml:space="preserve">0      1      2      3 </w:t>
            </w:r>
          </w:p>
          <w:p w14:paraId="51390CE6" w14:textId="77777777" w:rsidR="00CE19D1" w:rsidRDefault="00CE19D1" w:rsidP="00CE19D1">
            <w:pPr>
              <w:numPr>
                <w:ilvl w:val="0"/>
                <w:numId w:val="8"/>
              </w:numPr>
              <w:spacing w:after="148"/>
              <w:ind w:left="566" w:hanging="528"/>
            </w:pPr>
            <w:r>
              <w:rPr>
                <w:rFonts w:ascii="Arial" w:eastAsia="Arial" w:hAnsi="Arial" w:cs="Arial"/>
              </w:rPr>
              <w:t xml:space="preserve">I found myself getting upset rather easily </w:t>
            </w:r>
            <w:r>
              <w:rPr>
                <w:rFonts w:ascii="Arial" w:eastAsia="Arial" w:hAnsi="Arial" w:cs="Arial"/>
              </w:rPr>
              <w:tab/>
              <w:t xml:space="preserve">0      1      2      3 </w:t>
            </w:r>
          </w:p>
          <w:p w14:paraId="14B0B590" w14:textId="77777777" w:rsidR="00CE19D1" w:rsidRDefault="00CE19D1" w:rsidP="00CE19D1">
            <w:pPr>
              <w:numPr>
                <w:ilvl w:val="0"/>
                <w:numId w:val="8"/>
              </w:numPr>
              <w:spacing w:after="148"/>
              <w:ind w:left="566" w:hanging="528"/>
            </w:pPr>
            <w:r>
              <w:rPr>
                <w:rFonts w:ascii="Arial" w:eastAsia="Arial" w:hAnsi="Arial" w:cs="Arial"/>
              </w:rPr>
              <w:t xml:space="preserve">I felt that I was using a lot of nervous energy </w:t>
            </w:r>
            <w:r>
              <w:rPr>
                <w:rFonts w:ascii="Arial" w:eastAsia="Arial" w:hAnsi="Arial" w:cs="Arial"/>
              </w:rPr>
              <w:tab/>
              <w:t xml:space="preserve">0      1      2      3 </w:t>
            </w:r>
          </w:p>
          <w:p w14:paraId="5A321F44" w14:textId="77777777" w:rsidR="00CE19D1" w:rsidRDefault="00CE19D1" w:rsidP="00CE19D1">
            <w:pPr>
              <w:numPr>
                <w:ilvl w:val="0"/>
                <w:numId w:val="8"/>
              </w:numPr>
              <w:spacing w:after="148"/>
              <w:ind w:left="566" w:hanging="528"/>
            </w:pPr>
            <w:r>
              <w:rPr>
                <w:rFonts w:ascii="Arial" w:eastAsia="Arial" w:hAnsi="Arial" w:cs="Arial"/>
              </w:rPr>
              <w:t xml:space="preserve">I felt sad and depressed </w:t>
            </w:r>
            <w:r>
              <w:rPr>
                <w:rFonts w:ascii="Arial" w:eastAsia="Arial" w:hAnsi="Arial" w:cs="Arial"/>
              </w:rPr>
              <w:tab/>
              <w:t xml:space="preserve">0      1      2      3 </w:t>
            </w:r>
          </w:p>
          <w:p w14:paraId="4FE65842" w14:textId="77777777" w:rsidR="00CE19D1" w:rsidRDefault="00CE19D1" w:rsidP="00CE19D1">
            <w:pPr>
              <w:numPr>
                <w:ilvl w:val="0"/>
                <w:numId w:val="8"/>
              </w:numPr>
              <w:ind w:left="566" w:hanging="528"/>
            </w:pPr>
            <w:r>
              <w:rPr>
                <w:rFonts w:ascii="Arial" w:eastAsia="Arial" w:hAnsi="Arial" w:cs="Arial"/>
              </w:rPr>
              <w:t xml:space="preserve">I found myself getting impatient when I was delayed in any way </w:t>
            </w:r>
            <w:r>
              <w:rPr>
                <w:rFonts w:ascii="Arial" w:eastAsia="Arial" w:hAnsi="Arial" w:cs="Arial"/>
              </w:rPr>
              <w:tab/>
              <w:t xml:space="preserve">0      1      2      3 </w:t>
            </w:r>
          </w:p>
          <w:p w14:paraId="52D4ACAC" w14:textId="77777777" w:rsidR="00CE19D1" w:rsidRDefault="00CE19D1">
            <w:pPr>
              <w:spacing w:after="141"/>
              <w:ind w:left="567"/>
            </w:pPr>
            <w:r>
              <w:rPr>
                <w:rFonts w:ascii="Arial" w:eastAsia="Arial" w:hAnsi="Arial" w:cs="Arial"/>
              </w:rPr>
              <w:t>(</w:t>
            </w:r>
            <w:proofErr w:type="spellStart"/>
            <w:r>
              <w:rPr>
                <w:rFonts w:ascii="Arial" w:eastAsia="Arial" w:hAnsi="Arial" w:cs="Arial"/>
              </w:rPr>
              <w:t>eg</w:t>
            </w:r>
            <w:proofErr w:type="spellEnd"/>
            <w:r>
              <w:rPr>
                <w:rFonts w:ascii="Arial" w:eastAsia="Arial" w:hAnsi="Arial" w:cs="Arial"/>
              </w:rPr>
              <w:t xml:space="preserve">, elevators, traffic lights, being kept waiting) </w:t>
            </w:r>
          </w:p>
          <w:p w14:paraId="43F13460" w14:textId="77777777" w:rsidR="00CE19D1" w:rsidRDefault="00CE19D1" w:rsidP="00CE19D1">
            <w:pPr>
              <w:numPr>
                <w:ilvl w:val="0"/>
                <w:numId w:val="8"/>
              </w:numPr>
              <w:spacing w:after="148"/>
              <w:ind w:left="566" w:hanging="528"/>
            </w:pPr>
            <w:r>
              <w:rPr>
                <w:rFonts w:ascii="Arial" w:eastAsia="Arial" w:hAnsi="Arial" w:cs="Arial"/>
              </w:rPr>
              <w:t xml:space="preserve">I had a feeling of faintness </w:t>
            </w:r>
            <w:r>
              <w:rPr>
                <w:rFonts w:ascii="Arial" w:eastAsia="Arial" w:hAnsi="Arial" w:cs="Arial"/>
              </w:rPr>
              <w:tab/>
              <w:t xml:space="preserve">0      1      2      3 </w:t>
            </w:r>
          </w:p>
          <w:p w14:paraId="17732450" w14:textId="77777777" w:rsidR="00CE19D1" w:rsidRDefault="00CE19D1" w:rsidP="00CE19D1">
            <w:pPr>
              <w:numPr>
                <w:ilvl w:val="0"/>
                <w:numId w:val="8"/>
              </w:numPr>
              <w:spacing w:after="149"/>
              <w:ind w:left="566" w:hanging="528"/>
            </w:pPr>
            <w:r>
              <w:rPr>
                <w:rFonts w:ascii="Arial" w:eastAsia="Arial" w:hAnsi="Arial" w:cs="Arial"/>
              </w:rPr>
              <w:t xml:space="preserve">I felt that I had lost interest in just about everything </w:t>
            </w:r>
            <w:r>
              <w:rPr>
                <w:rFonts w:ascii="Arial" w:eastAsia="Arial" w:hAnsi="Arial" w:cs="Arial"/>
              </w:rPr>
              <w:tab/>
              <w:t xml:space="preserve">0      1      2      3 </w:t>
            </w:r>
          </w:p>
          <w:p w14:paraId="3744D7F2" w14:textId="77777777" w:rsidR="00CE19D1" w:rsidRDefault="00CE19D1" w:rsidP="00CE19D1">
            <w:pPr>
              <w:numPr>
                <w:ilvl w:val="0"/>
                <w:numId w:val="8"/>
              </w:numPr>
              <w:spacing w:after="148"/>
              <w:ind w:left="566" w:hanging="528"/>
            </w:pPr>
            <w:r>
              <w:rPr>
                <w:rFonts w:ascii="Arial" w:eastAsia="Arial" w:hAnsi="Arial" w:cs="Arial"/>
              </w:rPr>
              <w:t xml:space="preserve">I felt I wasn't worth much as a person </w:t>
            </w:r>
            <w:r>
              <w:rPr>
                <w:rFonts w:ascii="Arial" w:eastAsia="Arial" w:hAnsi="Arial" w:cs="Arial"/>
              </w:rPr>
              <w:tab/>
              <w:t xml:space="preserve">0      1      2      3 </w:t>
            </w:r>
          </w:p>
          <w:p w14:paraId="671D324F" w14:textId="77777777" w:rsidR="00CE19D1" w:rsidRDefault="00CE19D1" w:rsidP="00CE19D1">
            <w:pPr>
              <w:numPr>
                <w:ilvl w:val="0"/>
                <w:numId w:val="8"/>
              </w:numPr>
              <w:spacing w:after="148"/>
              <w:ind w:left="566" w:hanging="528"/>
            </w:pPr>
            <w:r>
              <w:rPr>
                <w:rFonts w:ascii="Arial" w:eastAsia="Arial" w:hAnsi="Arial" w:cs="Arial"/>
              </w:rPr>
              <w:t xml:space="preserve">I felt that I was rather touchy </w:t>
            </w:r>
            <w:r>
              <w:rPr>
                <w:rFonts w:ascii="Arial" w:eastAsia="Arial" w:hAnsi="Arial" w:cs="Arial"/>
              </w:rPr>
              <w:tab/>
              <w:t xml:space="preserve">0      1      2      3 </w:t>
            </w:r>
          </w:p>
          <w:p w14:paraId="661FE0E8" w14:textId="77777777" w:rsidR="00CE19D1" w:rsidRDefault="00CE19D1" w:rsidP="00CE19D1">
            <w:pPr>
              <w:numPr>
                <w:ilvl w:val="0"/>
                <w:numId w:val="8"/>
              </w:numPr>
              <w:spacing w:after="154" w:line="247" w:lineRule="auto"/>
              <w:ind w:left="566" w:hanging="528"/>
            </w:pPr>
            <w:r>
              <w:rPr>
                <w:rFonts w:ascii="Arial" w:eastAsia="Arial" w:hAnsi="Arial" w:cs="Arial"/>
              </w:rPr>
              <w:t>I perspired noticeably (</w:t>
            </w:r>
            <w:proofErr w:type="spellStart"/>
            <w:r>
              <w:rPr>
                <w:rFonts w:ascii="Arial" w:eastAsia="Arial" w:hAnsi="Arial" w:cs="Arial"/>
              </w:rPr>
              <w:t>eg</w:t>
            </w:r>
            <w:proofErr w:type="spellEnd"/>
            <w:r>
              <w:rPr>
                <w:rFonts w:ascii="Arial" w:eastAsia="Arial" w:hAnsi="Arial" w:cs="Arial"/>
              </w:rPr>
              <w:t xml:space="preserve">, hands sweaty) in the absence of high </w:t>
            </w:r>
            <w:r>
              <w:rPr>
                <w:rFonts w:ascii="Arial" w:eastAsia="Arial" w:hAnsi="Arial" w:cs="Arial"/>
              </w:rPr>
              <w:tab/>
              <w:t xml:space="preserve">0      1      2      3 temperatures or physical exertion </w:t>
            </w:r>
          </w:p>
          <w:p w14:paraId="700406CF" w14:textId="77777777" w:rsidR="00CE19D1" w:rsidRDefault="00CE19D1" w:rsidP="00CE19D1">
            <w:pPr>
              <w:numPr>
                <w:ilvl w:val="0"/>
                <w:numId w:val="8"/>
              </w:numPr>
              <w:spacing w:after="148"/>
              <w:ind w:left="566" w:hanging="528"/>
            </w:pPr>
            <w:r>
              <w:rPr>
                <w:rFonts w:ascii="Arial" w:eastAsia="Arial" w:hAnsi="Arial" w:cs="Arial"/>
              </w:rPr>
              <w:t xml:space="preserve">I felt scared without any good reason </w:t>
            </w:r>
            <w:r>
              <w:rPr>
                <w:rFonts w:ascii="Arial" w:eastAsia="Arial" w:hAnsi="Arial" w:cs="Arial"/>
              </w:rPr>
              <w:tab/>
              <w:t xml:space="preserve">0      1      2      3 </w:t>
            </w:r>
          </w:p>
          <w:p w14:paraId="65862DEE" w14:textId="77777777" w:rsidR="00CE19D1" w:rsidRDefault="00CE19D1" w:rsidP="00CE19D1">
            <w:pPr>
              <w:numPr>
                <w:ilvl w:val="0"/>
                <w:numId w:val="8"/>
              </w:numPr>
              <w:ind w:left="566" w:hanging="528"/>
            </w:pPr>
            <w:r>
              <w:rPr>
                <w:rFonts w:ascii="Arial" w:eastAsia="Arial" w:hAnsi="Arial" w:cs="Arial"/>
              </w:rPr>
              <w:t xml:space="preserve">I felt that life wasn't worthwhile </w:t>
            </w:r>
            <w:r>
              <w:rPr>
                <w:rFonts w:ascii="Arial" w:eastAsia="Arial" w:hAnsi="Arial" w:cs="Arial"/>
              </w:rPr>
              <w:tab/>
              <w:t xml:space="preserve">0      1      2      3 </w:t>
            </w:r>
          </w:p>
        </w:tc>
      </w:tr>
    </w:tbl>
    <w:p w14:paraId="0AF08179" w14:textId="77777777" w:rsidR="00CE19D1" w:rsidRDefault="00CE19D1">
      <w:pPr>
        <w:spacing w:after="60"/>
      </w:pPr>
      <w:r>
        <w:rPr>
          <w:rFonts w:ascii="Arial" w:eastAsia="Arial" w:hAnsi="Arial" w:cs="Arial"/>
        </w:rPr>
        <w:t xml:space="preserve"> </w:t>
      </w:r>
    </w:p>
    <w:p w14:paraId="47A3A997" w14:textId="77777777" w:rsidR="00CE19D1" w:rsidRDefault="00CE19D1">
      <w:pPr>
        <w:tabs>
          <w:tab w:val="right" w:pos="10337"/>
        </w:tabs>
      </w:pPr>
      <w:r>
        <w:rPr>
          <w:rFonts w:ascii="Arial" w:eastAsia="Arial" w:hAnsi="Arial" w:cs="Arial"/>
        </w:rPr>
        <w:t xml:space="preserve"> </w:t>
      </w:r>
      <w:r>
        <w:rPr>
          <w:rFonts w:ascii="Arial" w:eastAsia="Arial" w:hAnsi="Arial" w:cs="Arial"/>
        </w:rPr>
        <w:tab/>
      </w:r>
      <w:r>
        <w:t xml:space="preserve">Please turn the page </w:t>
      </w:r>
      <w:r>
        <w:rPr>
          <w:rFonts w:ascii="Wingdings" w:eastAsia="Wingdings" w:hAnsi="Wingdings" w:cs="Wingdings"/>
          <w:sz w:val="30"/>
        </w:rPr>
        <w:t></w:t>
      </w:r>
      <w:r>
        <w:rPr>
          <w:rFonts w:ascii="Arial" w:eastAsia="Arial" w:hAnsi="Arial" w:cs="Arial"/>
        </w:rPr>
        <w:t xml:space="preserve"> </w:t>
      </w:r>
    </w:p>
    <w:p w14:paraId="6CADED41" w14:textId="77777777" w:rsidR="00CE19D1" w:rsidRDefault="00CE19D1">
      <w:pPr>
        <w:ind w:right="69"/>
        <w:jc w:val="right"/>
      </w:pPr>
      <w:r>
        <w:t xml:space="preserve"> </w:t>
      </w:r>
    </w:p>
    <w:p w14:paraId="6773C9ED" w14:textId="77777777" w:rsidR="00CE19D1" w:rsidRDefault="00CE19D1">
      <w:pPr>
        <w:spacing w:after="100"/>
        <w:jc w:val="both"/>
      </w:pPr>
      <w:r>
        <w:rPr>
          <w:rFonts w:ascii="Arial" w:eastAsia="Arial" w:hAnsi="Arial" w:cs="Arial"/>
        </w:rPr>
        <w:t xml:space="preserve"> </w:t>
      </w:r>
    </w:p>
    <w:p w14:paraId="59033EA6" w14:textId="54D7C955" w:rsidR="00CE19D1" w:rsidRDefault="00CE19D1" w:rsidP="00CE19D1">
      <w:pPr>
        <w:spacing w:after="101"/>
        <w:jc w:val="both"/>
      </w:pPr>
      <w:r>
        <w:rPr>
          <w:rFonts w:ascii="Arial" w:eastAsia="Arial" w:hAnsi="Arial" w:cs="Arial"/>
        </w:rPr>
        <w:t xml:space="preserve"> </w:t>
      </w:r>
    </w:p>
    <w:p w14:paraId="6C873CB2" w14:textId="77777777" w:rsidR="00CE19D1" w:rsidRDefault="00CE19D1">
      <w:pPr>
        <w:spacing w:after="100"/>
        <w:jc w:val="both"/>
      </w:pPr>
      <w:r>
        <w:rPr>
          <w:rFonts w:ascii="Arial" w:eastAsia="Arial" w:hAnsi="Arial" w:cs="Arial"/>
        </w:rPr>
        <w:lastRenderedPageBreak/>
        <w:t xml:space="preserve"> </w:t>
      </w:r>
    </w:p>
    <w:p w14:paraId="1B306311" w14:textId="77777777" w:rsidR="00CE19D1" w:rsidRDefault="00CE19D1">
      <w:pPr>
        <w:jc w:val="both"/>
      </w:pPr>
      <w:r>
        <w:rPr>
          <w:rFonts w:ascii="Arial" w:eastAsia="Arial" w:hAnsi="Arial" w:cs="Arial"/>
        </w:rPr>
        <w:t xml:space="preserve"> </w:t>
      </w:r>
    </w:p>
    <w:tbl>
      <w:tblPr>
        <w:tblStyle w:val="TableGrid0"/>
        <w:tblW w:w="10664" w:type="dxa"/>
        <w:tblInd w:w="-142" w:type="dxa"/>
        <w:tblCellMar>
          <w:top w:w="85" w:type="dxa"/>
          <w:bottom w:w="9" w:type="dxa"/>
          <w:right w:w="115" w:type="dxa"/>
        </w:tblCellMar>
        <w:tblLook w:val="04A0" w:firstRow="1" w:lastRow="0" w:firstColumn="1" w:lastColumn="0" w:noHBand="0" w:noVBand="1"/>
      </w:tblPr>
      <w:tblGrid>
        <w:gridCol w:w="8591"/>
        <w:gridCol w:w="2073"/>
      </w:tblGrid>
      <w:tr w:rsidR="00CE19D1" w14:paraId="346508FF" w14:textId="77777777" w:rsidTr="00CE19D1">
        <w:trPr>
          <w:trHeight w:val="1886"/>
        </w:trPr>
        <w:tc>
          <w:tcPr>
            <w:tcW w:w="8591" w:type="dxa"/>
            <w:tcBorders>
              <w:top w:val="single" w:sz="6" w:space="0" w:color="000000"/>
              <w:left w:val="single" w:sz="6" w:space="0" w:color="000000"/>
              <w:bottom w:val="single" w:sz="6" w:space="0" w:color="000000"/>
              <w:right w:val="nil"/>
            </w:tcBorders>
            <w:vAlign w:val="bottom"/>
          </w:tcPr>
          <w:p w14:paraId="2A5533F5" w14:textId="77777777" w:rsidR="00CE19D1" w:rsidRDefault="00CE19D1">
            <w:pPr>
              <w:spacing w:after="101"/>
              <w:ind w:left="142"/>
            </w:pPr>
            <w:r>
              <w:t>Reminder of rating scale:</w:t>
            </w:r>
            <w:r>
              <w:rPr>
                <w:rFonts w:ascii="Arial" w:eastAsia="Arial" w:hAnsi="Arial" w:cs="Arial"/>
              </w:rPr>
              <w:t xml:space="preserve"> </w:t>
            </w:r>
          </w:p>
          <w:p w14:paraId="21B6FAFF" w14:textId="77777777" w:rsidR="00CE19D1" w:rsidRDefault="00CE19D1" w:rsidP="00CE19D1">
            <w:pPr>
              <w:numPr>
                <w:ilvl w:val="0"/>
                <w:numId w:val="9"/>
              </w:numPr>
            </w:pPr>
            <w:r>
              <w:rPr>
                <w:rFonts w:ascii="Arial" w:eastAsia="Arial" w:hAnsi="Arial" w:cs="Arial"/>
              </w:rPr>
              <w:t xml:space="preserve">Did not apply to me at all </w:t>
            </w:r>
          </w:p>
          <w:p w14:paraId="03C7DCEF" w14:textId="77777777" w:rsidR="00CE19D1" w:rsidRDefault="00CE19D1" w:rsidP="00CE19D1">
            <w:pPr>
              <w:numPr>
                <w:ilvl w:val="0"/>
                <w:numId w:val="9"/>
              </w:numPr>
            </w:pPr>
            <w:r>
              <w:rPr>
                <w:rFonts w:ascii="Arial" w:eastAsia="Arial" w:hAnsi="Arial" w:cs="Arial"/>
              </w:rPr>
              <w:t xml:space="preserve">Applied to me to some degree, or some of the time </w:t>
            </w:r>
          </w:p>
          <w:p w14:paraId="2C083747" w14:textId="77777777" w:rsidR="00CE19D1" w:rsidRPr="00CE19D1" w:rsidRDefault="00CE19D1" w:rsidP="00CE19D1">
            <w:pPr>
              <w:numPr>
                <w:ilvl w:val="0"/>
                <w:numId w:val="9"/>
              </w:numPr>
            </w:pPr>
            <w:r>
              <w:rPr>
                <w:rFonts w:ascii="Arial" w:eastAsia="Arial" w:hAnsi="Arial" w:cs="Arial"/>
              </w:rPr>
              <w:t xml:space="preserve">Applied to me to a considerable degree, or a good part of time </w:t>
            </w:r>
          </w:p>
          <w:p w14:paraId="25737D90" w14:textId="719C9E95" w:rsidR="00CE19D1" w:rsidRPr="00CE19D1" w:rsidRDefault="00CE19D1" w:rsidP="00CE19D1">
            <w:pPr>
              <w:pStyle w:val="ListParagraph"/>
              <w:numPr>
                <w:ilvl w:val="0"/>
                <w:numId w:val="9"/>
              </w:numPr>
            </w:pPr>
            <w:r w:rsidRPr="00CE19D1">
              <w:rPr>
                <w:rFonts w:ascii="Arial" w:eastAsia="Arial" w:hAnsi="Arial" w:cs="Arial"/>
              </w:rPr>
              <w:t xml:space="preserve">Applied to me very much, or most of the time </w:t>
            </w:r>
          </w:p>
          <w:p w14:paraId="5AA4D4C1" w14:textId="77777777" w:rsidR="00CE19D1" w:rsidRDefault="00CE19D1">
            <w:pPr>
              <w:ind w:left="142"/>
            </w:pPr>
            <w:r>
              <w:rPr>
                <w:rFonts w:ascii="Arial" w:eastAsia="Arial" w:hAnsi="Arial" w:cs="Arial"/>
              </w:rPr>
              <w:t xml:space="preserve"> </w:t>
            </w:r>
          </w:p>
        </w:tc>
        <w:tc>
          <w:tcPr>
            <w:tcW w:w="2073" w:type="dxa"/>
            <w:tcBorders>
              <w:top w:val="single" w:sz="6" w:space="0" w:color="000000"/>
              <w:left w:val="nil"/>
              <w:bottom w:val="single" w:sz="6" w:space="0" w:color="000000"/>
              <w:right w:val="single" w:sz="6" w:space="0" w:color="000000"/>
            </w:tcBorders>
          </w:tcPr>
          <w:p w14:paraId="0082C8FC" w14:textId="77777777" w:rsidR="00CE19D1" w:rsidRDefault="00CE19D1">
            <w:pPr>
              <w:spacing w:after="160"/>
            </w:pPr>
          </w:p>
        </w:tc>
      </w:tr>
      <w:tr w:rsidR="00CE19D1" w14:paraId="6E6AA740" w14:textId="77777777" w:rsidTr="00CE19D1">
        <w:trPr>
          <w:trHeight w:val="544"/>
        </w:trPr>
        <w:tc>
          <w:tcPr>
            <w:tcW w:w="8591" w:type="dxa"/>
            <w:tcBorders>
              <w:top w:val="single" w:sz="6" w:space="0" w:color="000000"/>
              <w:left w:val="single" w:sz="6" w:space="0" w:color="000000"/>
              <w:bottom w:val="nil"/>
              <w:right w:val="nil"/>
            </w:tcBorders>
            <w:vAlign w:val="bottom"/>
          </w:tcPr>
          <w:p w14:paraId="2316E0E0" w14:textId="77777777" w:rsidR="00CE19D1" w:rsidRDefault="00CE19D1">
            <w:pPr>
              <w:tabs>
                <w:tab w:val="center" w:pos="264"/>
                <w:tab w:val="center" w:pos="2058"/>
              </w:tabs>
            </w:pPr>
            <w:r>
              <w:rPr>
                <w:rFonts w:ascii="Calibri" w:eastAsia="Calibri" w:hAnsi="Calibri" w:cs="Calibri"/>
                <w:sz w:val="22"/>
              </w:rPr>
              <w:tab/>
            </w:r>
            <w:r>
              <w:rPr>
                <w:rFonts w:ascii="Arial" w:eastAsia="Arial" w:hAnsi="Arial" w:cs="Arial"/>
              </w:rPr>
              <w:t xml:space="preserve">22 </w:t>
            </w:r>
            <w:r>
              <w:rPr>
                <w:rFonts w:ascii="Arial" w:eastAsia="Arial" w:hAnsi="Arial" w:cs="Arial"/>
              </w:rPr>
              <w:tab/>
              <w:t xml:space="preserve">I found it hard to wind down </w:t>
            </w:r>
          </w:p>
        </w:tc>
        <w:tc>
          <w:tcPr>
            <w:tcW w:w="2073" w:type="dxa"/>
            <w:tcBorders>
              <w:top w:val="single" w:sz="6" w:space="0" w:color="000000"/>
              <w:left w:val="nil"/>
              <w:bottom w:val="nil"/>
              <w:right w:val="single" w:sz="6" w:space="0" w:color="000000"/>
            </w:tcBorders>
            <w:vAlign w:val="bottom"/>
          </w:tcPr>
          <w:p w14:paraId="3FBDC63B" w14:textId="77777777" w:rsidR="00CE19D1" w:rsidRDefault="00CE19D1">
            <w:r>
              <w:rPr>
                <w:rFonts w:ascii="Arial" w:eastAsia="Arial" w:hAnsi="Arial" w:cs="Arial"/>
              </w:rPr>
              <w:t xml:space="preserve">0      1      2      3 </w:t>
            </w:r>
          </w:p>
        </w:tc>
      </w:tr>
      <w:tr w:rsidR="00CE19D1" w14:paraId="4184F05C" w14:textId="77777777" w:rsidTr="00CE19D1">
        <w:trPr>
          <w:trHeight w:val="415"/>
        </w:trPr>
        <w:tc>
          <w:tcPr>
            <w:tcW w:w="8591" w:type="dxa"/>
            <w:tcBorders>
              <w:top w:val="nil"/>
              <w:left w:val="single" w:sz="6" w:space="0" w:color="000000"/>
              <w:bottom w:val="nil"/>
              <w:right w:val="nil"/>
            </w:tcBorders>
          </w:tcPr>
          <w:p w14:paraId="0C9F344B" w14:textId="77777777" w:rsidR="00CE19D1" w:rsidRDefault="00CE19D1">
            <w:pPr>
              <w:tabs>
                <w:tab w:val="center" w:pos="303"/>
                <w:tab w:val="center" w:pos="2061"/>
              </w:tabs>
            </w:pPr>
            <w:r>
              <w:rPr>
                <w:rFonts w:ascii="Calibri" w:eastAsia="Calibri" w:hAnsi="Calibri" w:cs="Calibri"/>
                <w:sz w:val="22"/>
              </w:rPr>
              <w:tab/>
            </w:r>
            <w:r>
              <w:rPr>
                <w:rFonts w:ascii="Arial" w:eastAsia="Arial" w:hAnsi="Arial" w:cs="Arial"/>
              </w:rPr>
              <w:t xml:space="preserve">23 </w:t>
            </w:r>
            <w:r>
              <w:rPr>
                <w:rFonts w:ascii="Arial" w:eastAsia="Arial" w:hAnsi="Arial" w:cs="Arial"/>
              </w:rPr>
              <w:tab/>
              <w:t xml:space="preserve">I had difficulty in swallowing </w:t>
            </w:r>
          </w:p>
        </w:tc>
        <w:tc>
          <w:tcPr>
            <w:tcW w:w="2073" w:type="dxa"/>
            <w:tcBorders>
              <w:top w:val="nil"/>
              <w:left w:val="nil"/>
              <w:bottom w:val="nil"/>
              <w:right w:val="single" w:sz="6" w:space="0" w:color="000000"/>
            </w:tcBorders>
          </w:tcPr>
          <w:p w14:paraId="52A5E667" w14:textId="77777777" w:rsidR="00CE19D1" w:rsidRDefault="00CE19D1">
            <w:r>
              <w:rPr>
                <w:rFonts w:ascii="Arial" w:eastAsia="Arial" w:hAnsi="Arial" w:cs="Arial"/>
              </w:rPr>
              <w:t xml:space="preserve">0      1      2      3 </w:t>
            </w:r>
          </w:p>
        </w:tc>
      </w:tr>
      <w:tr w:rsidR="00CE19D1" w14:paraId="3A33F3D1" w14:textId="77777777" w:rsidTr="00CE19D1">
        <w:trPr>
          <w:trHeight w:val="415"/>
        </w:trPr>
        <w:tc>
          <w:tcPr>
            <w:tcW w:w="8591" w:type="dxa"/>
            <w:tcBorders>
              <w:top w:val="nil"/>
              <w:left w:val="single" w:sz="6" w:space="0" w:color="000000"/>
              <w:bottom w:val="nil"/>
              <w:right w:val="nil"/>
            </w:tcBorders>
          </w:tcPr>
          <w:p w14:paraId="2405C554" w14:textId="77777777" w:rsidR="00CE19D1" w:rsidRDefault="00CE19D1">
            <w:pPr>
              <w:tabs>
                <w:tab w:val="center" w:pos="303"/>
                <w:tab w:val="center" w:pos="3567"/>
              </w:tabs>
            </w:pPr>
            <w:r>
              <w:rPr>
                <w:rFonts w:ascii="Calibri" w:eastAsia="Calibri" w:hAnsi="Calibri" w:cs="Calibri"/>
                <w:sz w:val="22"/>
              </w:rPr>
              <w:tab/>
            </w:r>
            <w:r>
              <w:rPr>
                <w:rFonts w:ascii="Arial" w:eastAsia="Arial" w:hAnsi="Arial" w:cs="Arial"/>
              </w:rPr>
              <w:t xml:space="preserve">24 </w:t>
            </w:r>
            <w:r>
              <w:rPr>
                <w:rFonts w:ascii="Arial" w:eastAsia="Arial" w:hAnsi="Arial" w:cs="Arial"/>
              </w:rPr>
              <w:tab/>
              <w:t xml:space="preserve">I couldn't seem to get any enjoyment out of the things I did </w:t>
            </w:r>
          </w:p>
        </w:tc>
        <w:tc>
          <w:tcPr>
            <w:tcW w:w="2073" w:type="dxa"/>
            <w:tcBorders>
              <w:top w:val="nil"/>
              <w:left w:val="nil"/>
              <w:bottom w:val="nil"/>
              <w:right w:val="single" w:sz="6" w:space="0" w:color="000000"/>
            </w:tcBorders>
          </w:tcPr>
          <w:p w14:paraId="0C6FDB12" w14:textId="77777777" w:rsidR="00CE19D1" w:rsidRDefault="00CE19D1">
            <w:r>
              <w:rPr>
                <w:rFonts w:ascii="Arial" w:eastAsia="Arial" w:hAnsi="Arial" w:cs="Arial"/>
              </w:rPr>
              <w:t xml:space="preserve">0      1      2      3 </w:t>
            </w:r>
          </w:p>
        </w:tc>
      </w:tr>
      <w:tr w:rsidR="00CE19D1" w14:paraId="7E232181" w14:textId="77777777" w:rsidTr="00CE19D1">
        <w:trPr>
          <w:trHeight w:val="670"/>
        </w:trPr>
        <w:tc>
          <w:tcPr>
            <w:tcW w:w="8591" w:type="dxa"/>
            <w:tcBorders>
              <w:top w:val="nil"/>
              <w:left w:val="single" w:sz="6" w:space="0" w:color="000000"/>
              <w:bottom w:val="nil"/>
              <w:right w:val="nil"/>
            </w:tcBorders>
          </w:tcPr>
          <w:p w14:paraId="761D6E31" w14:textId="77777777" w:rsidR="00CE19D1" w:rsidRDefault="00CE19D1">
            <w:pPr>
              <w:ind w:left="708" w:right="707" w:hanging="528"/>
            </w:pPr>
            <w:r>
              <w:rPr>
                <w:rFonts w:ascii="Arial" w:eastAsia="Arial" w:hAnsi="Arial" w:cs="Arial"/>
              </w:rPr>
              <w:t xml:space="preserve">25 </w:t>
            </w:r>
            <w:r>
              <w:rPr>
                <w:rFonts w:ascii="Arial" w:eastAsia="Arial" w:hAnsi="Arial" w:cs="Arial"/>
              </w:rPr>
              <w:tab/>
              <w:t>I was aware of the action of my heart in the absence of physical exertion (</w:t>
            </w:r>
            <w:proofErr w:type="spellStart"/>
            <w:r>
              <w:rPr>
                <w:rFonts w:ascii="Arial" w:eastAsia="Arial" w:hAnsi="Arial" w:cs="Arial"/>
              </w:rPr>
              <w:t>eg</w:t>
            </w:r>
            <w:proofErr w:type="spellEnd"/>
            <w:r>
              <w:rPr>
                <w:rFonts w:ascii="Arial" w:eastAsia="Arial" w:hAnsi="Arial" w:cs="Arial"/>
              </w:rPr>
              <w:t xml:space="preserve">, sense of heart rate increase, heart missing a beat) </w:t>
            </w:r>
          </w:p>
        </w:tc>
        <w:tc>
          <w:tcPr>
            <w:tcW w:w="2073" w:type="dxa"/>
            <w:tcBorders>
              <w:top w:val="nil"/>
              <w:left w:val="nil"/>
              <w:bottom w:val="nil"/>
              <w:right w:val="single" w:sz="6" w:space="0" w:color="000000"/>
            </w:tcBorders>
          </w:tcPr>
          <w:p w14:paraId="621942C3" w14:textId="77777777" w:rsidR="00CE19D1" w:rsidRDefault="00CE19D1">
            <w:r>
              <w:rPr>
                <w:rFonts w:ascii="Arial" w:eastAsia="Arial" w:hAnsi="Arial" w:cs="Arial"/>
              </w:rPr>
              <w:t xml:space="preserve">0      1      2      3 </w:t>
            </w:r>
          </w:p>
        </w:tc>
      </w:tr>
      <w:tr w:rsidR="00CE19D1" w14:paraId="5F0D835E" w14:textId="77777777" w:rsidTr="00CE19D1">
        <w:trPr>
          <w:trHeight w:val="415"/>
        </w:trPr>
        <w:tc>
          <w:tcPr>
            <w:tcW w:w="8591" w:type="dxa"/>
            <w:tcBorders>
              <w:top w:val="nil"/>
              <w:left w:val="single" w:sz="6" w:space="0" w:color="000000"/>
              <w:bottom w:val="nil"/>
              <w:right w:val="nil"/>
            </w:tcBorders>
          </w:tcPr>
          <w:p w14:paraId="24C95CEF" w14:textId="77777777" w:rsidR="00CE19D1" w:rsidRDefault="00CE19D1">
            <w:pPr>
              <w:tabs>
                <w:tab w:val="center" w:pos="303"/>
                <w:tab w:val="center" w:pos="2078"/>
              </w:tabs>
            </w:pPr>
            <w:r>
              <w:rPr>
                <w:rFonts w:ascii="Calibri" w:eastAsia="Calibri" w:hAnsi="Calibri" w:cs="Calibri"/>
                <w:sz w:val="22"/>
              </w:rPr>
              <w:tab/>
            </w:r>
            <w:r>
              <w:rPr>
                <w:rFonts w:ascii="Arial" w:eastAsia="Arial" w:hAnsi="Arial" w:cs="Arial"/>
              </w:rPr>
              <w:t xml:space="preserve">26 </w:t>
            </w:r>
            <w:r>
              <w:rPr>
                <w:rFonts w:ascii="Arial" w:eastAsia="Arial" w:hAnsi="Arial" w:cs="Arial"/>
              </w:rPr>
              <w:tab/>
              <w:t xml:space="preserve">I felt </w:t>
            </w:r>
            <w:proofErr w:type="gramStart"/>
            <w:r>
              <w:rPr>
                <w:rFonts w:ascii="Arial" w:eastAsia="Arial" w:hAnsi="Arial" w:cs="Arial"/>
              </w:rPr>
              <w:t>down-hearted</w:t>
            </w:r>
            <w:proofErr w:type="gramEnd"/>
            <w:r>
              <w:rPr>
                <w:rFonts w:ascii="Arial" w:eastAsia="Arial" w:hAnsi="Arial" w:cs="Arial"/>
              </w:rPr>
              <w:t xml:space="preserve"> and blue </w:t>
            </w:r>
          </w:p>
        </w:tc>
        <w:tc>
          <w:tcPr>
            <w:tcW w:w="2073" w:type="dxa"/>
            <w:tcBorders>
              <w:top w:val="nil"/>
              <w:left w:val="nil"/>
              <w:bottom w:val="nil"/>
              <w:right w:val="single" w:sz="6" w:space="0" w:color="000000"/>
            </w:tcBorders>
          </w:tcPr>
          <w:p w14:paraId="5BFEF518" w14:textId="77777777" w:rsidR="00CE19D1" w:rsidRDefault="00CE19D1">
            <w:r>
              <w:rPr>
                <w:rFonts w:ascii="Arial" w:eastAsia="Arial" w:hAnsi="Arial" w:cs="Arial"/>
              </w:rPr>
              <w:t xml:space="preserve">0      1      2      3 </w:t>
            </w:r>
          </w:p>
        </w:tc>
      </w:tr>
      <w:tr w:rsidR="00CE19D1" w14:paraId="5E7B502D" w14:textId="77777777" w:rsidTr="00CE19D1">
        <w:trPr>
          <w:trHeight w:val="415"/>
        </w:trPr>
        <w:tc>
          <w:tcPr>
            <w:tcW w:w="8591" w:type="dxa"/>
            <w:tcBorders>
              <w:top w:val="nil"/>
              <w:left w:val="single" w:sz="6" w:space="0" w:color="000000"/>
              <w:bottom w:val="nil"/>
              <w:right w:val="nil"/>
            </w:tcBorders>
          </w:tcPr>
          <w:p w14:paraId="24758B56" w14:textId="77777777" w:rsidR="00CE19D1" w:rsidRDefault="00CE19D1">
            <w:pPr>
              <w:tabs>
                <w:tab w:val="center" w:pos="303"/>
                <w:tab w:val="center" w:pos="2181"/>
              </w:tabs>
            </w:pPr>
            <w:r>
              <w:rPr>
                <w:rFonts w:ascii="Calibri" w:eastAsia="Calibri" w:hAnsi="Calibri" w:cs="Calibri"/>
                <w:sz w:val="22"/>
              </w:rPr>
              <w:tab/>
            </w:r>
            <w:r>
              <w:rPr>
                <w:rFonts w:ascii="Arial" w:eastAsia="Arial" w:hAnsi="Arial" w:cs="Arial"/>
              </w:rPr>
              <w:t xml:space="preserve">27 </w:t>
            </w:r>
            <w:r>
              <w:rPr>
                <w:rFonts w:ascii="Arial" w:eastAsia="Arial" w:hAnsi="Arial" w:cs="Arial"/>
              </w:rPr>
              <w:tab/>
              <w:t xml:space="preserve">I found that I was very irritable </w:t>
            </w:r>
          </w:p>
        </w:tc>
        <w:tc>
          <w:tcPr>
            <w:tcW w:w="2073" w:type="dxa"/>
            <w:tcBorders>
              <w:top w:val="nil"/>
              <w:left w:val="nil"/>
              <w:bottom w:val="nil"/>
              <w:right w:val="single" w:sz="6" w:space="0" w:color="000000"/>
            </w:tcBorders>
          </w:tcPr>
          <w:p w14:paraId="4C6F2215" w14:textId="77777777" w:rsidR="00CE19D1" w:rsidRDefault="00CE19D1">
            <w:r>
              <w:rPr>
                <w:rFonts w:ascii="Arial" w:eastAsia="Arial" w:hAnsi="Arial" w:cs="Arial"/>
              </w:rPr>
              <w:t xml:space="preserve">0      1      2      3 </w:t>
            </w:r>
          </w:p>
        </w:tc>
      </w:tr>
      <w:tr w:rsidR="00CE19D1" w14:paraId="516CE1CD" w14:textId="77777777" w:rsidTr="00CE19D1">
        <w:trPr>
          <w:trHeight w:val="415"/>
        </w:trPr>
        <w:tc>
          <w:tcPr>
            <w:tcW w:w="8591" w:type="dxa"/>
            <w:tcBorders>
              <w:top w:val="nil"/>
              <w:left w:val="single" w:sz="6" w:space="0" w:color="000000"/>
              <w:bottom w:val="nil"/>
              <w:right w:val="nil"/>
            </w:tcBorders>
          </w:tcPr>
          <w:p w14:paraId="3BBFB24D" w14:textId="77777777" w:rsidR="00CE19D1" w:rsidRDefault="00CE19D1">
            <w:pPr>
              <w:tabs>
                <w:tab w:val="center" w:pos="303"/>
                <w:tab w:val="center" w:pos="1913"/>
              </w:tabs>
            </w:pPr>
            <w:r>
              <w:rPr>
                <w:rFonts w:ascii="Calibri" w:eastAsia="Calibri" w:hAnsi="Calibri" w:cs="Calibri"/>
                <w:sz w:val="22"/>
              </w:rPr>
              <w:tab/>
            </w:r>
            <w:r>
              <w:rPr>
                <w:rFonts w:ascii="Arial" w:eastAsia="Arial" w:hAnsi="Arial" w:cs="Arial"/>
              </w:rPr>
              <w:t xml:space="preserve">28 </w:t>
            </w:r>
            <w:r>
              <w:rPr>
                <w:rFonts w:ascii="Arial" w:eastAsia="Arial" w:hAnsi="Arial" w:cs="Arial"/>
              </w:rPr>
              <w:tab/>
              <w:t xml:space="preserve">I felt I was close to panic </w:t>
            </w:r>
          </w:p>
        </w:tc>
        <w:tc>
          <w:tcPr>
            <w:tcW w:w="2073" w:type="dxa"/>
            <w:tcBorders>
              <w:top w:val="nil"/>
              <w:left w:val="nil"/>
              <w:bottom w:val="nil"/>
              <w:right w:val="single" w:sz="6" w:space="0" w:color="000000"/>
            </w:tcBorders>
          </w:tcPr>
          <w:p w14:paraId="442819A7" w14:textId="77777777" w:rsidR="00CE19D1" w:rsidRDefault="00CE19D1">
            <w:r>
              <w:rPr>
                <w:rFonts w:ascii="Arial" w:eastAsia="Arial" w:hAnsi="Arial" w:cs="Arial"/>
              </w:rPr>
              <w:t xml:space="preserve">0      1      2      3 </w:t>
            </w:r>
          </w:p>
        </w:tc>
      </w:tr>
      <w:tr w:rsidR="00CE19D1" w14:paraId="1BDB31D0" w14:textId="77777777" w:rsidTr="00CE19D1">
        <w:trPr>
          <w:trHeight w:val="415"/>
        </w:trPr>
        <w:tc>
          <w:tcPr>
            <w:tcW w:w="8591" w:type="dxa"/>
            <w:tcBorders>
              <w:top w:val="nil"/>
              <w:left w:val="single" w:sz="6" w:space="0" w:color="000000"/>
              <w:bottom w:val="nil"/>
              <w:right w:val="nil"/>
            </w:tcBorders>
          </w:tcPr>
          <w:p w14:paraId="591F4FE9" w14:textId="77777777" w:rsidR="00CE19D1" w:rsidRDefault="00CE19D1">
            <w:pPr>
              <w:tabs>
                <w:tab w:val="center" w:pos="303"/>
                <w:tab w:val="center" w:pos="3347"/>
              </w:tabs>
            </w:pPr>
            <w:r>
              <w:rPr>
                <w:rFonts w:ascii="Calibri" w:eastAsia="Calibri" w:hAnsi="Calibri" w:cs="Calibri"/>
                <w:sz w:val="22"/>
              </w:rPr>
              <w:tab/>
            </w:r>
            <w:r>
              <w:rPr>
                <w:rFonts w:ascii="Arial" w:eastAsia="Arial" w:hAnsi="Arial" w:cs="Arial"/>
              </w:rPr>
              <w:t xml:space="preserve">29 </w:t>
            </w:r>
            <w:r>
              <w:rPr>
                <w:rFonts w:ascii="Arial" w:eastAsia="Arial" w:hAnsi="Arial" w:cs="Arial"/>
              </w:rPr>
              <w:tab/>
              <w:t xml:space="preserve">I found it hard to calm down after something upset me </w:t>
            </w:r>
          </w:p>
        </w:tc>
        <w:tc>
          <w:tcPr>
            <w:tcW w:w="2073" w:type="dxa"/>
            <w:tcBorders>
              <w:top w:val="nil"/>
              <w:left w:val="nil"/>
              <w:bottom w:val="nil"/>
              <w:right w:val="single" w:sz="6" w:space="0" w:color="000000"/>
            </w:tcBorders>
          </w:tcPr>
          <w:p w14:paraId="214980B4" w14:textId="77777777" w:rsidR="00CE19D1" w:rsidRDefault="00CE19D1">
            <w:r>
              <w:rPr>
                <w:rFonts w:ascii="Arial" w:eastAsia="Arial" w:hAnsi="Arial" w:cs="Arial"/>
              </w:rPr>
              <w:t xml:space="preserve">0      1      2      3 </w:t>
            </w:r>
          </w:p>
        </w:tc>
      </w:tr>
      <w:tr w:rsidR="00CE19D1" w14:paraId="59293951" w14:textId="77777777" w:rsidTr="00CE19D1">
        <w:trPr>
          <w:trHeight w:val="670"/>
        </w:trPr>
        <w:tc>
          <w:tcPr>
            <w:tcW w:w="8591" w:type="dxa"/>
            <w:tcBorders>
              <w:top w:val="nil"/>
              <w:left w:val="single" w:sz="6" w:space="0" w:color="000000"/>
              <w:bottom w:val="nil"/>
              <w:right w:val="nil"/>
            </w:tcBorders>
          </w:tcPr>
          <w:p w14:paraId="4312C9C9" w14:textId="77777777" w:rsidR="00CE19D1" w:rsidRDefault="00CE19D1">
            <w:pPr>
              <w:ind w:left="708" w:right="1778" w:hanging="528"/>
            </w:pPr>
            <w:r>
              <w:rPr>
                <w:rFonts w:ascii="Arial" w:eastAsia="Arial" w:hAnsi="Arial" w:cs="Arial"/>
              </w:rPr>
              <w:t xml:space="preserve">30 </w:t>
            </w:r>
            <w:r>
              <w:rPr>
                <w:rFonts w:ascii="Arial" w:eastAsia="Arial" w:hAnsi="Arial" w:cs="Arial"/>
              </w:rPr>
              <w:tab/>
              <w:t xml:space="preserve">I feared that I would be "thrown" by some trivial but unfamiliar task </w:t>
            </w:r>
          </w:p>
        </w:tc>
        <w:tc>
          <w:tcPr>
            <w:tcW w:w="2073" w:type="dxa"/>
            <w:tcBorders>
              <w:top w:val="nil"/>
              <w:left w:val="nil"/>
              <w:bottom w:val="nil"/>
              <w:right w:val="single" w:sz="6" w:space="0" w:color="000000"/>
            </w:tcBorders>
          </w:tcPr>
          <w:p w14:paraId="42D3F9F6" w14:textId="77777777" w:rsidR="00CE19D1" w:rsidRDefault="00CE19D1">
            <w:r>
              <w:rPr>
                <w:rFonts w:ascii="Arial" w:eastAsia="Arial" w:hAnsi="Arial" w:cs="Arial"/>
              </w:rPr>
              <w:t xml:space="preserve">0      1      2      3 </w:t>
            </w:r>
          </w:p>
        </w:tc>
      </w:tr>
      <w:tr w:rsidR="00CE19D1" w14:paraId="6B5E541E" w14:textId="77777777" w:rsidTr="00CE19D1">
        <w:trPr>
          <w:trHeight w:val="415"/>
        </w:trPr>
        <w:tc>
          <w:tcPr>
            <w:tcW w:w="8591" w:type="dxa"/>
            <w:tcBorders>
              <w:top w:val="nil"/>
              <w:left w:val="single" w:sz="6" w:space="0" w:color="000000"/>
              <w:bottom w:val="nil"/>
              <w:right w:val="nil"/>
            </w:tcBorders>
          </w:tcPr>
          <w:p w14:paraId="1D88C84C" w14:textId="77777777" w:rsidR="00CE19D1" w:rsidRDefault="00CE19D1">
            <w:pPr>
              <w:tabs>
                <w:tab w:val="center" w:pos="303"/>
                <w:tab w:val="center" w:pos="3240"/>
              </w:tabs>
            </w:pPr>
            <w:r>
              <w:rPr>
                <w:rFonts w:ascii="Calibri" w:eastAsia="Calibri" w:hAnsi="Calibri" w:cs="Calibri"/>
                <w:sz w:val="22"/>
              </w:rPr>
              <w:tab/>
            </w:r>
            <w:r>
              <w:rPr>
                <w:rFonts w:ascii="Arial" w:eastAsia="Arial" w:hAnsi="Arial" w:cs="Arial"/>
              </w:rPr>
              <w:t xml:space="preserve">31 </w:t>
            </w:r>
            <w:r>
              <w:rPr>
                <w:rFonts w:ascii="Arial" w:eastAsia="Arial" w:hAnsi="Arial" w:cs="Arial"/>
              </w:rPr>
              <w:tab/>
              <w:t xml:space="preserve">I was unable to become enthusiastic about anything </w:t>
            </w:r>
          </w:p>
        </w:tc>
        <w:tc>
          <w:tcPr>
            <w:tcW w:w="2073" w:type="dxa"/>
            <w:tcBorders>
              <w:top w:val="nil"/>
              <w:left w:val="nil"/>
              <w:bottom w:val="nil"/>
              <w:right w:val="single" w:sz="6" w:space="0" w:color="000000"/>
            </w:tcBorders>
          </w:tcPr>
          <w:p w14:paraId="2378C65B" w14:textId="77777777" w:rsidR="00CE19D1" w:rsidRDefault="00CE19D1">
            <w:r>
              <w:rPr>
                <w:rFonts w:ascii="Arial" w:eastAsia="Arial" w:hAnsi="Arial" w:cs="Arial"/>
              </w:rPr>
              <w:t xml:space="preserve">0      1      2      3 </w:t>
            </w:r>
          </w:p>
        </w:tc>
      </w:tr>
      <w:tr w:rsidR="00CE19D1" w14:paraId="2B818432" w14:textId="77777777" w:rsidTr="00CE19D1">
        <w:trPr>
          <w:trHeight w:val="415"/>
        </w:trPr>
        <w:tc>
          <w:tcPr>
            <w:tcW w:w="8591" w:type="dxa"/>
            <w:tcBorders>
              <w:top w:val="nil"/>
              <w:left w:val="single" w:sz="6" w:space="0" w:color="000000"/>
              <w:bottom w:val="nil"/>
              <w:right w:val="nil"/>
            </w:tcBorders>
          </w:tcPr>
          <w:p w14:paraId="1CCDF28B" w14:textId="77777777" w:rsidR="00CE19D1" w:rsidRDefault="00CE19D1">
            <w:pPr>
              <w:tabs>
                <w:tab w:val="center" w:pos="303"/>
                <w:tab w:val="center" w:pos="3646"/>
              </w:tabs>
            </w:pPr>
            <w:r>
              <w:rPr>
                <w:rFonts w:ascii="Calibri" w:eastAsia="Calibri" w:hAnsi="Calibri" w:cs="Calibri"/>
                <w:sz w:val="22"/>
              </w:rPr>
              <w:tab/>
            </w:r>
            <w:r>
              <w:rPr>
                <w:rFonts w:ascii="Arial" w:eastAsia="Arial" w:hAnsi="Arial" w:cs="Arial"/>
              </w:rPr>
              <w:t xml:space="preserve">32 </w:t>
            </w:r>
            <w:r>
              <w:rPr>
                <w:rFonts w:ascii="Arial" w:eastAsia="Arial" w:hAnsi="Arial" w:cs="Arial"/>
              </w:rPr>
              <w:tab/>
              <w:t xml:space="preserve">I found it difficult to tolerate interruptions to what I was doing </w:t>
            </w:r>
          </w:p>
        </w:tc>
        <w:tc>
          <w:tcPr>
            <w:tcW w:w="2073" w:type="dxa"/>
            <w:tcBorders>
              <w:top w:val="nil"/>
              <w:left w:val="nil"/>
              <w:bottom w:val="nil"/>
              <w:right w:val="single" w:sz="6" w:space="0" w:color="000000"/>
            </w:tcBorders>
          </w:tcPr>
          <w:p w14:paraId="23DE8ADA" w14:textId="77777777" w:rsidR="00CE19D1" w:rsidRDefault="00CE19D1">
            <w:r>
              <w:rPr>
                <w:rFonts w:ascii="Arial" w:eastAsia="Arial" w:hAnsi="Arial" w:cs="Arial"/>
              </w:rPr>
              <w:t xml:space="preserve">0      1      2      3 </w:t>
            </w:r>
          </w:p>
        </w:tc>
      </w:tr>
      <w:tr w:rsidR="00CE19D1" w14:paraId="1501D87E" w14:textId="77777777" w:rsidTr="00CE19D1">
        <w:trPr>
          <w:trHeight w:val="415"/>
        </w:trPr>
        <w:tc>
          <w:tcPr>
            <w:tcW w:w="8591" w:type="dxa"/>
            <w:tcBorders>
              <w:top w:val="nil"/>
              <w:left w:val="single" w:sz="6" w:space="0" w:color="000000"/>
              <w:bottom w:val="nil"/>
              <w:right w:val="nil"/>
            </w:tcBorders>
          </w:tcPr>
          <w:p w14:paraId="22B93214" w14:textId="77777777" w:rsidR="00CE19D1" w:rsidRDefault="00CE19D1">
            <w:pPr>
              <w:tabs>
                <w:tab w:val="center" w:pos="303"/>
                <w:tab w:val="center" w:pos="2379"/>
              </w:tabs>
            </w:pPr>
            <w:r>
              <w:rPr>
                <w:rFonts w:ascii="Calibri" w:eastAsia="Calibri" w:hAnsi="Calibri" w:cs="Calibri"/>
                <w:sz w:val="22"/>
              </w:rPr>
              <w:tab/>
            </w:r>
            <w:r>
              <w:rPr>
                <w:rFonts w:ascii="Arial" w:eastAsia="Arial" w:hAnsi="Arial" w:cs="Arial"/>
              </w:rPr>
              <w:t xml:space="preserve">33 </w:t>
            </w:r>
            <w:r>
              <w:rPr>
                <w:rFonts w:ascii="Arial" w:eastAsia="Arial" w:hAnsi="Arial" w:cs="Arial"/>
              </w:rPr>
              <w:tab/>
              <w:t xml:space="preserve">I was in a state of nervous tension </w:t>
            </w:r>
          </w:p>
        </w:tc>
        <w:tc>
          <w:tcPr>
            <w:tcW w:w="2073" w:type="dxa"/>
            <w:tcBorders>
              <w:top w:val="nil"/>
              <w:left w:val="nil"/>
              <w:bottom w:val="nil"/>
              <w:right w:val="single" w:sz="6" w:space="0" w:color="000000"/>
            </w:tcBorders>
          </w:tcPr>
          <w:p w14:paraId="35C300C8" w14:textId="77777777" w:rsidR="00CE19D1" w:rsidRDefault="00CE19D1">
            <w:r>
              <w:rPr>
                <w:rFonts w:ascii="Arial" w:eastAsia="Arial" w:hAnsi="Arial" w:cs="Arial"/>
              </w:rPr>
              <w:t xml:space="preserve">0      1      2      3 </w:t>
            </w:r>
          </w:p>
        </w:tc>
      </w:tr>
      <w:tr w:rsidR="00CE19D1" w14:paraId="262FA04E" w14:textId="77777777" w:rsidTr="00CE19D1">
        <w:trPr>
          <w:trHeight w:val="415"/>
        </w:trPr>
        <w:tc>
          <w:tcPr>
            <w:tcW w:w="8591" w:type="dxa"/>
            <w:tcBorders>
              <w:top w:val="nil"/>
              <w:left w:val="single" w:sz="6" w:space="0" w:color="000000"/>
              <w:bottom w:val="nil"/>
              <w:right w:val="nil"/>
            </w:tcBorders>
          </w:tcPr>
          <w:p w14:paraId="02DB1977" w14:textId="77777777" w:rsidR="00CE19D1" w:rsidRDefault="00CE19D1">
            <w:pPr>
              <w:tabs>
                <w:tab w:val="center" w:pos="303"/>
                <w:tab w:val="center" w:pos="2010"/>
              </w:tabs>
            </w:pPr>
            <w:r>
              <w:rPr>
                <w:rFonts w:ascii="Calibri" w:eastAsia="Calibri" w:hAnsi="Calibri" w:cs="Calibri"/>
                <w:sz w:val="22"/>
              </w:rPr>
              <w:tab/>
            </w:r>
            <w:r>
              <w:rPr>
                <w:rFonts w:ascii="Arial" w:eastAsia="Arial" w:hAnsi="Arial" w:cs="Arial"/>
              </w:rPr>
              <w:t xml:space="preserve">34 </w:t>
            </w:r>
            <w:r>
              <w:rPr>
                <w:rFonts w:ascii="Arial" w:eastAsia="Arial" w:hAnsi="Arial" w:cs="Arial"/>
              </w:rPr>
              <w:tab/>
              <w:t xml:space="preserve">I felt I was </w:t>
            </w:r>
            <w:proofErr w:type="gramStart"/>
            <w:r>
              <w:rPr>
                <w:rFonts w:ascii="Arial" w:eastAsia="Arial" w:hAnsi="Arial" w:cs="Arial"/>
              </w:rPr>
              <w:t>pretty worthless</w:t>
            </w:r>
            <w:proofErr w:type="gramEnd"/>
            <w:r>
              <w:rPr>
                <w:rFonts w:ascii="Arial" w:eastAsia="Arial" w:hAnsi="Arial" w:cs="Arial"/>
              </w:rPr>
              <w:t xml:space="preserve"> </w:t>
            </w:r>
          </w:p>
        </w:tc>
        <w:tc>
          <w:tcPr>
            <w:tcW w:w="2073" w:type="dxa"/>
            <w:tcBorders>
              <w:top w:val="nil"/>
              <w:left w:val="nil"/>
              <w:bottom w:val="nil"/>
              <w:right w:val="single" w:sz="6" w:space="0" w:color="000000"/>
            </w:tcBorders>
          </w:tcPr>
          <w:p w14:paraId="2A6CACD8" w14:textId="77777777" w:rsidR="00CE19D1" w:rsidRDefault="00CE19D1">
            <w:r>
              <w:rPr>
                <w:rFonts w:ascii="Arial" w:eastAsia="Arial" w:hAnsi="Arial" w:cs="Arial"/>
              </w:rPr>
              <w:t xml:space="preserve">0      1      2      3 </w:t>
            </w:r>
          </w:p>
        </w:tc>
      </w:tr>
      <w:tr w:rsidR="00CE19D1" w14:paraId="78EFCF6F" w14:textId="77777777" w:rsidTr="00CE19D1">
        <w:trPr>
          <w:trHeight w:val="670"/>
        </w:trPr>
        <w:tc>
          <w:tcPr>
            <w:tcW w:w="8591" w:type="dxa"/>
            <w:tcBorders>
              <w:top w:val="nil"/>
              <w:left w:val="single" w:sz="6" w:space="0" w:color="000000"/>
              <w:bottom w:val="nil"/>
              <w:right w:val="nil"/>
            </w:tcBorders>
          </w:tcPr>
          <w:p w14:paraId="0C25A5E8" w14:textId="77777777" w:rsidR="00CE19D1" w:rsidRDefault="00CE19D1">
            <w:pPr>
              <w:ind w:left="708" w:right="1335" w:hanging="528"/>
            </w:pPr>
            <w:r>
              <w:rPr>
                <w:rFonts w:ascii="Arial" w:eastAsia="Arial" w:hAnsi="Arial" w:cs="Arial"/>
              </w:rPr>
              <w:t xml:space="preserve">35 </w:t>
            </w:r>
            <w:r>
              <w:rPr>
                <w:rFonts w:ascii="Arial" w:eastAsia="Arial" w:hAnsi="Arial" w:cs="Arial"/>
              </w:rPr>
              <w:tab/>
              <w:t xml:space="preserve">I was intolerant of anything that kept me from getting on with what I was doing </w:t>
            </w:r>
          </w:p>
        </w:tc>
        <w:tc>
          <w:tcPr>
            <w:tcW w:w="2073" w:type="dxa"/>
            <w:tcBorders>
              <w:top w:val="nil"/>
              <w:left w:val="nil"/>
              <w:bottom w:val="nil"/>
              <w:right w:val="single" w:sz="6" w:space="0" w:color="000000"/>
            </w:tcBorders>
          </w:tcPr>
          <w:p w14:paraId="1B5A7965" w14:textId="77777777" w:rsidR="00CE19D1" w:rsidRDefault="00CE19D1">
            <w:r>
              <w:rPr>
                <w:rFonts w:ascii="Arial" w:eastAsia="Arial" w:hAnsi="Arial" w:cs="Arial"/>
              </w:rPr>
              <w:t xml:space="preserve">0      1      2      3 </w:t>
            </w:r>
          </w:p>
        </w:tc>
      </w:tr>
      <w:tr w:rsidR="00CE19D1" w14:paraId="3E0786DE" w14:textId="77777777" w:rsidTr="00CE19D1">
        <w:trPr>
          <w:trHeight w:val="415"/>
        </w:trPr>
        <w:tc>
          <w:tcPr>
            <w:tcW w:w="8591" w:type="dxa"/>
            <w:tcBorders>
              <w:top w:val="nil"/>
              <w:left w:val="single" w:sz="6" w:space="0" w:color="000000"/>
              <w:bottom w:val="nil"/>
              <w:right w:val="nil"/>
            </w:tcBorders>
          </w:tcPr>
          <w:p w14:paraId="22F5DAEC" w14:textId="77777777" w:rsidR="00CE19D1" w:rsidRDefault="00CE19D1">
            <w:pPr>
              <w:tabs>
                <w:tab w:val="center" w:pos="303"/>
                <w:tab w:val="center" w:pos="1320"/>
              </w:tabs>
            </w:pPr>
            <w:r>
              <w:rPr>
                <w:rFonts w:ascii="Calibri" w:eastAsia="Calibri" w:hAnsi="Calibri" w:cs="Calibri"/>
                <w:sz w:val="22"/>
              </w:rPr>
              <w:tab/>
            </w:r>
            <w:r>
              <w:rPr>
                <w:rFonts w:ascii="Arial" w:eastAsia="Arial" w:hAnsi="Arial" w:cs="Arial"/>
              </w:rPr>
              <w:t xml:space="preserve">36 </w:t>
            </w:r>
            <w:r>
              <w:rPr>
                <w:rFonts w:ascii="Arial" w:eastAsia="Arial" w:hAnsi="Arial" w:cs="Arial"/>
              </w:rPr>
              <w:tab/>
              <w:t xml:space="preserve">I felt terrified </w:t>
            </w:r>
          </w:p>
        </w:tc>
        <w:tc>
          <w:tcPr>
            <w:tcW w:w="2073" w:type="dxa"/>
            <w:tcBorders>
              <w:top w:val="nil"/>
              <w:left w:val="nil"/>
              <w:bottom w:val="nil"/>
              <w:right w:val="single" w:sz="6" w:space="0" w:color="000000"/>
            </w:tcBorders>
          </w:tcPr>
          <w:p w14:paraId="4CDC647A" w14:textId="77777777" w:rsidR="00CE19D1" w:rsidRDefault="00CE19D1">
            <w:r>
              <w:rPr>
                <w:rFonts w:ascii="Arial" w:eastAsia="Arial" w:hAnsi="Arial" w:cs="Arial"/>
              </w:rPr>
              <w:t xml:space="preserve">0      1      2      3 </w:t>
            </w:r>
          </w:p>
        </w:tc>
      </w:tr>
      <w:tr w:rsidR="00CE19D1" w14:paraId="0FE76F9F" w14:textId="77777777" w:rsidTr="00CE19D1">
        <w:trPr>
          <w:trHeight w:val="416"/>
        </w:trPr>
        <w:tc>
          <w:tcPr>
            <w:tcW w:w="8591" w:type="dxa"/>
            <w:tcBorders>
              <w:top w:val="nil"/>
              <w:left w:val="single" w:sz="6" w:space="0" w:color="000000"/>
              <w:bottom w:val="nil"/>
              <w:right w:val="nil"/>
            </w:tcBorders>
          </w:tcPr>
          <w:p w14:paraId="41CDD7BA" w14:textId="77777777" w:rsidR="00CE19D1" w:rsidRDefault="00CE19D1">
            <w:pPr>
              <w:tabs>
                <w:tab w:val="center" w:pos="303"/>
                <w:tab w:val="center" w:pos="3230"/>
              </w:tabs>
            </w:pPr>
            <w:r>
              <w:rPr>
                <w:rFonts w:ascii="Calibri" w:eastAsia="Calibri" w:hAnsi="Calibri" w:cs="Calibri"/>
                <w:sz w:val="22"/>
              </w:rPr>
              <w:tab/>
            </w:r>
            <w:r>
              <w:rPr>
                <w:rFonts w:ascii="Arial" w:eastAsia="Arial" w:hAnsi="Arial" w:cs="Arial"/>
              </w:rPr>
              <w:t xml:space="preserve">37 </w:t>
            </w:r>
            <w:r>
              <w:rPr>
                <w:rFonts w:ascii="Arial" w:eastAsia="Arial" w:hAnsi="Arial" w:cs="Arial"/>
              </w:rPr>
              <w:tab/>
              <w:t xml:space="preserve">I could see nothing in the future to be hopeful about </w:t>
            </w:r>
          </w:p>
        </w:tc>
        <w:tc>
          <w:tcPr>
            <w:tcW w:w="2073" w:type="dxa"/>
            <w:tcBorders>
              <w:top w:val="nil"/>
              <w:left w:val="nil"/>
              <w:bottom w:val="nil"/>
              <w:right w:val="single" w:sz="6" w:space="0" w:color="000000"/>
            </w:tcBorders>
          </w:tcPr>
          <w:p w14:paraId="10D9D5B0" w14:textId="77777777" w:rsidR="00CE19D1" w:rsidRDefault="00CE19D1">
            <w:r>
              <w:rPr>
                <w:rFonts w:ascii="Arial" w:eastAsia="Arial" w:hAnsi="Arial" w:cs="Arial"/>
              </w:rPr>
              <w:t xml:space="preserve">0      1      2      3 </w:t>
            </w:r>
          </w:p>
        </w:tc>
      </w:tr>
      <w:tr w:rsidR="00CE19D1" w14:paraId="10EF44B2" w14:textId="77777777" w:rsidTr="00CE19D1">
        <w:trPr>
          <w:trHeight w:val="416"/>
        </w:trPr>
        <w:tc>
          <w:tcPr>
            <w:tcW w:w="8591" w:type="dxa"/>
            <w:tcBorders>
              <w:top w:val="nil"/>
              <w:left w:val="single" w:sz="6" w:space="0" w:color="000000"/>
              <w:bottom w:val="nil"/>
              <w:right w:val="nil"/>
            </w:tcBorders>
          </w:tcPr>
          <w:p w14:paraId="3CB1E075" w14:textId="77777777" w:rsidR="00CE19D1" w:rsidRDefault="00CE19D1">
            <w:pPr>
              <w:tabs>
                <w:tab w:val="center" w:pos="303"/>
                <w:tab w:val="center" w:pos="2184"/>
              </w:tabs>
            </w:pPr>
            <w:r>
              <w:rPr>
                <w:rFonts w:ascii="Calibri" w:eastAsia="Calibri" w:hAnsi="Calibri" w:cs="Calibri"/>
                <w:sz w:val="22"/>
              </w:rPr>
              <w:tab/>
            </w:r>
            <w:r>
              <w:rPr>
                <w:rFonts w:ascii="Arial" w:eastAsia="Arial" w:hAnsi="Arial" w:cs="Arial"/>
              </w:rPr>
              <w:t xml:space="preserve">38 </w:t>
            </w:r>
            <w:r>
              <w:rPr>
                <w:rFonts w:ascii="Arial" w:eastAsia="Arial" w:hAnsi="Arial" w:cs="Arial"/>
              </w:rPr>
              <w:tab/>
              <w:t xml:space="preserve">I felt that life was meaningless </w:t>
            </w:r>
          </w:p>
        </w:tc>
        <w:tc>
          <w:tcPr>
            <w:tcW w:w="2073" w:type="dxa"/>
            <w:tcBorders>
              <w:top w:val="nil"/>
              <w:left w:val="nil"/>
              <w:bottom w:val="nil"/>
              <w:right w:val="single" w:sz="6" w:space="0" w:color="000000"/>
            </w:tcBorders>
          </w:tcPr>
          <w:p w14:paraId="0EFCBD1A" w14:textId="77777777" w:rsidR="00CE19D1" w:rsidRDefault="00CE19D1">
            <w:r>
              <w:rPr>
                <w:rFonts w:ascii="Arial" w:eastAsia="Arial" w:hAnsi="Arial" w:cs="Arial"/>
              </w:rPr>
              <w:t xml:space="preserve">0      1      2      3 </w:t>
            </w:r>
          </w:p>
        </w:tc>
      </w:tr>
      <w:tr w:rsidR="00CE19D1" w14:paraId="75E57CB5" w14:textId="77777777" w:rsidTr="00CE19D1">
        <w:trPr>
          <w:trHeight w:val="415"/>
        </w:trPr>
        <w:tc>
          <w:tcPr>
            <w:tcW w:w="8591" w:type="dxa"/>
            <w:tcBorders>
              <w:top w:val="nil"/>
              <w:left w:val="single" w:sz="6" w:space="0" w:color="000000"/>
              <w:bottom w:val="nil"/>
              <w:right w:val="nil"/>
            </w:tcBorders>
          </w:tcPr>
          <w:p w14:paraId="462B279F" w14:textId="77777777" w:rsidR="00CE19D1" w:rsidRDefault="00CE19D1">
            <w:pPr>
              <w:tabs>
                <w:tab w:val="center" w:pos="303"/>
                <w:tab w:val="center" w:pos="2187"/>
              </w:tabs>
            </w:pPr>
            <w:r>
              <w:rPr>
                <w:rFonts w:ascii="Calibri" w:eastAsia="Calibri" w:hAnsi="Calibri" w:cs="Calibri"/>
                <w:sz w:val="22"/>
              </w:rPr>
              <w:lastRenderedPageBreak/>
              <w:tab/>
            </w:r>
            <w:r>
              <w:rPr>
                <w:rFonts w:ascii="Arial" w:eastAsia="Arial" w:hAnsi="Arial" w:cs="Arial"/>
              </w:rPr>
              <w:t xml:space="preserve">39 </w:t>
            </w:r>
            <w:r>
              <w:rPr>
                <w:rFonts w:ascii="Arial" w:eastAsia="Arial" w:hAnsi="Arial" w:cs="Arial"/>
              </w:rPr>
              <w:tab/>
              <w:t xml:space="preserve">I found myself getting agitated </w:t>
            </w:r>
          </w:p>
        </w:tc>
        <w:tc>
          <w:tcPr>
            <w:tcW w:w="2073" w:type="dxa"/>
            <w:tcBorders>
              <w:top w:val="nil"/>
              <w:left w:val="nil"/>
              <w:bottom w:val="nil"/>
              <w:right w:val="single" w:sz="6" w:space="0" w:color="000000"/>
            </w:tcBorders>
          </w:tcPr>
          <w:p w14:paraId="009BD921" w14:textId="77777777" w:rsidR="00CE19D1" w:rsidRDefault="00CE19D1">
            <w:r>
              <w:rPr>
                <w:rFonts w:ascii="Arial" w:eastAsia="Arial" w:hAnsi="Arial" w:cs="Arial"/>
              </w:rPr>
              <w:t xml:space="preserve">0      1      2      3 </w:t>
            </w:r>
          </w:p>
        </w:tc>
      </w:tr>
      <w:tr w:rsidR="00CE19D1" w14:paraId="5416AA2A" w14:textId="77777777" w:rsidTr="00CE19D1">
        <w:trPr>
          <w:trHeight w:val="670"/>
        </w:trPr>
        <w:tc>
          <w:tcPr>
            <w:tcW w:w="8591" w:type="dxa"/>
            <w:tcBorders>
              <w:top w:val="nil"/>
              <w:left w:val="single" w:sz="6" w:space="0" w:color="000000"/>
              <w:bottom w:val="nil"/>
              <w:right w:val="nil"/>
            </w:tcBorders>
          </w:tcPr>
          <w:p w14:paraId="7FEE3505" w14:textId="77777777" w:rsidR="00CE19D1" w:rsidRDefault="00CE19D1">
            <w:pPr>
              <w:ind w:left="708" w:right="1472" w:hanging="528"/>
            </w:pPr>
            <w:r>
              <w:rPr>
                <w:rFonts w:ascii="Arial" w:eastAsia="Arial" w:hAnsi="Arial" w:cs="Arial"/>
              </w:rPr>
              <w:t xml:space="preserve">40 </w:t>
            </w:r>
            <w:r>
              <w:rPr>
                <w:rFonts w:ascii="Arial" w:eastAsia="Arial" w:hAnsi="Arial" w:cs="Arial"/>
              </w:rPr>
              <w:tab/>
              <w:t xml:space="preserve">I was worried about situations in which I might panic and make a fool of myself </w:t>
            </w:r>
          </w:p>
        </w:tc>
        <w:tc>
          <w:tcPr>
            <w:tcW w:w="2073" w:type="dxa"/>
            <w:tcBorders>
              <w:top w:val="nil"/>
              <w:left w:val="nil"/>
              <w:bottom w:val="nil"/>
              <w:right w:val="single" w:sz="6" w:space="0" w:color="000000"/>
            </w:tcBorders>
          </w:tcPr>
          <w:p w14:paraId="70750390" w14:textId="77777777" w:rsidR="00CE19D1" w:rsidRDefault="00CE19D1">
            <w:r>
              <w:rPr>
                <w:rFonts w:ascii="Arial" w:eastAsia="Arial" w:hAnsi="Arial" w:cs="Arial"/>
              </w:rPr>
              <w:t xml:space="preserve">0      1      2      3 </w:t>
            </w:r>
          </w:p>
        </w:tc>
      </w:tr>
      <w:tr w:rsidR="00CE19D1" w14:paraId="71527B6B" w14:textId="77777777" w:rsidTr="00CE19D1">
        <w:trPr>
          <w:trHeight w:val="415"/>
        </w:trPr>
        <w:tc>
          <w:tcPr>
            <w:tcW w:w="8591" w:type="dxa"/>
            <w:tcBorders>
              <w:top w:val="nil"/>
              <w:left w:val="single" w:sz="6" w:space="0" w:color="000000"/>
              <w:bottom w:val="nil"/>
              <w:right w:val="nil"/>
            </w:tcBorders>
          </w:tcPr>
          <w:p w14:paraId="048AFB08" w14:textId="77777777" w:rsidR="00CE19D1" w:rsidRDefault="00CE19D1">
            <w:pPr>
              <w:tabs>
                <w:tab w:val="center" w:pos="303"/>
                <w:tab w:val="center" w:pos="2747"/>
              </w:tabs>
            </w:pPr>
            <w:r>
              <w:rPr>
                <w:rFonts w:ascii="Calibri" w:eastAsia="Calibri" w:hAnsi="Calibri" w:cs="Calibri"/>
                <w:sz w:val="22"/>
              </w:rPr>
              <w:tab/>
            </w:r>
            <w:r>
              <w:rPr>
                <w:rFonts w:ascii="Arial" w:eastAsia="Arial" w:hAnsi="Arial" w:cs="Arial"/>
              </w:rPr>
              <w:t xml:space="preserve">41 </w:t>
            </w:r>
            <w:r>
              <w:rPr>
                <w:rFonts w:ascii="Arial" w:eastAsia="Arial" w:hAnsi="Arial" w:cs="Arial"/>
              </w:rPr>
              <w:tab/>
              <w:t>I experienced trembling (</w:t>
            </w:r>
            <w:proofErr w:type="spellStart"/>
            <w:r>
              <w:rPr>
                <w:rFonts w:ascii="Arial" w:eastAsia="Arial" w:hAnsi="Arial" w:cs="Arial"/>
              </w:rPr>
              <w:t>eg</w:t>
            </w:r>
            <w:proofErr w:type="spellEnd"/>
            <w:r>
              <w:rPr>
                <w:rFonts w:ascii="Arial" w:eastAsia="Arial" w:hAnsi="Arial" w:cs="Arial"/>
              </w:rPr>
              <w:t xml:space="preserve">, in the hands) </w:t>
            </w:r>
          </w:p>
        </w:tc>
        <w:tc>
          <w:tcPr>
            <w:tcW w:w="2073" w:type="dxa"/>
            <w:tcBorders>
              <w:top w:val="nil"/>
              <w:left w:val="nil"/>
              <w:bottom w:val="nil"/>
              <w:right w:val="single" w:sz="6" w:space="0" w:color="000000"/>
            </w:tcBorders>
          </w:tcPr>
          <w:p w14:paraId="62CD195A" w14:textId="77777777" w:rsidR="00CE19D1" w:rsidRDefault="00CE19D1">
            <w:r>
              <w:rPr>
                <w:rFonts w:ascii="Arial" w:eastAsia="Arial" w:hAnsi="Arial" w:cs="Arial"/>
              </w:rPr>
              <w:t xml:space="preserve">0      1      2      3 </w:t>
            </w:r>
          </w:p>
        </w:tc>
      </w:tr>
      <w:tr w:rsidR="00CE19D1" w14:paraId="39EF8801" w14:textId="77777777" w:rsidTr="00CE19D1">
        <w:trPr>
          <w:trHeight w:val="539"/>
        </w:trPr>
        <w:tc>
          <w:tcPr>
            <w:tcW w:w="8591" w:type="dxa"/>
            <w:tcBorders>
              <w:top w:val="nil"/>
              <w:left w:val="single" w:sz="6" w:space="0" w:color="000000"/>
              <w:bottom w:val="single" w:sz="6" w:space="0" w:color="000000"/>
              <w:right w:val="nil"/>
            </w:tcBorders>
          </w:tcPr>
          <w:p w14:paraId="04559D07" w14:textId="77777777" w:rsidR="00CE19D1" w:rsidRDefault="00CE19D1">
            <w:pPr>
              <w:tabs>
                <w:tab w:val="center" w:pos="303"/>
                <w:tab w:val="center" w:pos="3266"/>
              </w:tabs>
            </w:pPr>
            <w:r>
              <w:rPr>
                <w:rFonts w:ascii="Calibri" w:eastAsia="Calibri" w:hAnsi="Calibri" w:cs="Calibri"/>
                <w:sz w:val="22"/>
              </w:rPr>
              <w:tab/>
            </w:r>
            <w:r>
              <w:rPr>
                <w:rFonts w:ascii="Arial" w:eastAsia="Arial" w:hAnsi="Arial" w:cs="Arial"/>
              </w:rPr>
              <w:t xml:space="preserve">42 </w:t>
            </w:r>
            <w:r>
              <w:rPr>
                <w:rFonts w:ascii="Arial" w:eastAsia="Arial" w:hAnsi="Arial" w:cs="Arial"/>
              </w:rPr>
              <w:tab/>
              <w:t xml:space="preserve">I found it difficult to work up the initiative to do things </w:t>
            </w:r>
          </w:p>
        </w:tc>
        <w:tc>
          <w:tcPr>
            <w:tcW w:w="2073" w:type="dxa"/>
            <w:tcBorders>
              <w:top w:val="nil"/>
              <w:left w:val="nil"/>
              <w:bottom w:val="single" w:sz="6" w:space="0" w:color="000000"/>
              <w:right w:val="single" w:sz="6" w:space="0" w:color="000000"/>
            </w:tcBorders>
          </w:tcPr>
          <w:p w14:paraId="6375D169" w14:textId="77777777" w:rsidR="00CE19D1" w:rsidRDefault="00CE19D1">
            <w:r>
              <w:rPr>
                <w:rFonts w:ascii="Arial" w:eastAsia="Arial" w:hAnsi="Arial" w:cs="Arial"/>
              </w:rPr>
              <w:t xml:space="preserve">0      1      2      3 </w:t>
            </w:r>
          </w:p>
        </w:tc>
      </w:tr>
    </w:tbl>
    <w:p w14:paraId="3541668E" w14:textId="77777777" w:rsidR="00CE19D1" w:rsidRDefault="00CE19D1">
      <w:pPr>
        <w:spacing w:after="557"/>
        <w:jc w:val="both"/>
      </w:pPr>
      <w:r>
        <w:rPr>
          <w:rFonts w:ascii="Arial" w:eastAsia="Arial" w:hAnsi="Arial" w:cs="Arial"/>
        </w:rPr>
        <w:t xml:space="preserve">  </w:t>
      </w:r>
    </w:p>
    <w:p w14:paraId="29082769" w14:textId="77777777" w:rsidR="00CE19D1" w:rsidRDefault="00CE19D1">
      <w:pPr>
        <w:jc w:val="both"/>
      </w:pPr>
      <w:r>
        <w:rPr>
          <w:rFonts w:ascii="Century Schoolbook" w:eastAsia="Century Schoolbook" w:hAnsi="Century Schoolbook" w:cs="Century Schoolbook"/>
        </w:rPr>
        <w:t xml:space="preserve"> </w:t>
      </w:r>
    </w:p>
    <w:p w14:paraId="551EA583" w14:textId="77777777" w:rsidR="006876C5" w:rsidRDefault="006876C5" w:rsidP="006876C5">
      <w:pPr>
        <w:pStyle w:val="NoSpacing"/>
        <w:rPr>
          <w:color w:val="3A3A3A"/>
          <w:shd w:val="clear" w:color="auto" w:fill="FFFFFF"/>
        </w:rPr>
      </w:pPr>
    </w:p>
    <w:p w14:paraId="51A40203" w14:textId="77777777" w:rsidR="00603B71" w:rsidRDefault="00603B71" w:rsidP="006876C5">
      <w:pPr>
        <w:pStyle w:val="NoSpacing"/>
        <w:rPr>
          <w:color w:val="3A3A3A"/>
          <w:shd w:val="clear" w:color="auto" w:fill="FFFFFF"/>
        </w:rPr>
      </w:pPr>
    </w:p>
    <w:p w14:paraId="144D987E" w14:textId="77777777" w:rsidR="00603B71" w:rsidRDefault="00603B71" w:rsidP="006876C5">
      <w:pPr>
        <w:pStyle w:val="NoSpacing"/>
        <w:rPr>
          <w:color w:val="3A3A3A"/>
          <w:shd w:val="clear" w:color="auto" w:fill="FFFFFF"/>
        </w:rPr>
      </w:pPr>
    </w:p>
    <w:p w14:paraId="475087BE" w14:textId="77777777" w:rsidR="00603B71" w:rsidRDefault="00603B71" w:rsidP="006876C5">
      <w:pPr>
        <w:pStyle w:val="NoSpacing"/>
        <w:rPr>
          <w:color w:val="3A3A3A"/>
          <w:shd w:val="clear" w:color="auto" w:fill="FFFFFF"/>
        </w:rPr>
      </w:pPr>
    </w:p>
    <w:p w14:paraId="453F0499" w14:textId="77777777" w:rsidR="00603B71" w:rsidRDefault="00603B71" w:rsidP="006876C5">
      <w:pPr>
        <w:pStyle w:val="NoSpacing"/>
        <w:rPr>
          <w:color w:val="3A3A3A"/>
          <w:shd w:val="clear" w:color="auto" w:fill="FFFFFF"/>
        </w:rPr>
      </w:pPr>
    </w:p>
    <w:p w14:paraId="251A86AB" w14:textId="77777777" w:rsidR="00603B71" w:rsidRDefault="00603B71" w:rsidP="006876C5">
      <w:pPr>
        <w:pStyle w:val="NoSpacing"/>
        <w:rPr>
          <w:color w:val="3A3A3A"/>
          <w:shd w:val="clear" w:color="auto" w:fill="FFFFFF"/>
        </w:rPr>
      </w:pPr>
    </w:p>
    <w:p w14:paraId="5E47A105" w14:textId="77777777" w:rsidR="00603B71" w:rsidRDefault="00603B71" w:rsidP="006876C5">
      <w:pPr>
        <w:pStyle w:val="NoSpacing"/>
        <w:rPr>
          <w:color w:val="3A3A3A"/>
          <w:shd w:val="clear" w:color="auto" w:fill="FFFFFF"/>
        </w:rPr>
      </w:pPr>
    </w:p>
    <w:p w14:paraId="7F704874" w14:textId="77777777" w:rsidR="00603B71" w:rsidRDefault="00603B71" w:rsidP="006876C5">
      <w:pPr>
        <w:pStyle w:val="NoSpacing"/>
        <w:rPr>
          <w:color w:val="3A3A3A"/>
          <w:shd w:val="clear" w:color="auto" w:fill="FFFFFF"/>
        </w:rPr>
      </w:pPr>
    </w:p>
    <w:p w14:paraId="21AA3E9E" w14:textId="77777777" w:rsidR="00603B71" w:rsidRDefault="00603B71" w:rsidP="006876C5">
      <w:pPr>
        <w:pStyle w:val="NoSpacing"/>
        <w:rPr>
          <w:color w:val="3A3A3A"/>
          <w:shd w:val="clear" w:color="auto" w:fill="FFFFFF"/>
        </w:rPr>
      </w:pPr>
    </w:p>
    <w:p w14:paraId="42157297" w14:textId="77777777" w:rsidR="0012727A" w:rsidRDefault="0012727A" w:rsidP="00416AD5">
      <w:pPr>
        <w:pStyle w:val="ListParagraph"/>
      </w:pPr>
    </w:p>
    <w:p w14:paraId="1B99934E" w14:textId="77777777" w:rsidR="000666EC" w:rsidRDefault="000666EC" w:rsidP="0012727A">
      <w:pPr>
        <w:rPr>
          <w:b/>
          <w:bCs/>
        </w:rPr>
      </w:pPr>
    </w:p>
    <w:p w14:paraId="4109EF09" w14:textId="77777777" w:rsidR="00603B71" w:rsidRDefault="00603B71" w:rsidP="0012727A">
      <w:pPr>
        <w:rPr>
          <w:b/>
          <w:bCs/>
        </w:rPr>
      </w:pPr>
    </w:p>
    <w:p w14:paraId="4087234E" w14:textId="77777777" w:rsidR="00603B71" w:rsidRDefault="00603B71" w:rsidP="0012727A">
      <w:pPr>
        <w:rPr>
          <w:b/>
          <w:bCs/>
        </w:rPr>
      </w:pPr>
    </w:p>
    <w:p w14:paraId="207CEEC7" w14:textId="77777777" w:rsidR="00603B71" w:rsidRDefault="00603B71" w:rsidP="0012727A">
      <w:pPr>
        <w:rPr>
          <w:b/>
          <w:bCs/>
        </w:rPr>
      </w:pPr>
    </w:p>
    <w:p w14:paraId="194CE48F" w14:textId="77777777" w:rsidR="00603B71" w:rsidRPr="0012727A" w:rsidRDefault="00603B71" w:rsidP="0012727A">
      <w:pPr>
        <w:rPr>
          <w:b/>
          <w:bCs/>
        </w:rPr>
      </w:pPr>
    </w:p>
    <w:p w14:paraId="53A40C8C" w14:textId="124BDD2B" w:rsidR="00D74817" w:rsidRPr="00D74817" w:rsidRDefault="00A16913" w:rsidP="00787758">
      <w:pPr>
        <w:pStyle w:val="NoSpacing"/>
        <w:rPr>
          <w:color w:val="3A3A3A"/>
          <w:shd w:val="clear" w:color="auto" w:fill="FFFFFF"/>
        </w:rPr>
      </w:pPr>
      <w:r>
        <w:rPr>
          <w:color w:val="3A3A3A"/>
          <w:shd w:val="clear" w:color="auto" w:fill="FFFFFF"/>
        </w:rPr>
        <w:t xml:space="preserve">                            </w:t>
      </w:r>
    </w:p>
    <w:p w14:paraId="1BEE8841" w14:textId="77777777" w:rsidR="00D74817" w:rsidRPr="00D74817" w:rsidRDefault="00D74817" w:rsidP="006876C5">
      <w:pPr>
        <w:pStyle w:val="NoSpacing"/>
        <w:rPr>
          <w:color w:val="3A3A3A"/>
          <w:shd w:val="clear" w:color="auto" w:fill="FFFFFF"/>
        </w:rPr>
      </w:pPr>
    </w:p>
    <w:sectPr w:rsidR="00D74817" w:rsidRPr="00D74817" w:rsidSect="008A1DC6">
      <w:headerReference w:type="default" r:id="rId3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00B4" w14:textId="77777777" w:rsidR="00C53798" w:rsidRDefault="00C53798">
      <w:pPr>
        <w:spacing w:line="240" w:lineRule="auto"/>
      </w:pPr>
      <w:r>
        <w:separator/>
      </w:r>
    </w:p>
  </w:endnote>
  <w:endnote w:type="continuationSeparator" w:id="0">
    <w:p w14:paraId="3F127AB6" w14:textId="77777777" w:rsidR="00C53798" w:rsidRDefault="00C53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69BE4" w14:textId="77777777" w:rsidR="00C53798" w:rsidRDefault="00C53798">
      <w:pPr>
        <w:spacing w:line="240" w:lineRule="auto"/>
      </w:pPr>
      <w:r>
        <w:separator/>
      </w:r>
    </w:p>
  </w:footnote>
  <w:footnote w:type="continuationSeparator" w:id="0">
    <w:p w14:paraId="53239075" w14:textId="77777777" w:rsidR="00C53798" w:rsidRDefault="00C537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5505" w14:textId="77777777" w:rsidR="006C151F" w:rsidRDefault="00F66A8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0386E">
      <w:rPr>
        <w:noProof/>
        <w:color w:val="000000"/>
      </w:rPr>
      <w:t>1</w:t>
    </w:r>
    <w:r>
      <w:rPr>
        <w:color w:val="000000"/>
      </w:rPr>
      <w:fldChar w:fldCharType="end"/>
    </w:r>
  </w:p>
  <w:p w14:paraId="59B468E5" w14:textId="77777777" w:rsidR="006C151F" w:rsidRDefault="006C151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EBE"/>
    <w:multiLevelType w:val="hybridMultilevel"/>
    <w:tmpl w:val="3E20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203C0"/>
    <w:multiLevelType w:val="hybridMultilevel"/>
    <w:tmpl w:val="086A1178"/>
    <w:lvl w:ilvl="0" w:tplc="8C867DC6">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A6F190">
      <w:start w:val="1"/>
      <w:numFmt w:val="lowerLetter"/>
      <w:lvlText w:val="%2"/>
      <w:lvlJc w:val="left"/>
      <w:pPr>
        <w:ind w:left="1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3832B2">
      <w:start w:val="1"/>
      <w:numFmt w:val="lowerRoman"/>
      <w:lvlText w:val="%3"/>
      <w:lvlJc w:val="left"/>
      <w:pPr>
        <w:ind w:left="2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821CE0">
      <w:start w:val="1"/>
      <w:numFmt w:val="decimal"/>
      <w:lvlText w:val="%4"/>
      <w:lvlJc w:val="left"/>
      <w:pPr>
        <w:ind w:left="2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69D2E">
      <w:start w:val="1"/>
      <w:numFmt w:val="lowerLetter"/>
      <w:lvlText w:val="%5"/>
      <w:lvlJc w:val="left"/>
      <w:pPr>
        <w:ind w:left="3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B887E8">
      <w:start w:val="1"/>
      <w:numFmt w:val="lowerRoman"/>
      <w:lvlText w:val="%6"/>
      <w:lvlJc w:val="left"/>
      <w:pPr>
        <w:ind w:left="4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6212A">
      <w:start w:val="1"/>
      <w:numFmt w:val="decimal"/>
      <w:lvlText w:val="%7"/>
      <w:lvlJc w:val="left"/>
      <w:pPr>
        <w:ind w:left="4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2EB3E">
      <w:start w:val="1"/>
      <w:numFmt w:val="lowerLetter"/>
      <w:lvlText w:val="%8"/>
      <w:lvlJc w:val="left"/>
      <w:pPr>
        <w:ind w:left="5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3CE4B4">
      <w:start w:val="1"/>
      <w:numFmt w:val="lowerRoman"/>
      <w:lvlText w:val="%9"/>
      <w:lvlJc w:val="left"/>
      <w:pPr>
        <w:ind w:left="6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9E561C"/>
    <w:multiLevelType w:val="hybridMultilevel"/>
    <w:tmpl w:val="607AA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603FF"/>
    <w:multiLevelType w:val="hybridMultilevel"/>
    <w:tmpl w:val="F4E6DB4E"/>
    <w:lvl w:ilvl="0" w:tplc="D87215F0">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8E57D6">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24016E">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B8321A">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5A41E0">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243F56">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72F57E">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BAE342">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ACB8BC">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DA12A5"/>
    <w:multiLevelType w:val="hybridMultilevel"/>
    <w:tmpl w:val="042EC222"/>
    <w:lvl w:ilvl="0" w:tplc="032C1CFC">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8CA07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76C37E">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F0B2E4">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A5C6E">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22DF3A">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D2109A">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06E2B4">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ACD60">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891CE9"/>
    <w:multiLevelType w:val="hybridMultilevel"/>
    <w:tmpl w:val="C8388E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5F1030"/>
    <w:multiLevelType w:val="hybridMultilevel"/>
    <w:tmpl w:val="6054D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1B75A3"/>
    <w:multiLevelType w:val="hybridMultilevel"/>
    <w:tmpl w:val="2C66A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C780F"/>
    <w:multiLevelType w:val="hybridMultilevel"/>
    <w:tmpl w:val="76622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080D31"/>
    <w:multiLevelType w:val="hybridMultilevel"/>
    <w:tmpl w:val="7976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88106">
    <w:abstractNumId w:val="6"/>
  </w:num>
  <w:num w:numId="2" w16cid:durableId="576474946">
    <w:abstractNumId w:val="7"/>
  </w:num>
  <w:num w:numId="3" w16cid:durableId="497696309">
    <w:abstractNumId w:val="8"/>
  </w:num>
  <w:num w:numId="4" w16cid:durableId="1123958888">
    <w:abstractNumId w:val="5"/>
  </w:num>
  <w:num w:numId="5" w16cid:durableId="152962597">
    <w:abstractNumId w:val="9"/>
  </w:num>
  <w:num w:numId="6" w16cid:durableId="1687976174">
    <w:abstractNumId w:val="0"/>
  </w:num>
  <w:num w:numId="7" w16cid:durableId="833305381">
    <w:abstractNumId w:val="4"/>
  </w:num>
  <w:num w:numId="8" w16cid:durableId="2135706767">
    <w:abstractNumId w:val="1"/>
  </w:num>
  <w:num w:numId="9" w16cid:durableId="150145696">
    <w:abstractNumId w:val="3"/>
  </w:num>
  <w:num w:numId="10" w16cid:durableId="218829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1F"/>
    <w:rsid w:val="00000AAA"/>
    <w:rsid w:val="00011CCB"/>
    <w:rsid w:val="00016F50"/>
    <w:rsid w:val="00022EA5"/>
    <w:rsid w:val="00031961"/>
    <w:rsid w:val="000350C4"/>
    <w:rsid w:val="000359F5"/>
    <w:rsid w:val="00035D72"/>
    <w:rsid w:val="000405CC"/>
    <w:rsid w:val="00040AED"/>
    <w:rsid w:val="00040E87"/>
    <w:rsid w:val="0004122E"/>
    <w:rsid w:val="0004388E"/>
    <w:rsid w:val="00043A49"/>
    <w:rsid w:val="000462E6"/>
    <w:rsid w:val="00046C29"/>
    <w:rsid w:val="00047AF3"/>
    <w:rsid w:val="000506F7"/>
    <w:rsid w:val="00053037"/>
    <w:rsid w:val="00053722"/>
    <w:rsid w:val="00063391"/>
    <w:rsid w:val="00064B39"/>
    <w:rsid w:val="000666EC"/>
    <w:rsid w:val="00072CED"/>
    <w:rsid w:val="00075FBD"/>
    <w:rsid w:val="00081D81"/>
    <w:rsid w:val="00084E45"/>
    <w:rsid w:val="00091AA7"/>
    <w:rsid w:val="000939DE"/>
    <w:rsid w:val="000A0B80"/>
    <w:rsid w:val="000A10A7"/>
    <w:rsid w:val="000A1B9A"/>
    <w:rsid w:val="000A32C2"/>
    <w:rsid w:val="000A348B"/>
    <w:rsid w:val="000A4C16"/>
    <w:rsid w:val="000A4FC7"/>
    <w:rsid w:val="000A7FF2"/>
    <w:rsid w:val="000B1ECA"/>
    <w:rsid w:val="000C1248"/>
    <w:rsid w:val="000C2D6F"/>
    <w:rsid w:val="000C7CA8"/>
    <w:rsid w:val="000D06EC"/>
    <w:rsid w:val="000D3078"/>
    <w:rsid w:val="000D35C0"/>
    <w:rsid w:val="000D6770"/>
    <w:rsid w:val="000E1A71"/>
    <w:rsid w:val="000E3706"/>
    <w:rsid w:val="000E6B01"/>
    <w:rsid w:val="000F0472"/>
    <w:rsid w:val="000F1AB6"/>
    <w:rsid w:val="000F36C9"/>
    <w:rsid w:val="00101567"/>
    <w:rsid w:val="001036A8"/>
    <w:rsid w:val="0010636B"/>
    <w:rsid w:val="00111979"/>
    <w:rsid w:val="00111FD4"/>
    <w:rsid w:val="001131E1"/>
    <w:rsid w:val="00116056"/>
    <w:rsid w:val="00120845"/>
    <w:rsid w:val="00124BE6"/>
    <w:rsid w:val="001256C2"/>
    <w:rsid w:val="00125A29"/>
    <w:rsid w:val="0012727A"/>
    <w:rsid w:val="0013719F"/>
    <w:rsid w:val="00141952"/>
    <w:rsid w:val="00143151"/>
    <w:rsid w:val="001439EC"/>
    <w:rsid w:val="00147CC2"/>
    <w:rsid w:val="00152541"/>
    <w:rsid w:val="001532AE"/>
    <w:rsid w:val="001534CC"/>
    <w:rsid w:val="0015715E"/>
    <w:rsid w:val="0016165B"/>
    <w:rsid w:val="00166CB7"/>
    <w:rsid w:val="00173909"/>
    <w:rsid w:val="00173F49"/>
    <w:rsid w:val="00174E8F"/>
    <w:rsid w:val="00175820"/>
    <w:rsid w:val="00182EA3"/>
    <w:rsid w:val="00187288"/>
    <w:rsid w:val="00190152"/>
    <w:rsid w:val="00190D86"/>
    <w:rsid w:val="00190EBA"/>
    <w:rsid w:val="00194217"/>
    <w:rsid w:val="00194601"/>
    <w:rsid w:val="00196A30"/>
    <w:rsid w:val="001A4D9C"/>
    <w:rsid w:val="001A7B56"/>
    <w:rsid w:val="001B04C0"/>
    <w:rsid w:val="001C1B51"/>
    <w:rsid w:val="001D51DE"/>
    <w:rsid w:val="001D5300"/>
    <w:rsid w:val="001D5D30"/>
    <w:rsid w:val="001E0237"/>
    <w:rsid w:val="001E14A6"/>
    <w:rsid w:val="001E329F"/>
    <w:rsid w:val="001E4091"/>
    <w:rsid w:val="001F2096"/>
    <w:rsid w:val="001F3E61"/>
    <w:rsid w:val="001F4819"/>
    <w:rsid w:val="00201F28"/>
    <w:rsid w:val="002057A2"/>
    <w:rsid w:val="002148DF"/>
    <w:rsid w:val="00214E1D"/>
    <w:rsid w:val="0021652E"/>
    <w:rsid w:val="002208B4"/>
    <w:rsid w:val="00221C4B"/>
    <w:rsid w:val="00221EB0"/>
    <w:rsid w:val="00222262"/>
    <w:rsid w:val="002251A2"/>
    <w:rsid w:val="002335F5"/>
    <w:rsid w:val="00240D23"/>
    <w:rsid w:val="00240DA1"/>
    <w:rsid w:val="00241BE6"/>
    <w:rsid w:val="00241DD4"/>
    <w:rsid w:val="00242B68"/>
    <w:rsid w:val="0024684A"/>
    <w:rsid w:val="00255924"/>
    <w:rsid w:val="002663AA"/>
    <w:rsid w:val="00272425"/>
    <w:rsid w:val="00274C9F"/>
    <w:rsid w:val="00281D54"/>
    <w:rsid w:val="00281DF6"/>
    <w:rsid w:val="0028545C"/>
    <w:rsid w:val="0028633C"/>
    <w:rsid w:val="002905FF"/>
    <w:rsid w:val="002916DD"/>
    <w:rsid w:val="002A0AFB"/>
    <w:rsid w:val="002A4F08"/>
    <w:rsid w:val="002B48AF"/>
    <w:rsid w:val="002C1BE6"/>
    <w:rsid w:val="002C3A51"/>
    <w:rsid w:val="002C6656"/>
    <w:rsid w:val="002C6D1D"/>
    <w:rsid w:val="002D50F7"/>
    <w:rsid w:val="002D5368"/>
    <w:rsid w:val="002D7ABC"/>
    <w:rsid w:val="002E2274"/>
    <w:rsid w:val="002E54DF"/>
    <w:rsid w:val="002E7C7F"/>
    <w:rsid w:val="002F008F"/>
    <w:rsid w:val="002F0B29"/>
    <w:rsid w:val="002F3A20"/>
    <w:rsid w:val="002F4678"/>
    <w:rsid w:val="002F4CA5"/>
    <w:rsid w:val="002F75A1"/>
    <w:rsid w:val="00313683"/>
    <w:rsid w:val="00313F75"/>
    <w:rsid w:val="003140AA"/>
    <w:rsid w:val="00317E00"/>
    <w:rsid w:val="003240DA"/>
    <w:rsid w:val="00325160"/>
    <w:rsid w:val="003257A6"/>
    <w:rsid w:val="00330EC4"/>
    <w:rsid w:val="00331121"/>
    <w:rsid w:val="00333F98"/>
    <w:rsid w:val="00334ED2"/>
    <w:rsid w:val="0033717A"/>
    <w:rsid w:val="00346816"/>
    <w:rsid w:val="00346889"/>
    <w:rsid w:val="00347038"/>
    <w:rsid w:val="0034799E"/>
    <w:rsid w:val="00351829"/>
    <w:rsid w:val="0036240C"/>
    <w:rsid w:val="00365195"/>
    <w:rsid w:val="003749A4"/>
    <w:rsid w:val="00375324"/>
    <w:rsid w:val="003761F2"/>
    <w:rsid w:val="00380CBE"/>
    <w:rsid w:val="003870C5"/>
    <w:rsid w:val="003872FF"/>
    <w:rsid w:val="003A067C"/>
    <w:rsid w:val="003C0916"/>
    <w:rsid w:val="003C28D6"/>
    <w:rsid w:val="003C5CFD"/>
    <w:rsid w:val="003D3784"/>
    <w:rsid w:val="003E115E"/>
    <w:rsid w:val="003E2340"/>
    <w:rsid w:val="003E54DE"/>
    <w:rsid w:val="003E5F9D"/>
    <w:rsid w:val="003E68A0"/>
    <w:rsid w:val="003E6ED1"/>
    <w:rsid w:val="003F2D14"/>
    <w:rsid w:val="00401820"/>
    <w:rsid w:val="0040345D"/>
    <w:rsid w:val="0040537D"/>
    <w:rsid w:val="00405682"/>
    <w:rsid w:val="004129AC"/>
    <w:rsid w:val="00416AD5"/>
    <w:rsid w:val="00416E57"/>
    <w:rsid w:val="0041753F"/>
    <w:rsid w:val="004218AB"/>
    <w:rsid w:val="0042230F"/>
    <w:rsid w:val="00424ABA"/>
    <w:rsid w:val="0043118E"/>
    <w:rsid w:val="00431E1A"/>
    <w:rsid w:val="00432992"/>
    <w:rsid w:val="00433D57"/>
    <w:rsid w:val="00434FBD"/>
    <w:rsid w:val="0043725B"/>
    <w:rsid w:val="00447E29"/>
    <w:rsid w:val="00453955"/>
    <w:rsid w:val="00455D56"/>
    <w:rsid w:val="004625B8"/>
    <w:rsid w:val="00462A98"/>
    <w:rsid w:val="00465075"/>
    <w:rsid w:val="00466EEC"/>
    <w:rsid w:val="00471B11"/>
    <w:rsid w:val="00472269"/>
    <w:rsid w:val="004802EC"/>
    <w:rsid w:val="0048139A"/>
    <w:rsid w:val="00485563"/>
    <w:rsid w:val="0048596A"/>
    <w:rsid w:val="00486A2B"/>
    <w:rsid w:val="00487A57"/>
    <w:rsid w:val="004908BC"/>
    <w:rsid w:val="0049107D"/>
    <w:rsid w:val="004930E3"/>
    <w:rsid w:val="00493360"/>
    <w:rsid w:val="00494D57"/>
    <w:rsid w:val="004966ED"/>
    <w:rsid w:val="004B7198"/>
    <w:rsid w:val="004B794A"/>
    <w:rsid w:val="004C25A6"/>
    <w:rsid w:val="004C3028"/>
    <w:rsid w:val="004D0440"/>
    <w:rsid w:val="004D40FC"/>
    <w:rsid w:val="004D7AFA"/>
    <w:rsid w:val="004D7ED9"/>
    <w:rsid w:val="004E0C1F"/>
    <w:rsid w:val="004E1F73"/>
    <w:rsid w:val="004E226E"/>
    <w:rsid w:val="004E5321"/>
    <w:rsid w:val="004F4B34"/>
    <w:rsid w:val="0050051D"/>
    <w:rsid w:val="00502D8F"/>
    <w:rsid w:val="00503440"/>
    <w:rsid w:val="00505D57"/>
    <w:rsid w:val="005075DA"/>
    <w:rsid w:val="00511318"/>
    <w:rsid w:val="00515C38"/>
    <w:rsid w:val="005212CB"/>
    <w:rsid w:val="00532979"/>
    <w:rsid w:val="00535BB4"/>
    <w:rsid w:val="00540FFA"/>
    <w:rsid w:val="005416B7"/>
    <w:rsid w:val="00547F81"/>
    <w:rsid w:val="00550A46"/>
    <w:rsid w:val="005558D4"/>
    <w:rsid w:val="00555E70"/>
    <w:rsid w:val="00560008"/>
    <w:rsid w:val="00562EDC"/>
    <w:rsid w:val="00564ED0"/>
    <w:rsid w:val="00567F0E"/>
    <w:rsid w:val="00571485"/>
    <w:rsid w:val="00571877"/>
    <w:rsid w:val="005745D1"/>
    <w:rsid w:val="00586325"/>
    <w:rsid w:val="0058637B"/>
    <w:rsid w:val="005866B6"/>
    <w:rsid w:val="00591AA4"/>
    <w:rsid w:val="005A5871"/>
    <w:rsid w:val="005A6C3B"/>
    <w:rsid w:val="005C2F46"/>
    <w:rsid w:val="005D12E0"/>
    <w:rsid w:val="005D3649"/>
    <w:rsid w:val="005D4F1B"/>
    <w:rsid w:val="005E30C6"/>
    <w:rsid w:val="005E7156"/>
    <w:rsid w:val="005F1A54"/>
    <w:rsid w:val="005F3DA7"/>
    <w:rsid w:val="005F411D"/>
    <w:rsid w:val="005F53F4"/>
    <w:rsid w:val="005F759E"/>
    <w:rsid w:val="006020B6"/>
    <w:rsid w:val="006033B2"/>
    <w:rsid w:val="00603B71"/>
    <w:rsid w:val="00604283"/>
    <w:rsid w:val="00607237"/>
    <w:rsid w:val="00610801"/>
    <w:rsid w:val="00611483"/>
    <w:rsid w:val="0061616F"/>
    <w:rsid w:val="00616514"/>
    <w:rsid w:val="00616693"/>
    <w:rsid w:val="006259CD"/>
    <w:rsid w:val="00626464"/>
    <w:rsid w:val="00635EBA"/>
    <w:rsid w:val="00641BA0"/>
    <w:rsid w:val="006420EB"/>
    <w:rsid w:val="006426D9"/>
    <w:rsid w:val="00645628"/>
    <w:rsid w:val="00646223"/>
    <w:rsid w:val="00650473"/>
    <w:rsid w:val="00656612"/>
    <w:rsid w:val="006608C3"/>
    <w:rsid w:val="00661B73"/>
    <w:rsid w:val="00662AC7"/>
    <w:rsid w:val="006712E0"/>
    <w:rsid w:val="0067525F"/>
    <w:rsid w:val="00675961"/>
    <w:rsid w:val="00682ABE"/>
    <w:rsid w:val="0068398A"/>
    <w:rsid w:val="006852B7"/>
    <w:rsid w:val="00685752"/>
    <w:rsid w:val="006859B4"/>
    <w:rsid w:val="006876C5"/>
    <w:rsid w:val="00691213"/>
    <w:rsid w:val="00694F9A"/>
    <w:rsid w:val="00695774"/>
    <w:rsid w:val="00695936"/>
    <w:rsid w:val="006A0B83"/>
    <w:rsid w:val="006A2488"/>
    <w:rsid w:val="006A2ADC"/>
    <w:rsid w:val="006A545C"/>
    <w:rsid w:val="006B3F80"/>
    <w:rsid w:val="006C151F"/>
    <w:rsid w:val="006D2977"/>
    <w:rsid w:val="006D334A"/>
    <w:rsid w:val="006D3A51"/>
    <w:rsid w:val="006E0A3A"/>
    <w:rsid w:val="006E2D5F"/>
    <w:rsid w:val="006E4EBF"/>
    <w:rsid w:val="006E66CA"/>
    <w:rsid w:val="006E6DF2"/>
    <w:rsid w:val="006E755F"/>
    <w:rsid w:val="006F1283"/>
    <w:rsid w:val="006F236B"/>
    <w:rsid w:val="006F31AB"/>
    <w:rsid w:val="006F6B71"/>
    <w:rsid w:val="006F714D"/>
    <w:rsid w:val="007075D8"/>
    <w:rsid w:val="00711298"/>
    <w:rsid w:val="0071381A"/>
    <w:rsid w:val="0071770F"/>
    <w:rsid w:val="00720E23"/>
    <w:rsid w:val="0072170E"/>
    <w:rsid w:val="00722017"/>
    <w:rsid w:val="007239BE"/>
    <w:rsid w:val="007340B1"/>
    <w:rsid w:val="007418A1"/>
    <w:rsid w:val="007467B4"/>
    <w:rsid w:val="0074699D"/>
    <w:rsid w:val="00746B17"/>
    <w:rsid w:val="00747F39"/>
    <w:rsid w:val="00750B9D"/>
    <w:rsid w:val="00753635"/>
    <w:rsid w:val="0075371C"/>
    <w:rsid w:val="00753CD4"/>
    <w:rsid w:val="00755722"/>
    <w:rsid w:val="00756354"/>
    <w:rsid w:val="00760495"/>
    <w:rsid w:val="00771793"/>
    <w:rsid w:val="00771EB6"/>
    <w:rsid w:val="00773A85"/>
    <w:rsid w:val="00773C4F"/>
    <w:rsid w:val="00781F7D"/>
    <w:rsid w:val="00782B1F"/>
    <w:rsid w:val="00786626"/>
    <w:rsid w:val="00786BD1"/>
    <w:rsid w:val="00787758"/>
    <w:rsid w:val="007915A6"/>
    <w:rsid w:val="00791AFB"/>
    <w:rsid w:val="00793346"/>
    <w:rsid w:val="00796737"/>
    <w:rsid w:val="007A457C"/>
    <w:rsid w:val="007A5874"/>
    <w:rsid w:val="007A64FC"/>
    <w:rsid w:val="007B299B"/>
    <w:rsid w:val="007B7C49"/>
    <w:rsid w:val="007C43D1"/>
    <w:rsid w:val="007C5686"/>
    <w:rsid w:val="007D0752"/>
    <w:rsid w:val="007D1B00"/>
    <w:rsid w:val="007D4BD0"/>
    <w:rsid w:val="007D5DC7"/>
    <w:rsid w:val="007D5F87"/>
    <w:rsid w:val="007E04BB"/>
    <w:rsid w:val="007E282A"/>
    <w:rsid w:val="007E6634"/>
    <w:rsid w:val="007F275D"/>
    <w:rsid w:val="007F48BF"/>
    <w:rsid w:val="007F60C4"/>
    <w:rsid w:val="007F79C3"/>
    <w:rsid w:val="007F7F51"/>
    <w:rsid w:val="008001FC"/>
    <w:rsid w:val="00801ACD"/>
    <w:rsid w:val="00802B23"/>
    <w:rsid w:val="00802D14"/>
    <w:rsid w:val="0080386E"/>
    <w:rsid w:val="008060F4"/>
    <w:rsid w:val="008069E7"/>
    <w:rsid w:val="00807B96"/>
    <w:rsid w:val="00811161"/>
    <w:rsid w:val="00811994"/>
    <w:rsid w:val="0081431B"/>
    <w:rsid w:val="008173EC"/>
    <w:rsid w:val="0082241A"/>
    <w:rsid w:val="008238D3"/>
    <w:rsid w:val="00825F7A"/>
    <w:rsid w:val="008413F5"/>
    <w:rsid w:val="0084195F"/>
    <w:rsid w:val="00847887"/>
    <w:rsid w:val="008505A5"/>
    <w:rsid w:val="008506B0"/>
    <w:rsid w:val="00855CD7"/>
    <w:rsid w:val="00861EAC"/>
    <w:rsid w:val="008724F6"/>
    <w:rsid w:val="00893A32"/>
    <w:rsid w:val="0089478B"/>
    <w:rsid w:val="008A1404"/>
    <w:rsid w:val="008A1DC6"/>
    <w:rsid w:val="008A31AF"/>
    <w:rsid w:val="008A4684"/>
    <w:rsid w:val="008A63EF"/>
    <w:rsid w:val="008A7589"/>
    <w:rsid w:val="008B353C"/>
    <w:rsid w:val="008B37F7"/>
    <w:rsid w:val="008B3953"/>
    <w:rsid w:val="008B5B15"/>
    <w:rsid w:val="008C64F3"/>
    <w:rsid w:val="008D7E1F"/>
    <w:rsid w:val="008E230A"/>
    <w:rsid w:val="008E2DBC"/>
    <w:rsid w:val="008E3B44"/>
    <w:rsid w:val="008E4418"/>
    <w:rsid w:val="00902083"/>
    <w:rsid w:val="00904413"/>
    <w:rsid w:val="00906BE6"/>
    <w:rsid w:val="00912747"/>
    <w:rsid w:val="00916BF0"/>
    <w:rsid w:val="00922B22"/>
    <w:rsid w:val="0092346F"/>
    <w:rsid w:val="009234A4"/>
    <w:rsid w:val="00926332"/>
    <w:rsid w:val="0092678C"/>
    <w:rsid w:val="009300D1"/>
    <w:rsid w:val="00931E3B"/>
    <w:rsid w:val="00933764"/>
    <w:rsid w:val="00936690"/>
    <w:rsid w:val="009416BB"/>
    <w:rsid w:val="00953A9E"/>
    <w:rsid w:val="009551C0"/>
    <w:rsid w:val="009561AF"/>
    <w:rsid w:val="0095675F"/>
    <w:rsid w:val="00965398"/>
    <w:rsid w:val="0097479C"/>
    <w:rsid w:val="009801C5"/>
    <w:rsid w:val="0098458B"/>
    <w:rsid w:val="009909E8"/>
    <w:rsid w:val="009939F6"/>
    <w:rsid w:val="00995440"/>
    <w:rsid w:val="009A14B1"/>
    <w:rsid w:val="009B4788"/>
    <w:rsid w:val="009B7FD0"/>
    <w:rsid w:val="009C109D"/>
    <w:rsid w:val="009C1DD3"/>
    <w:rsid w:val="009C5ABD"/>
    <w:rsid w:val="009C6B91"/>
    <w:rsid w:val="009C6DD5"/>
    <w:rsid w:val="009D2875"/>
    <w:rsid w:val="009E35E4"/>
    <w:rsid w:val="009F49B2"/>
    <w:rsid w:val="009F52D8"/>
    <w:rsid w:val="009F59E9"/>
    <w:rsid w:val="00A06081"/>
    <w:rsid w:val="00A07CAA"/>
    <w:rsid w:val="00A10ACE"/>
    <w:rsid w:val="00A11E73"/>
    <w:rsid w:val="00A14770"/>
    <w:rsid w:val="00A14839"/>
    <w:rsid w:val="00A16913"/>
    <w:rsid w:val="00A216DD"/>
    <w:rsid w:val="00A21797"/>
    <w:rsid w:val="00A2231E"/>
    <w:rsid w:val="00A236AB"/>
    <w:rsid w:val="00A51F4E"/>
    <w:rsid w:val="00A5222D"/>
    <w:rsid w:val="00A55F05"/>
    <w:rsid w:val="00A60C2C"/>
    <w:rsid w:val="00A62B4D"/>
    <w:rsid w:val="00A6414C"/>
    <w:rsid w:val="00A660C8"/>
    <w:rsid w:val="00A6714A"/>
    <w:rsid w:val="00A67C28"/>
    <w:rsid w:val="00A71AB0"/>
    <w:rsid w:val="00A74729"/>
    <w:rsid w:val="00A86CE7"/>
    <w:rsid w:val="00AA0414"/>
    <w:rsid w:val="00AA5730"/>
    <w:rsid w:val="00AB08E2"/>
    <w:rsid w:val="00AB154C"/>
    <w:rsid w:val="00AB4256"/>
    <w:rsid w:val="00AB5E95"/>
    <w:rsid w:val="00AC2622"/>
    <w:rsid w:val="00AC291E"/>
    <w:rsid w:val="00AC4700"/>
    <w:rsid w:val="00AC4CBA"/>
    <w:rsid w:val="00AC7665"/>
    <w:rsid w:val="00AC7756"/>
    <w:rsid w:val="00AD0C14"/>
    <w:rsid w:val="00AD157E"/>
    <w:rsid w:val="00AD45F5"/>
    <w:rsid w:val="00AD508D"/>
    <w:rsid w:val="00AD559A"/>
    <w:rsid w:val="00AE4E11"/>
    <w:rsid w:val="00AF0FF0"/>
    <w:rsid w:val="00AF12BA"/>
    <w:rsid w:val="00AF3DF2"/>
    <w:rsid w:val="00B018C9"/>
    <w:rsid w:val="00B03ED6"/>
    <w:rsid w:val="00B05178"/>
    <w:rsid w:val="00B121AA"/>
    <w:rsid w:val="00B1328A"/>
    <w:rsid w:val="00B1332B"/>
    <w:rsid w:val="00B21F2D"/>
    <w:rsid w:val="00B250DC"/>
    <w:rsid w:val="00B30A52"/>
    <w:rsid w:val="00B37DC5"/>
    <w:rsid w:val="00B41250"/>
    <w:rsid w:val="00B42E21"/>
    <w:rsid w:val="00B42E4F"/>
    <w:rsid w:val="00B44234"/>
    <w:rsid w:val="00B503A5"/>
    <w:rsid w:val="00B521E3"/>
    <w:rsid w:val="00B64D44"/>
    <w:rsid w:val="00B67E9D"/>
    <w:rsid w:val="00B702F2"/>
    <w:rsid w:val="00B70490"/>
    <w:rsid w:val="00B71676"/>
    <w:rsid w:val="00B71F17"/>
    <w:rsid w:val="00B73128"/>
    <w:rsid w:val="00B73C3C"/>
    <w:rsid w:val="00B878BE"/>
    <w:rsid w:val="00B90C25"/>
    <w:rsid w:val="00B972B1"/>
    <w:rsid w:val="00BA4CA2"/>
    <w:rsid w:val="00BA562B"/>
    <w:rsid w:val="00BA768B"/>
    <w:rsid w:val="00BB1A9F"/>
    <w:rsid w:val="00BC096D"/>
    <w:rsid w:val="00BC25D3"/>
    <w:rsid w:val="00BC41F6"/>
    <w:rsid w:val="00BC4CC3"/>
    <w:rsid w:val="00BC4FC5"/>
    <w:rsid w:val="00BD191C"/>
    <w:rsid w:val="00BD1E01"/>
    <w:rsid w:val="00BD3A01"/>
    <w:rsid w:val="00BD4F37"/>
    <w:rsid w:val="00BD66CB"/>
    <w:rsid w:val="00BD728C"/>
    <w:rsid w:val="00BD7AD3"/>
    <w:rsid w:val="00BE0FE6"/>
    <w:rsid w:val="00BE3AAB"/>
    <w:rsid w:val="00BE3EE2"/>
    <w:rsid w:val="00BE455E"/>
    <w:rsid w:val="00BE4956"/>
    <w:rsid w:val="00BF3CC7"/>
    <w:rsid w:val="00BF43E7"/>
    <w:rsid w:val="00BF58C1"/>
    <w:rsid w:val="00BF6320"/>
    <w:rsid w:val="00C00FC5"/>
    <w:rsid w:val="00C02C2D"/>
    <w:rsid w:val="00C046D3"/>
    <w:rsid w:val="00C04F0E"/>
    <w:rsid w:val="00C067FE"/>
    <w:rsid w:val="00C0791B"/>
    <w:rsid w:val="00C16087"/>
    <w:rsid w:val="00C200B5"/>
    <w:rsid w:val="00C30C36"/>
    <w:rsid w:val="00C31E62"/>
    <w:rsid w:val="00C33C4A"/>
    <w:rsid w:val="00C3555A"/>
    <w:rsid w:val="00C368D0"/>
    <w:rsid w:val="00C50CF6"/>
    <w:rsid w:val="00C50E08"/>
    <w:rsid w:val="00C51574"/>
    <w:rsid w:val="00C51865"/>
    <w:rsid w:val="00C51D8D"/>
    <w:rsid w:val="00C53798"/>
    <w:rsid w:val="00C55AF6"/>
    <w:rsid w:val="00C567B7"/>
    <w:rsid w:val="00C60173"/>
    <w:rsid w:val="00C64470"/>
    <w:rsid w:val="00C70928"/>
    <w:rsid w:val="00C71F88"/>
    <w:rsid w:val="00C72F66"/>
    <w:rsid w:val="00C83678"/>
    <w:rsid w:val="00C84F23"/>
    <w:rsid w:val="00C856B7"/>
    <w:rsid w:val="00C90D30"/>
    <w:rsid w:val="00C95AB5"/>
    <w:rsid w:val="00C95C64"/>
    <w:rsid w:val="00C969D2"/>
    <w:rsid w:val="00CA0089"/>
    <w:rsid w:val="00CA3486"/>
    <w:rsid w:val="00CA62E5"/>
    <w:rsid w:val="00CA737A"/>
    <w:rsid w:val="00CA74F0"/>
    <w:rsid w:val="00CB12C6"/>
    <w:rsid w:val="00CB2146"/>
    <w:rsid w:val="00CB373C"/>
    <w:rsid w:val="00CB7451"/>
    <w:rsid w:val="00CC4311"/>
    <w:rsid w:val="00CD6A58"/>
    <w:rsid w:val="00CE19D1"/>
    <w:rsid w:val="00CE31C9"/>
    <w:rsid w:val="00CE43D5"/>
    <w:rsid w:val="00CE4DD5"/>
    <w:rsid w:val="00CF3848"/>
    <w:rsid w:val="00CF4082"/>
    <w:rsid w:val="00CF5E7F"/>
    <w:rsid w:val="00CF7654"/>
    <w:rsid w:val="00D00337"/>
    <w:rsid w:val="00D069FA"/>
    <w:rsid w:val="00D1355C"/>
    <w:rsid w:val="00D15A54"/>
    <w:rsid w:val="00D16FCF"/>
    <w:rsid w:val="00D17CA9"/>
    <w:rsid w:val="00D2349B"/>
    <w:rsid w:val="00D2568C"/>
    <w:rsid w:val="00D27CC9"/>
    <w:rsid w:val="00D31040"/>
    <w:rsid w:val="00D4001C"/>
    <w:rsid w:val="00D50000"/>
    <w:rsid w:val="00D507F7"/>
    <w:rsid w:val="00D520F9"/>
    <w:rsid w:val="00D553C4"/>
    <w:rsid w:val="00D605D5"/>
    <w:rsid w:val="00D6061C"/>
    <w:rsid w:val="00D61614"/>
    <w:rsid w:val="00D66A26"/>
    <w:rsid w:val="00D70CF9"/>
    <w:rsid w:val="00D74817"/>
    <w:rsid w:val="00D763FB"/>
    <w:rsid w:val="00D769AD"/>
    <w:rsid w:val="00D76EEA"/>
    <w:rsid w:val="00D80FCC"/>
    <w:rsid w:val="00D85D1F"/>
    <w:rsid w:val="00D86624"/>
    <w:rsid w:val="00D86A02"/>
    <w:rsid w:val="00D87B05"/>
    <w:rsid w:val="00D92DB0"/>
    <w:rsid w:val="00D967DF"/>
    <w:rsid w:val="00D97765"/>
    <w:rsid w:val="00DA3DB8"/>
    <w:rsid w:val="00DA6E12"/>
    <w:rsid w:val="00DA7338"/>
    <w:rsid w:val="00DB4CD3"/>
    <w:rsid w:val="00DC068E"/>
    <w:rsid w:val="00DC0B49"/>
    <w:rsid w:val="00DC1968"/>
    <w:rsid w:val="00DC1D26"/>
    <w:rsid w:val="00DC249A"/>
    <w:rsid w:val="00DC2C6A"/>
    <w:rsid w:val="00DC39AE"/>
    <w:rsid w:val="00DC55E8"/>
    <w:rsid w:val="00DD0BA6"/>
    <w:rsid w:val="00DD18A3"/>
    <w:rsid w:val="00DD1E41"/>
    <w:rsid w:val="00DD45F0"/>
    <w:rsid w:val="00DD5DF7"/>
    <w:rsid w:val="00DD64DE"/>
    <w:rsid w:val="00DE23DB"/>
    <w:rsid w:val="00DF573E"/>
    <w:rsid w:val="00DF5741"/>
    <w:rsid w:val="00DF6EA7"/>
    <w:rsid w:val="00E03885"/>
    <w:rsid w:val="00E065A0"/>
    <w:rsid w:val="00E12C0D"/>
    <w:rsid w:val="00E218B1"/>
    <w:rsid w:val="00E339C8"/>
    <w:rsid w:val="00E42C08"/>
    <w:rsid w:val="00E43653"/>
    <w:rsid w:val="00E45A96"/>
    <w:rsid w:val="00E46794"/>
    <w:rsid w:val="00E50EAC"/>
    <w:rsid w:val="00E5215B"/>
    <w:rsid w:val="00E608D1"/>
    <w:rsid w:val="00E637E3"/>
    <w:rsid w:val="00E654FC"/>
    <w:rsid w:val="00E71152"/>
    <w:rsid w:val="00E765ED"/>
    <w:rsid w:val="00E84D0C"/>
    <w:rsid w:val="00E9147C"/>
    <w:rsid w:val="00E969DC"/>
    <w:rsid w:val="00EA3C83"/>
    <w:rsid w:val="00EA3F01"/>
    <w:rsid w:val="00EB5A61"/>
    <w:rsid w:val="00EC0566"/>
    <w:rsid w:val="00EC0B63"/>
    <w:rsid w:val="00EC0E0E"/>
    <w:rsid w:val="00EC1372"/>
    <w:rsid w:val="00EC274B"/>
    <w:rsid w:val="00EC7A98"/>
    <w:rsid w:val="00ED5E39"/>
    <w:rsid w:val="00EE1AD8"/>
    <w:rsid w:val="00EE1C21"/>
    <w:rsid w:val="00EE596C"/>
    <w:rsid w:val="00EE5D3A"/>
    <w:rsid w:val="00EE68C4"/>
    <w:rsid w:val="00EE6E15"/>
    <w:rsid w:val="00EE719E"/>
    <w:rsid w:val="00EF1A0C"/>
    <w:rsid w:val="00EF2742"/>
    <w:rsid w:val="00EF3D6F"/>
    <w:rsid w:val="00EF4CE7"/>
    <w:rsid w:val="00EF685F"/>
    <w:rsid w:val="00F0255E"/>
    <w:rsid w:val="00F04004"/>
    <w:rsid w:val="00F1469E"/>
    <w:rsid w:val="00F14ABC"/>
    <w:rsid w:val="00F14BCE"/>
    <w:rsid w:val="00F1665D"/>
    <w:rsid w:val="00F25B94"/>
    <w:rsid w:val="00F26CC5"/>
    <w:rsid w:val="00F324DB"/>
    <w:rsid w:val="00F359B0"/>
    <w:rsid w:val="00F35F19"/>
    <w:rsid w:val="00F40F5A"/>
    <w:rsid w:val="00F415DD"/>
    <w:rsid w:val="00F42FA3"/>
    <w:rsid w:val="00F52424"/>
    <w:rsid w:val="00F61662"/>
    <w:rsid w:val="00F63BC3"/>
    <w:rsid w:val="00F64AD2"/>
    <w:rsid w:val="00F66A80"/>
    <w:rsid w:val="00F675E7"/>
    <w:rsid w:val="00F67BCD"/>
    <w:rsid w:val="00F76152"/>
    <w:rsid w:val="00F76AD1"/>
    <w:rsid w:val="00F81789"/>
    <w:rsid w:val="00F8194F"/>
    <w:rsid w:val="00F837F4"/>
    <w:rsid w:val="00F8750A"/>
    <w:rsid w:val="00F93DF6"/>
    <w:rsid w:val="00FA6070"/>
    <w:rsid w:val="00FB00AD"/>
    <w:rsid w:val="00FB1A67"/>
    <w:rsid w:val="00FB4FE3"/>
    <w:rsid w:val="00FC036E"/>
    <w:rsid w:val="00FC13B9"/>
    <w:rsid w:val="00FC3378"/>
    <w:rsid w:val="00FC4648"/>
    <w:rsid w:val="00FE04B3"/>
    <w:rsid w:val="00FE384A"/>
    <w:rsid w:val="00FE5F6D"/>
    <w:rsid w:val="00FE7B0D"/>
    <w:rsid w:val="00FF0EA2"/>
    <w:rsid w:val="00FF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A767"/>
  <w15:docId w15:val="{EB4061E5-96B4-4649-BEE5-E074566F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331121"/>
    <w:pPr>
      <w:keepNext/>
      <w:jc w:val="center"/>
      <w:outlineLvl w:val="0"/>
    </w:pPr>
    <w:rPr>
      <w:b/>
    </w:rPr>
  </w:style>
  <w:style w:type="paragraph" w:styleId="Heading2">
    <w:name w:val="heading 2"/>
    <w:basedOn w:val="Normal"/>
    <w:next w:val="Normal"/>
    <w:uiPriority w:val="9"/>
    <w:unhideWhenUsed/>
    <w:qFormat/>
    <w:rsid w:val="00C50CF6"/>
    <w:pPr>
      <w:keepNext/>
      <w:contextualSpacing/>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ListParagraph">
    <w:name w:val="List Paragraph"/>
    <w:basedOn w:val="Normal"/>
    <w:uiPriority w:val="34"/>
    <w:qFormat/>
    <w:rsid w:val="00DD64DE"/>
    <w:pPr>
      <w:ind w:left="720"/>
      <w:contextualSpacing/>
    </w:pPr>
  </w:style>
  <w:style w:type="table" w:styleId="TableGrid">
    <w:name w:val="Table Grid"/>
    <w:basedOn w:val="TableNormal"/>
    <w:uiPriority w:val="39"/>
    <w:rsid w:val="000A4F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5F5"/>
    <w:rPr>
      <w:color w:val="0000FF" w:themeColor="hyperlink"/>
      <w:u w:val="single"/>
    </w:rPr>
  </w:style>
  <w:style w:type="character" w:styleId="UnresolvedMention">
    <w:name w:val="Unresolved Mention"/>
    <w:basedOn w:val="DefaultParagraphFont"/>
    <w:uiPriority w:val="99"/>
    <w:semiHidden/>
    <w:unhideWhenUsed/>
    <w:rsid w:val="002335F5"/>
    <w:rPr>
      <w:color w:val="605E5C"/>
      <w:shd w:val="clear" w:color="auto" w:fill="E1DFDD"/>
    </w:rPr>
  </w:style>
  <w:style w:type="paragraph" w:styleId="Caption">
    <w:name w:val="caption"/>
    <w:basedOn w:val="Normal"/>
    <w:next w:val="Normal"/>
    <w:uiPriority w:val="35"/>
    <w:unhideWhenUsed/>
    <w:qFormat/>
    <w:rsid w:val="00B73C3C"/>
    <w:pPr>
      <w:spacing w:after="200" w:line="240" w:lineRule="auto"/>
    </w:pPr>
    <w:rPr>
      <w:i/>
      <w:iCs/>
      <w:color w:val="1F497D" w:themeColor="text2"/>
      <w:sz w:val="18"/>
      <w:szCs w:val="18"/>
    </w:rPr>
  </w:style>
  <w:style w:type="paragraph" w:styleId="NormalWeb">
    <w:name w:val="Normal (Web)"/>
    <w:basedOn w:val="Normal"/>
    <w:uiPriority w:val="99"/>
    <w:semiHidden/>
    <w:unhideWhenUsed/>
    <w:rsid w:val="00EE719E"/>
  </w:style>
  <w:style w:type="paragraph" w:customStyle="1" w:styleId="DecimalAligned">
    <w:name w:val="Decimal Aligned"/>
    <w:basedOn w:val="Normal"/>
    <w:uiPriority w:val="40"/>
    <w:qFormat/>
    <w:rsid w:val="00D80FCC"/>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D80FCC"/>
    <w:pPr>
      <w:spacing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D80FCC"/>
    <w:rPr>
      <w:rFonts w:asciiTheme="minorHAnsi" w:eastAsiaTheme="minorEastAsia" w:hAnsiTheme="minorHAnsi"/>
      <w:sz w:val="20"/>
      <w:szCs w:val="20"/>
    </w:rPr>
  </w:style>
  <w:style w:type="character" w:styleId="SubtleEmphasis">
    <w:name w:val="Subtle Emphasis"/>
    <w:basedOn w:val="DefaultParagraphFont"/>
    <w:uiPriority w:val="19"/>
    <w:qFormat/>
    <w:rsid w:val="00D80FCC"/>
    <w:rPr>
      <w:i/>
      <w:iCs/>
    </w:rPr>
  </w:style>
  <w:style w:type="table" w:styleId="LightShading-Accent1">
    <w:name w:val="Light Shading Accent 1"/>
    <w:basedOn w:val="TableNormal"/>
    <w:uiPriority w:val="60"/>
    <w:rsid w:val="00D80FCC"/>
    <w:pPr>
      <w:spacing w:line="240" w:lineRule="auto"/>
    </w:pPr>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346889"/>
    <w:pPr>
      <w:spacing w:line="240" w:lineRule="auto"/>
    </w:pPr>
  </w:style>
  <w:style w:type="paragraph" w:styleId="Header">
    <w:name w:val="header"/>
    <w:basedOn w:val="Normal"/>
    <w:link w:val="HeaderChar"/>
    <w:uiPriority w:val="99"/>
    <w:unhideWhenUsed/>
    <w:rsid w:val="00313F75"/>
    <w:pPr>
      <w:tabs>
        <w:tab w:val="center" w:pos="4680"/>
        <w:tab w:val="right" w:pos="9360"/>
      </w:tabs>
      <w:spacing w:line="240" w:lineRule="auto"/>
    </w:pPr>
  </w:style>
  <w:style w:type="character" w:customStyle="1" w:styleId="HeaderChar">
    <w:name w:val="Header Char"/>
    <w:basedOn w:val="DefaultParagraphFont"/>
    <w:link w:val="Header"/>
    <w:uiPriority w:val="99"/>
    <w:rsid w:val="00313F75"/>
  </w:style>
  <w:style w:type="paragraph" w:styleId="Footer">
    <w:name w:val="footer"/>
    <w:basedOn w:val="Normal"/>
    <w:link w:val="FooterChar"/>
    <w:uiPriority w:val="99"/>
    <w:unhideWhenUsed/>
    <w:rsid w:val="00313F75"/>
    <w:pPr>
      <w:tabs>
        <w:tab w:val="center" w:pos="4680"/>
        <w:tab w:val="right" w:pos="9360"/>
      </w:tabs>
      <w:spacing w:line="240" w:lineRule="auto"/>
    </w:pPr>
  </w:style>
  <w:style w:type="character" w:customStyle="1" w:styleId="FooterChar">
    <w:name w:val="Footer Char"/>
    <w:basedOn w:val="DefaultParagraphFont"/>
    <w:link w:val="Footer"/>
    <w:uiPriority w:val="99"/>
    <w:rsid w:val="00313F75"/>
  </w:style>
  <w:style w:type="table" w:customStyle="1" w:styleId="TableGrid0">
    <w:name w:val="TableGrid"/>
    <w:rsid w:val="00CE19D1"/>
    <w:pPr>
      <w:spacing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character" w:customStyle="1" w:styleId="authors">
    <w:name w:val="authors"/>
    <w:basedOn w:val="DefaultParagraphFont"/>
    <w:rsid w:val="001F4819"/>
  </w:style>
  <w:style w:type="character" w:customStyle="1" w:styleId="year">
    <w:name w:val="year"/>
    <w:basedOn w:val="DefaultParagraphFont"/>
    <w:rsid w:val="001F4819"/>
  </w:style>
  <w:style w:type="character" w:customStyle="1" w:styleId="title0">
    <w:name w:val="title"/>
    <w:basedOn w:val="DefaultParagraphFont"/>
    <w:rsid w:val="001F4819"/>
  </w:style>
  <w:style w:type="character" w:styleId="Emphasis">
    <w:name w:val="Emphasis"/>
    <w:basedOn w:val="DefaultParagraphFont"/>
    <w:uiPriority w:val="20"/>
    <w:qFormat/>
    <w:rsid w:val="001F4819"/>
    <w:rPr>
      <w:i/>
      <w:iCs/>
    </w:rPr>
  </w:style>
  <w:style w:type="character" w:customStyle="1" w:styleId="edition">
    <w:name w:val="edition"/>
    <w:basedOn w:val="DefaultParagraphFont"/>
    <w:rsid w:val="001F4819"/>
  </w:style>
  <w:style w:type="character" w:customStyle="1" w:styleId="publishplace">
    <w:name w:val="publish_place"/>
    <w:basedOn w:val="DefaultParagraphFont"/>
    <w:rsid w:val="001F4819"/>
  </w:style>
  <w:style w:type="character" w:customStyle="1" w:styleId="publisher">
    <w:name w:val="publisher"/>
    <w:basedOn w:val="DefaultParagraphFont"/>
    <w:rsid w:val="001F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30628">
      <w:bodyDiv w:val="1"/>
      <w:marLeft w:val="0"/>
      <w:marRight w:val="0"/>
      <w:marTop w:val="0"/>
      <w:marBottom w:val="0"/>
      <w:divBdr>
        <w:top w:val="none" w:sz="0" w:space="0" w:color="auto"/>
        <w:left w:val="none" w:sz="0" w:space="0" w:color="auto"/>
        <w:bottom w:val="none" w:sz="0" w:space="0" w:color="auto"/>
        <w:right w:val="none" w:sz="0" w:space="0" w:color="auto"/>
      </w:divBdr>
    </w:div>
    <w:div w:id="568417500">
      <w:bodyDiv w:val="1"/>
      <w:marLeft w:val="0"/>
      <w:marRight w:val="0"/>
      <w:marTop w:val="0"/>
      <w:marBottom w:val="0"/>
      <w:divBdr>
        <w:top w:val="none" w:sz="0" w:space="0" w:color="auto"/>
        <w:left w:val="none" w:sz="0" w:space="0" w:color="auto"/>
        <w:bottom w:val="none" w:sz="0" w:space="0" w:color="auto"/>
        <w:right w:val="none" w:sz="0" w:space="0" w:color="auto"/>
      </w:divBdr>
      <w:divsChild>
        <w:div w:id="667515137">
          <w:marLeft w:val="0"/>
          <w:marRight w:val="0"/>
          <w:marTop w:val="0"/>
          <w:marBottom w:val="0"/>
          <w:divBdr>
            <w:top w:val="none" w:sz="0" w:space="0" w:color="auto"/>
            <w:left w:val="none" w:sz="0" w:space="0" w:color="auto"/>
            <w:bottom w:val="none" w:sz="0" w:space="0" w:color="auto"/>
            <w:right w:val="none" w:sz="0" w:space="0" w:color="auto"/>
          </w:divBdr>
          <w:divsChild>
            <w:div w:id="530728987">
              <w:marLeft w:val="0"/>
              <w:marRight w:val="0"/>
              <w:marTop w:val="0"/>
              <w:marBottom w:val="0"/>
              <w:divBdr>
                <w:top w:val="none" w:sz="0" w:space="0" w:color="auto"/>
                <w:left w:val="none" w:sz="0" w:space="0" w:color="auto"/>
                <w:bottom w:val="none" w:sz="0" w:space="0" w:color="auto"/>
                <w:right w:val="none" w:sz="0" w:space="0" w:color="auto"/>
              </w:divBdr>
              <w:divsChild>
                <w:div w:id="642004834">
                  <w:marLeft w:val="0"/>
                  <w:marRight w:val="0"/>
                  <w:marTop w:val="0"/>
                  <w:marBottom w:val="0"/>
                  <w:divBdr>
                    <w:top w:val="none" w:sz="0" w:space="0" w:color="auto"/>
                    <w:left w:val="none" w:sz="0" w:space="0" w:color="auto"/>
                    <w:bottom w:val="none" w:sz="0" w:space="0" w:color="auto"/>
                    <w:right w:val="none" w:sz="0" w:space="0" w:color="auto"/>
                  </w:divBdr>
                  <w:divsChild>
                    <w:div w:id="288901696">
                      <w:marLeft w:val="60"/>
                      <w:marRight w:val="0"/>
                      <w:marTop w:val="0"/>
                      <w:marBottom w:val="60"/>
                      <w:divBdr>
                        <w:top w:val="none" w:sz="0" w:space="0" w:color="auto"/>
                        <w:left w:val="none" w:sz="0" w:space="0" w:color="auto"/>
                        <w:bottom w:val="none" w:sz="0" w:space="0" w:color="auto"/>
                        <w:right w:val="none" w:sz="0" w:space="0" w:color="auto"/>
                      </w:divBdr>
                      <w:divsChild>
                        <w:div w:id="408236556">
                          <w:marLeft w:val="0"/>
                          <w:marRight w:val="0"/>
                          <w:marTop w:val="0"/>
                          <w:marBottom w:val="0"/>
                          <w:divBdr>
                            <w:top w:val="none" w:sz="0" w:space="0" w:color="auto"/>
                            <w:left w:val="none" w:sz="0" w:space="0" w:color="auto"/>
                            <w:bottom w:val="none" w:sz="0" w:space="0" w:color="auto"/>
                            <w:right w:val="none" w:sz="0" w:space="0" w:color="auto"/>
                          </w:divBdr>
                          <w:divsChild>
                            <w:div w:id="20836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1466">
                  <w:marLeft w:val="0"/>
                  <w:marRight w:val="0"/>
                  <w:marTop w:val="0"/>
                  <w:marBottom w:val="0"/>
                  <w:divBdr>
                    <w:top w:val="none" w:sz="0" w:space="0" w:color="auto"/>
                    <w:left w:val="none" w:sz="0" w:space="0" w:color="auto"/>
                    <w:bottom w:val="none" w:sz="0" w:space="0" w:color="auto"/>
                    <w:right w:val="none" w:sz="0" w:space="0" w:color="auto"/>
                  </w:divBdr>
                  <w:divsChild>
                    <w:div w:id="2014456582">
                      <w:marLeft w:val="0"/>
                      <w:marRight w:val="0"/>
                      <w:marTop w:val="0"/>
                      <w:marBottom w:val="0"/>
                      <w:divBdr>
                        <w:top w:val="none" w:sz="0" w:space="0" w:color="auto"/>
                        <w:left w:val="none" w:sz="0" w:space="0" w:color="auto"/>
                        <w:bottom w:val="none" w:sz="0" w:space="0" w:color="auto"/>
                        <w:right w:val="none" w:sz="0" w:space="0" w:color="auto"/>
                      </w:divBdr>
                      <w:divsChild>
                        <w:div w:id="1410421309">
                          <w:marLeft w:val="0"/>
                          <w:marRight w:val="0"/>
                          <w:marTop w:val="0"/>
                          <w:marBottom w:val="0"/>
                          <w:divBdr>
                            <w:top w:val="none" w:sz="0" w:space="0" w:color="auto"/>
                            <w:left w:val="none" w:sz="0" w:space="0" w:color="auto"/>
                            <w:bottom w:val="none" w:sz="0" w:space="0" w:color="auto"/>
                            <w:right w:val="none" w:sz="0" w:space="0" w:color="auto"/>
                          </w:divBdr>
                          <w:divsChild>
                            <w:div w:id="2022313256">
                              <w:marLeft w:val="0"/>
                              <w:marRight w:val="0"/>
                              <w:marTop w:val="0"/>
                              <w:marBottom w:val="0"/>
                              <w:divBdr>
                                <w:top w:val="none" w:sz="0" w:space="0" w:color="auto"/>
                                <w:left w:val="none" w:sz="0" w:space="0" w:color="auto"/>
                                <w:bottom w:val="none" w:sz="0" w:space="0" w:color="auto"/>
                                <w:right w:val="none" w:sz="0" w:space="0" w:color="auto"/>
                              </w:divBdr>
                              <w:divsChild>
                                <w:div w:id="10413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3091">
                          <w:marLeft w:val="0"/>
                          <w:marRight w:val="0"/>
                          <w:marTop w:val="0"/>
                          <w:marBottom w:val="0"/>
                          <w:divBdr>
                            <w:top w:val="none" w:sz="0" w:space="0" w:color="auto"/>
                            <w:left w:val="none" w:sz="0" w:space="0" w:color="auto"/>
                            <w:bottom w:val="none" w:sz="0" w:space="0" w:color="auto"/>
                            <w:right w:val="none" w:sz="0" w:space="0" w:color="auto"/>
                          </w:divBdr>
                          <w:divsChild>
                            <w:div w:id="463080745">
                              <w:marLeft w:val="0"/>
                              <w:marRight w:val="0"/>
                              <w:marTop w:val="0"/>
                              <w:marBottom w:val="0"/>
                              <w:divBdr>
                                <w:top w:val="none" w:sz="0" w:space="0" w:color="auto"/>
                                <w:left w:val="none" w:sz="0" w:space="0" w:color="auto"/>
                                <w:bottom w:val="none" w:sz="0" w:space="0" w:color="auto"/>
                                <w:right w:val="none" w:sz="0" w:space="0" w:color="auto"/>
                              </w:divBdr>
                            </w:div>
                          </w:divsChild>
                        </w:div>
                        <w:div w:id="466509370">
                          <w:marLeft w:val="0"/>
                          <w:marRight w:val="0"/>
                          <w:marTop w:val="0"/>
                          <w:marBottom w:val="0"/>
                          <w:divBdr>
                            <w:top w:val="none" w:sz="0" w:space="0" w:color="auto"/>
                            <w:left w:val="none" w:sz="0" w:space="0" w:color="auto"/>
                            <w:bottom w:val="none" w:sz="0" w:space="0" w:color="auto"/>
                            <w:right w:val="none" w:sz="0" w:space="0" w:color="auto"/>
                          </w:divBdr>
                          <w:divsChild>
                            <w:div w:id="570311749">
                              <w:marLeft w:val="0"/>
                              <w:marRight w:val="0"/>
                              <w:marTop w:val="0"/>
                              <w:marBottom w:val="0"/>
                              <w:divBdr>
                                <w:top w:val="none" w:sz="0" w:space="0" w:color="auto"/>
                                <w:left w:val="none" w:sz="0" w:space="0" w:color="auto"/>
                                <w:bottom w:val="none" w:sz="0" w:space="0" w:color="auto"/>
                                <w:right w:val="none" w:sz="0" w:space="0" w:color="auto"/>
                              </w:divBdr>
                            </w:div>
                          </w:divsChild>
                        </w:div>
                        <w:div w:id="2007900121">
                          <w:marLeft w:val="0"/>
                          <w:marRight w:val="0"/>
                          <w:marTop w:val="0"/>
                          <w:marBottom w:val="0"/>
                          <w:divBdr>
                            <w:top w:val="none" w:sz="0" w:space="0" w:color="auto"/>
                            <w:left w:val="none" w:sz="0" w:space="0" w:color="auto"/>
                            <w:bottom w:val="none" w:sz="0" w:space="0" w:color="auto"/>
                            <w:right w:val="none" w:sz="0" w:space="0" w:color="auto"/>
                          </w:divBdr>
                          <w:divsChild>
                            <w:div w:id="2014601623">
                              <w:marLeft w:val="0"/>
                              <w:marRight w:val="0"/>
                              <w:marTop w:val="0"/>
                              <w:marBottom w:val="0"/>
                              <w:divBdr>
                                <w:top w:val="none" w:sz="0" w:space="0" w:color="auto"/>
                                <w:left w:val="none" w:sz="0" w:space="0" w:color="auto"/>
                                <w:bottom w:val="none" w:sz="0" w:space="0" w:color="auto"/>
                                <w:right w:val="none" w:sz="0" w:space="0" w:color="auto"/>
                              </w:divBdr>
                            </w:div>
                          </w:divsChild>
                        </w:div>
                        <w:div w:id="1517695924">
                          <w:marLeft w:val="0"/>
                          <w:marRight w:val="0"/>
                          <w:marTop w:val="0"/>
                          <w:marBottom w:val="0"/>
                          <w:divBdr>
                            <w:top w:val="none" w:sz="0" w:space="0" w:color="auto"/>
                            <w:left w:val="none" w:sz="0" w:space="0" w:color="auto"/>
                            <w:bottom w:val="none" w:sz="0" w:space="0" w:color="auto"/>
                            <w:right w:val="none" w:sz="0" w:space="0" w:color="auto"/>
                          </w:divBdr>
                          <w:divsChild>
                            <w:div w:id="2105149549">
                              <w:marLeft w:val="0"/>
                              <w:marRight w:val="0"/>
                              <w:marTop w:val="0"/>
                              <w:marBottom w:val="0"/>
                              <w:divBdr>
                                <w:top w:val="none" w:sz="0" w:space="0" w:color="auto"/>
                                <w:left w:val="none" w:sz="0" w:space="0" w:color="auto"/>
                                <w:bottom w:val="none" w:sz="0" w:space="0" w:color="auto"/>
                                <w:right w:val="none" w:sz="0" w:space="0" w:color="auto"/>
                              </w:divBdr>
                              <w:divsChild>
                                <w:div w:id="12532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77334">
                          <w:marLeft w:val="0"/>
                          <w:marRight w:val="0"/>
                          <w:marTop w:val="0"/>
                          <w:marBottom w:val="0"/>
                          <w:divBdr>
                            <w:top w:val="none" w:sz="0" w:space="0" w:color="auto"/>
                            <w:left w:val="none" w:sz="0" w:space="0" w:color="auto"/>
                            <w:bottom w:val="none" w:sz="0" w:space="0" w:color="auto"/>
                            <w:right w:val="none" w:sz="0" w:space="0" w:color="auto"/>
                          </w:divBdr>
                          <w:divsChild>
                            <w:div w:id="293869930">
                              <w:marLeft w:val="0"/>
                              <w:marRight w:val="0"/>
                              <w:marTop w:val="0"/>
                              <w:marBottom w:val="0"/>
                              <w:divBdr>
                                <w:top w:val="none" w:sz="0" w:space="0" w:color="auto"/>
                                <w:left w:val="none" w:sz="0" w:space="0" w:color="auto"/>
                                <w:bottom w:val="none" w:sz="0" w:space="0" w:color="auto"/>
                                <w:right w:val="none" w:sz="0" w:space="0" w:color="auto"/>
                              </w:divBdr>
                            </w:div>
                          </w:divsChild>
                        </w:div>
                        <w:div w:id="1936666904">
                          <w:marLeft w:val="0"/>
                          <w:marRight w:val="0"/>
                          <w:marTop w:val="0"/>
                          <w:marBottom w:val="0"/>
                          <w:divBdr>
                            <w:top w:val="none" w:sz="0" w:space="0" w:color="auto"/>
                            <w:left w:val="none" w:sz="0" w:space="0" w:color="auto"/>
                            <w:bottom w:val="none" w:sz="0" w:space="0" w:color="auto"/>
                            <w:right w:val="none" w:sz="0" w:space="0" w:color="auto"/>
                          </w:divBdr>
                          <w:divsChild>
                            <w:div w:id="15038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7224">
              <w:marLeft w:val="720"/>
              <w:marRight w:val="0"/>
              <w:marTop w:val="0"/>
              <w:marBottom w:val="0"/>
              <w:divBdr>
                <w:top w:val="none" w:sz="0" w:space="0" w:color="auto"/>
                <w:left w:val="none" w:sz="0" w:space="0" w:color="auto"/>
                <w:bottom w:val="none" w:sz="0" w:space="0" w:color="auto"/>
                <w:right w:val="none" w:sz="0" w:space="0" w:color="auto"/>
              </w:divBdr>
              <w:divsChild>
                <w:div w:id="2046951959">
                  <w:marLeft w:val="0"/>
                  <w:marRight w:val="0"/>
                  <w:marTop w:val="0"/>
                  <w:marBottom w:val="0"/>
                  <w:divBdr>
                    <w:top w:val="none" w:sz="0" w:space="0" w:color="auto"/>
                    <w:left w:val="none" w:sz="0" w:space="0" w:color="auto"/>
                    <w:bottom w:val="none" w:sz="0" w:space="0" w:color="auto"/>
                    <w:right w:val="none" w:sz="0" w:space="0" w:color="auto"/>
                  </w:divBdr>
                  <w:divsChild>
                    <w:div w:id="1631285089">
                      <w:marLeft w:val="0"/>
                      <w:marRight w:val="0"/>
                      <w:marTop w:val="0"/>
                      <w:marBottom w:val="0"/>
                      <w:divBdr>
                        <w:top w:val="none" w:sz="0" w:space="0" w:color="auto"/>
                        <w:left w:val="none" w:sz="0" w:space="0" w:color="auto"/>
                        <w:bottom w:val="none" w:sz="0" w:space="0" w:color="auto"/>
                        <w:right w:val="none" w:sz="0" w:space="0" w:color="auto"/>
                      </w:divBdr>
                      <w:divsChild>
                        <w:div w:id="1021395313">
                          <w:marLeft w:val="0"/>
                          <w:marRight w:val="0"/>
                          <w:marTop w:val="0"/>
                          <w:marBottom w:val="0"/>
                          <w:divBdr>
                            <w:top w:val="none" w:sz="0" w:space="0" w:color="auto"/>
                            <w:left w:val="none" w:sz="0" w:space="0" w:color="auto"/>
                            <w:bottom w:val="none" w:sz="0" w:space="0" w:color="auto"/>
                            <w:right w:val="none" w:sz="0" w:space="0" w:color="auto"/>
                          </w:divBdr>
                          <w:divsChild>
                            <w:div w:id="541752550">
                              <w:marLeft w:val="0"/>
                              <w:marRight w:val="0"/>
                              <w:marTop w:val="0"/>
                              <w:marBottom w:val="0"/>
                              <w:divBdr>
                                <w:top w:val="none" w:sz="0" w:space="0" w:color="auto"/>
                                <w:left w:val="none" w:sz="0" w:space="0" w:color="auto"/>
                                <w:bottom w:val="none" w:sz="0" w:space="0" w:color="auto"/>
                                <w:right w:val="none" w:sz="0" w:space="0" w:color="auto"/>
                              </w:divBdr>
                              <w:divsChild>
                                <w:div w:id="10768249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41247910">
                          <w:marLeft w:val="0"/>
                          <w:marRight w:val="0"/>
                          <w:marTop w:val="0"/>
                          <w:marBottom w:val="0"/>
                          <w:divBdr>
                            <w:top w:val="none" w:sz="0" w:space="0" w:color="auto"/>
                            <w:left w:val="none" w:sz="0" w:space="0" w:color="auto"/>
                            <w:bottom w:val="none" w:sz="0" w:space="0" w:color="auto"/>
                            <w:right w:val="none" w:sz="0" w:space="0" w:color="auto"/>
                          </w:divBdr>
                          <w:divsChild>
                            <w:div w:id="1289966891">
                              <w:marLeft w:val="0"/>
                              <w:marRight w:val="0"/>
                              <w:marTop w:val="0"/>
                              <w:marBottom w:val="0"/>
                              <w:divBdr>
                                <w:top w:val="none" w:sz="0" w:space="0" w:color="auto"/>
                                <w:left w:val="none" w:sz="0" w:space="0" w:color="auto"/>
                                <w:bottom w:val="none" w:sz="0" w:space="0" w:color="auto"/>
                                <w:right w:val="none" w:sz="0" w:space="0" w:color="auto"/>
                              </w:divBdr>
                              <w:divsChild>
                                <w:div w:id="3924311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7823393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58072129">
          <w:marLeft w:val="0"/>
          <w:marRight w:val="0"/>
          <w:marTop w:val="0"/>
          <w:marBottom w:val="0"/>
          <w:divBdr>
            <w:top w:val="none" w:sz="0" w:space="0" w:color="auto"/>
            <w:left w:val="none" w:sz="0" w:space="0" w:color="auto"/>
            <w:bottom w:val="none" w:sz="0" w:space="0" w:color="auto"/>
            <w:right w:val="none" w:sz="0" w:space="0" w:color="auto"/>
          </w:divBdr>
          <w:divsChild>
            <w:div w:id="2091610485">
              <w:marLeft w:val="780"/>
              <w:marRight w:val="240"/>
              <w:marTop w:val="180"/>
              <w:marBottom w:val="0"/>
              <w:divBdr>
                <w:top w:val="none" w:sz="0" w:space="0" w:color="auto"/>
                <w:left w:val="none" w:sz="0" w:space="0" w:color="auto"/>
                <w:bottom w:val="none" w:sz="0" w:space="0" w:color="auto"/>
                <w:right w:val="none" w:sz="0" w:space="0" w:color="auto"/>
              </w:divBdr>
              <w:divsChild>
                <w:div w:id="783043315">
                  <w:marLeft w:val="0"/>
                  <w:marRight w:val="0"/>
                  <w:marTop w:val="0"/>
                  <w:marBottom w:val="0"/>
                  <w:divBdr>
                    <w:top w:val="none" w:sz="0" w:space="0" w:color="auto"/>
                    <w:left w:val="none" w:sz="0" w:space="0" w:color="auto"/>
                    <w:bottom w:val="none" w:sz="0" w:space="0" w:color="auto"/>
                    <w:right w:val="none" w:sz="0" w:space="0" w:color="auto"/>
                  </w:divBdr>
                  <w:divsChild>
                    <w:div w:id="196622464">
                      <w:marLeft w:val="0"/>
                      <w:marRight w:val="0"/>
                      <w:marTop w:val="0"/>
                      <w:marBottom w:val="0"/>
                      <w:divBdr>
                        <w:top w:val="none" w:sz="0" w:space="0" w:color="auto"/>
                        <w:left w:val="none" w:sz="0" w:space="0" w:color="auto"/>
                        <w:bottom w:val="none" w:sz="0" w:space="0" w:color="auto"/>
                        <w:right w:val="none" w:sz="0" w:space="0" w:color="auto"/>
                      </w:divBdr>
                      <w:divsChild>
                        <w:div w:id="13613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248545">
      <w:bodyDiv w:val="1"/>
      <w:marLeft w:val="0"/>
      <w:marRight w:val="0"/>
      <w:marTop w:val="0"/>
      <w:marBottom w:val="0"/>
      <w:divBdr>
        <w:top w:val="none" w:sz="0" w:space="0" w:color="auto"/>
        <w:left w:val="none" w:sz="0" w:space="0" w:color="auto"/>
        <w:bottom w:val="none" w:sz="0" w:space="0" w:color="auto"/>
        <w:right w:val="none" w:sz="0" w:space="0" w:color="auto"/>
      </w:divBdr>
      <w:divsChild>
        <w:div w:id="1634170502">
          <w:marLeft w:val="0"/>
          <w:marRight w:val="0"/>
          <w:marTop w:val="0"/>
          <w:marBottom w:val="0"/>
          <w:divBdr>
            <w:top w:val="none" w:sz="0" w:space="0" w:color="auto"/>
            <w:left w:val="none" w:sz="0" w:space="0" w:color="auto"/>
            <w:bottom w:val="none" w:sz="0" w:space="0" w:color="auto"/>
            <w:right w:val="none" w:sz="0" w:space="0" w:color="auto"/>
          </w:divBdr>
          <w:divsChild>
            <w:div w:id="2140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3564">
      <w:bodyDiv w:val="1"/>
      <w:marLeft w:val="0"/>
      <w:marRight w:val="0"/>
      <w:marTop w:val="0"/>
      <w:marBottom w:val="0"/>
      <w:divBdr>
        <w:top w:val="none" w:sz="0" w:space="0" w:color="auto"/>
        <w:left w:val="none" w:sz="0" w:space="0" w:color="auto"/>
        <w:bottom w:val="none" w:sz="0" w:space="0" w:color="auto"/>
        <w:right w:val="none" w:sz="0" w:space="0" w:color="auto"/>
      </w:divBdr>
      <w:divsChild>
        <w:div w:id="1086028526">
          <w:marLeft w:val="0"/>
          <w:marRight w:val="0"/>
          <w:marTop w:val="0"/>
          <w:marBottom w:val="0"/>
          <w:divBdr>
            <w:top w:val="none" w:sz="0" w:space="0" w:color="auto"/>
            <w:left w:val="none" w:sz="0" w:space="0" w:color="auto"/>
            <w:bottom w:val="none" w:sz="0" w:space="0" w:color="auto"/>
            <w:right w:val="none" w:sz="0" w:space="0" w:color="auto"/>
          </w:divBdr>
          <w:divsChild>
            <w:div w:id="17529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4958">
      <w:bodyDiv w:val="1"/>
      <w:marLeft w:val="0"/>
      <w:marRight w:val="0"/>
      <w:marTop w:val="0"/>
      <w:marBottom w:val="0"/>
      <w:divBdr>
        <w:top w:val="none" w:sz="0" w:space="0" w:color="auto"/>
        <w:left w:val="none" w:sz="0" w:space="0" w:color="auto"/>
        <w:bottom w:val="none" w:sz="0" w:space="0" w:color="auto"/>
        <w:right w:val="none" w:sz="0" w:space="0" w:color="auto"/>
      </w:divBdr>
    </w:div>
    <w:div w:id="832720519">
      <w:bodyDiv w:val="1"/>
      <w:marLeft w:val="0"/>
      <w:marRight w:val="0"/>
      <w:marTop w:val="0"/>
      <w:marBottom w:val="0"/>
      <w:divBdr>
        <w:top w:val="none" w:sz="0" w:space="0" w:color="auto"/>
        <w:left w:val="none" w:sz="0" w:space="0" w:color="auto"/>
        <w:bottom w:val="none" w:sz="0" w:space="0" w:color="auto"/>
        <w:right w:val="none" w:sz="0" w:space="0" w:color="auto"/>
      </w:divBdr>
      <w:divsChild>
        <w:div w:id="1483041374">
          <w:marLeft w:val="0"/>
          <w:marRight w:val="0"/>
          <w:marTop w:val="0"/>
          <w:marBottom w:val="0"/>
          <w:divBdr>
            <w:top w:val="none" w:sz="0" w:space="0" w:color="auto"/>
            <w:left w:val="none" w:sz="0" w:space="0" w:color="auto"/>
            <w:bottom w:val="none" w:sz="0" w:space="0" w:color="auto"/>
            <w:right w:val="none" w:sz="0" w:space="0" w:color="auto"/>
          </w:divBdr>
          <w:divsChild>
            <w:div w:id="12863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1169">
      <w:bodyDiv w:val="1"/>
      <w:marLeft w:val="0"/>
      <w:marRight w:val="0"/>
      <w:marTop w:val="0"/>
      <w:marBottom w:val="0"/>
      <w:divBdr>
        <w:top w:val="none" w:sz="0" w:space="0" w:color="auto"/>
        <w:left w:val="none" w:sz="0" w:space="0" w:color="auto"/>
        <w:bottom w:val="none" w:sz="0" w:space="0" w:color="auto"/>
        <w:right w:val="none" w:sz="0" w:space="0" w:color="auto"/>
      </w:divBdr>
    </w:div>
    <w:div w:id="1800416295">
      <w:bodyDiv w:val="1"/>
      <w:marLeft w:val="0"/>
      <w:marRight w:val="0"/>
      <w:marTop w:val="0"/>
      <w:marBottom w:val="0"/>
      <w:divBdr>
        <w:top w:val="none" w:sz="0" w:space="0" w:color="auto"/>
        <w:left w:val="none" w:sz="0" w:space="0" w:color="auto"/>
        <w:bottom w:val="none" w:sz="0" w:space="0" w:color="auto"/>
        <w:right w:val="none" w:sz="0" w:space="0" w:color="auto"/>
      </w:divBdr>
      <w:divsChild>
        <w:div w:id="178937692">
          <w:marLeft w:val="0"/>
          <w:marRight w:val="0"/>
          <w:marTop w:val="0"/>
          <w:marBottom w:val="0"/>
          <w:divBdr>
            <w:top w:val="none" w:sz="0" w:space="0" w:color="auto"/>
            <w:left w:val="none" w:sz="0" w:space="0" w:color="auto"/>
            <w:bottom w:val="none" w:sz="0" w:space="0" w:color="auto"/>
            <w:right w:val="none" w:sz="0" w:space="0" w:color="auto"/>
          </w:divBdr>
          <w:divsChild>
            <w:div w:id="2968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92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sycnet.apa.org/doi/10.1037/h0046016" TargetMode="External"/><Relationship Id="rId18" Type="http://schemas.openxmlformats.org/officeDocument/2006/relationships/hyperlink" Target="https://doi.org/10.1177/0145482X1510900311" TargetMode="External"/><Relationship Id="rId26" Type="http://schemas.openxmlformats.org/officeDocument/2006/relationships/hyperlink" Target="https://doi.org/10.1016/j.jpsychires.2008.03.007" TargetMode="External"/><Relationship Id="rId21" Type="http://schemas.openxmlformats.org/officeDocument/2006/relationships/hyperlink" Target="https://doi.org/10.3390/jcm14062097"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doi.org/10.3390/su12031002" TargetMode="External"/><Relationship Id="rId17" Type="http://schemas.openxmlformats.org/officeDocument/2006/relationships/hyperlink" Target="http://www.cd-risc.com" TargetMode="External"/><Relationship Id="rId25" Type="http://schemas.openxmlformats.org/officeDocument/2006/relationships/hyperlink" Target="https://statistics.laerd.com/" TargetMode="External"/><Relationship Id="rId33" Type="http://schemas.openxmlformats.org/officeDocument/2006/relationships/hyperlink" Target="https://doi.org/10.1186/1477-7525-9-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7748/nr.2016.e1382" TargetMode="External"/><Relationship Id="rId20" Type="http://schemas.openxmlformats.org/officeDocument/2006/relationships/hyperlink" Target="https://doi.org/10.1016/j.psychsport.2011.02.005" TargetMode="External"/><Relationship Id="rId29" Type="http://schemas.openxmlformats.org/officeDocument/2006/relationships/hyperlink" Target="https://doi.org/10.1891/1061-3749.24.1.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ocn.12343" TargetMode="External"/><Relationship Id="rId24" Type="http://schemas.openxmlformats.org/officeDocument/2006/relationships/hyperlink" Target="https://doi.org/10.3352/jeehp.2021.18.17" TargetMode="External"/><Relationship Id="rId32" Type="http://schemas.openxmlformats.org/officeDocument/2006/relationships/hyperlink" Target="https://doi.org/10.1007/s10551-019-04196-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2/da.10113" TargetMode="External"/><Relationship Id="rId23" Type="http://schemas.openxmlformats.org/officeDocument/2006/relationships/hyperlink" Target="https://doi.org/10.5897/ERR2014.1763" TargetMode="External"/><Relationship Id="rId28" Type="http://schemas.openxmlformats.org/officeDocument/2006/relationships/hyperlink" Target="https://doi.org/10.1177/0267659114559116" TargetMode="External"/><Relationship Id="rId36" Type="http://schemas.openxmlformats.org/officeDocument/2006/relationships/header" Target="header1.xml"/><Relationship Id="rId10" Type="http://schemas.openxmlformats.org/officeDocument/2006/relationships/hyperlink" Target="https://doi.org/10.4103/2229-3485.192046" TargetMode="External"/><Relationship Id="rId19" Type="http://schemas.openxmlformats.org/officeDocument/2006/relationships/hyperlink" Target="https://doi.org/10.1007/s11367-016-1099-4" TargetMode="External"/><Relationship Id="rId31" Type="http://schemas.openxmlformats.org/officeDocument/2006/relationships/hyperlink" Target="https://doi.org/10.1007/s10459-010-9222-y" TargetMode="External"/><Relationship Id="rId4" Type="http://schemas.openxmlformats.org/officeDocument/2006/relationships/settings" Target="settings.xml"/><Relationship Id="rId9" Type="http://schemas.openxmlformats.org/officeDocument/2006/relationships/hyperlink" Target="http://www2.psy.unsw.edu.au/dass/" TargetMode="External"/><Relationship Id="rId14" Type="http://schemas.openxmlformats.org/officeDocument/2006/relationships/hyperlink" Target="https://doi.org/10.2307/2136404" TargetMode="External"/><Relationship Id="rId22" Type="http://schemas.openxmlformats.org/officeDocument/2006/relationships/hyperlink" Target="https://doi.org/10.1017/SJP.2021.46" TargetMode="External"/><Relationship Id="rId27" Type="http://schemas.openxmlformats.org/officeDocument/2006/relationships/hyperlink" Target="https://doi.org/10.3389/fpsyt.2021.770532" TargetMode="External"/><Relationship Id="rId30" Type="http://schemas.openxmlformats.org/officeDocument/2006/relationships/hyperlink" Target="https://doi.org/10.1007/s11136-015-1072-x" TargetMode="External"/><Relationship Id="rId35" Type="http://schemas.openxmlformats.org/officeDocument/2006/relationships/image" Target="media/image2.png"/><Relationship Id="rId8" Type="http://schemas.openxmlformats.org/officeDocument/2006/relationships/hyperlink" Target="http://www.psy.unsw.edu.au/das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054F-A88E-40E5-A484-D72B2465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4977</TotalTime>
  <Pages>37</Pages>
  <Words>8561</Words>
  <Characters>48802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ntirich</dc:creator>
  <cp:lastModifiedBy>Richard Nti (VIKO)</cp:lastModifiedBy>
  <cp:revision>30</cp:revision>
  <cp:lastPrinted>2025-04-18T18:05:00Z</cp:lastPrinted>
  <dcterms:created xsi:type="dcterms:W3CDTF">2025-03-29T21:25:00Z</dcterms:created>
  <dcterms:modified xsi:type="dcterms:W3CDTF">2025-04-20T03:36:00Z</dcterms:modified>
</cp:coreProperties>
</file>