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B2F84" w14:textId="77777777" w:rsidR="00D56F4E" w:rsidRDefault="00D56F4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35CA8570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356DF327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5615F45C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234C5B6B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435BE439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374F3C12" w14:textId="08BFAB62" w:rsidR="00D56F4E" w:rsidRPr="002E150C" w:rsidRDefault="004E45B9">
      <w:pPr>
        <w:spacing w:line="240" w:lineRule="auto"/>
        <w:ind w:firstLine="0"/>
        <w:jc w:val="center"/>
      </w:pPr>
      <w:r w:rsidRPr="002E150C">
        <w:t>Contextualization for Social Change</w:t>
      </w:r>
    </w:p>
    <w:p w14:paraId="75C03E73" w14:textId="77777777" w:rsidR="00D56F4E" w:rsidRPr="002E150C" w:rsidRDefault="00D56F4E">
      <w:pPr>
        <w:spacing w:line="240" w:lineRule="auto"/>
        <w:ind w:firstLine="0"/>
        <w:jc w:val="center"/>
      </w:pPr>
    </w:p>
    <w:p w14:paraId="6B28BFA8" w14:textId="77777777" w:rsidR="00D56F4E" w:rsidRPr="002E150C" w:rsidRDefault="00E61DC5">
      <w:pPr>
        <w:spacing w:line="240" w:lineRule="auto"/>
        <w:ind w:firstLine="0"/>
        <w:jc w:val="center"/>
      </w:pPr>
      <w:r w:rsidRPr="002E150C">
        <w:t>David D. Reedy</w:t>
      </w:r>
    </w:p>
    <w:p w14:paraId="154D6FDE" w14:textId="77777777" w:rsidR="00D56F4E" w:rsidRPr="002E150C" w:rsidRDefault="00D56F4E">
      <w:pPr>
        <w:spacing w:line="240" w:lineRule="auto"/>
        <w:ind w:firstLine="0"/>
        <w:jc w:val="center"/>
      </w:pPr>
    </w:p>
    <w:p w14:paraId="56C95769" w14:textId="77777777" w:rsidR="00D56F4E" w:rsidRPr="002E150C" w:rsidRDefault="00514C1A">
      <w:pPr>
        <w:spacing w:line="240" w:lineRule="auto"/>
        <w:ind w:firstLine="0"/>
        <w:jc w:val="center"/>
      </w:pPr>
      <w:r w:rsidRPr="002E150C">
        <w:t>Omega Graduate School</w:t>
      </w:r>
    </w:p>
    <w:p w14:paraId="052B4717" w14:textId="77777777" w:rsidR="00D56F4E" w:rsidRPr="002E150C" w:rsidRDefault="00D56F4E">
      <w:pPr>
        <w:spacing w:line="240" w:lineRule="auto"/>
        <w:ind w:firstLine="0"/>
        <w:jc w:val="center"/>
      </w:pPr>
    </w:p>
    <w:p w14:paraId="6852FF11" w14:textId="61EA3D05" w:rsidR="00D56F4E" w:rsidRPr="002E150C" w:rsidRDefault="004E45B9">
      <w:pPr>
        <w:spacing w:line="240" w:lineRule="auto"/>
        <w:ind w:firstLine="0"/>
        <w:jc w:val="center"/>
      </w:pPr>
      <w:r w:rsidRPr="002E150C">
        <w:t>11/27/2024</w:t>
      </w:r>
    </w:p>
    <w:p w14:paraId="5310147A" w14:textId="77777777" w:rsidR="00D56F4E" w:rsidRPr="002E150C" w:rsidRDefault="00D56F4E">
      <w:pPr>
        <w:spacing w:line="240" w:lineRule="auto"/>
        <w:ind w:firstLine="0"/>
        <w:jc w:val="center"/>
      </w:pPr>
    </w:p>
    <w:p w14:paraId="2AEE7C57" w14:textId="77777777" w:rsidR="00D56F4E" w:rsidRPr="002E150C" w:rsidRDefault="00D56F4E">
      <w:pPr>
        <w:spacing w:line="240" w:lineRule="auto"/>
        <w:ind w:firstLine="0"/>
        <w:jc w:val="center"/>
      </w:pPr>
    </w:p>
    <w:p w14:paraId="1A24DE4A" w14:textId="77777777" w:rsidR="00D56F4E" w:rsidRPr="002E150C" w:rsidRDefault="00D56F4E">
      <w:pPr>
        <w:spacing w:line="240" w:lineRule="auto"/>
        <w:ind w:firstLine="0"/>
        <w:jc w:val="center"/>
      </w:pPr>
    </w:p>
    <w:p w14:paraId="137077B4" w14:textId="77777777" w:rsidR="00D56F4E" w:rsidRPr="002E150C" w:rsidRDefault="00D56F4E">
      <w:pPr>
        <w:spacing w:line="240" w:lineRule="auto"/>
        <w:ind w:firstLine="0"/>
        <w:jc w:val="center"/>
      </w:pPr>
    </w:p>
    <w:p w14:paraId="5CACFE6B" w14:textId="77777777" w:rsidR="00D56F4E" w:rsidRPr="002E150C" w:rsidRDefault="00D56F4E">
      <w:pPr>
        <w:spacing w:line="240" w:lineRule="auto"/>
        <w:ind w:firstLine="0"/>
        <w:jc w:val="center"/>
      </w:pPr>
    </w:p>
    <w:p w14:paraId="73A93A64" w14:textId="77777777" w:rsidR="00D56F4E" w:rsidRPr="002E150C" w:rsidRDefault="00514C1A">
      <w:pPr>
        <w:spacing w:line="240" w:lineRule="auto"/>
        <w:ind w:firstLine="0"/>
        <w:jc w:val="center"/>
      </w:pPr>
      <w:r w:rsidRPr="002E150C">
        <w:t>Professor</w:t>
      </w:r>
    </w:p>
    <w:p w14:paraId="3E320145" w14:textId="77777777" w:rsidR="00D56F4E" w:rsidRPr="002E150C" w:rsidRDefault="00D56F4E">
      <w:pPr>
        <w:spacing w:line="240" w:lineRule="auto"/>
        <w:ind w:firstLine="0"/>
        <w:jc w:val="center"/>
      </w:pPr>
    </w:p>
    <w:p w14:paraId="1F67801F" w14:textId="77777777" w:rsidR="00D56F4E" w:rsidRPr="002E150C" w:rsidRDefault="00D56F4E">
      <w:pPr>
        <w:spacing w:line="240" w:lineRule="auto"/>
        <w:ind w:firstLine="0"/>
        <w:jc w:val="center"/>
      </w:pPr>
    </w:p>
    <w:p w14:paraId="60AAE6BF" w14:textId="45DC3342" w:rsidR="00D56F4E" w:rsidRPr="002E150C" w:rsidRDefault="004E45B9">
      <w:pPr>
        <w:spacing w:line="240" w:lineRule="auto"/>
        <w:ind w:firstLine="0"/>
        <w:jc w:val="center"/>
      </w:pPr>
      <w:r w:rsidRPr="002E150C">
        <w:t>David Moser, MLitt.</w:t>
      </w:r>
    </w:p>
    <w:p w14:paraId="4A138297" w14:textId="14256BF6" w:rsidR="004E45B9" w:rsidRPr="002E150C" w:rsidRDefault="004E45B9">
      <w:pPr>
        <w:spacing w:line="240" w:lineRule="auto"/>
        <w:ind w:firstLine="0"/>
        <w:jc w:val="center"/>
      </w:pPr>
      <w:r w:rsidRPr="002E150C">
        <w:t>David Ward, Ph.D., Th.M.</w:t>
      </w:r>
    </w:p>
    <w:p w14:paraId="17632427" w14:textId="77777777" w:rsidR="00D56F4E" w:rsidRPr="002E150C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516E9BD2" w14:textId="77777777" w:rsidR="00D56F4E" w:rsidRPr="002E150C" w:rsidRDefault="00514C1A">
      <w:pPr>
        <w:tabs>
          <w:tab w:val="right" w:pos="8640"/>
          <w:tab w:val="right" w:pos="8640"/>
        </w:tabs>
        <w:spacing w:line="240" w:lineRule="auto"/>
        <w:ind w:firstLine="0"/>
      </w:pPr>
      <w:r w:rsidRPr="002E150C">
        <w:br w:type="page"/>
      </w:r>
    </w:p>
    <w:p w14:paraId="1B5CB536" w14:textId="77777777" w:rsidR="00D56F4E" w:rsidRPr="002E150C" w:rsidRDefault="00D56F4E">
      <w:pPr>
        <w:tabs>
          <w:tab w:val="right" w:pos="8640"/>
          <w:tab w:val="right" w:pos="8640"/>
        </w:tabs>
      </w:pPr>
    </w:p>
    <w:p w14:paraId="62B5B317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Assignment #3 – Essay</w:t>
      </w:r>
    </w:p>
    <w:p w14:paraId="6FA46314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1. Write a 5-page paper using the outline below. Review the Examples of Contextualization</w:t>
      </w:r>
    </w:p>
    <w:p w14:paraId="1079DB6C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provided in the PHI 923 Course Resources located in DIAL. Provide responses to the</w:t>
      </w:r>
    </w:p>
    <w:p w14:paraId="2DE37A1A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following based on your selected cultural issue or phenomenon:</w:t>
      </w:r>
    </w:p>
    <w:p w14:paraId="0AD0164F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a. Present Situation of Social Concern – describe the situation requiring a</w:t>
      </w:r>
    </w:p>
    <w:p w14:paraId="6BF48686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contextualized Christian response to a cultural situation or phenomenon.</w:t>
      </w:r>
    </w:p>
    <w:p w14:paraId="1ED9BADE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b. Social Analysis: (Family, Church, Society) – Using the Five Spheres of Life,</w:t>
      </w:r>
    </w:p>
    <w:p w14:paraId="21E2979D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develop a cultural analysis to comprehensively describe aspects of the situation</w:t>
      </w:r>
    </w:p>
    <w:p w14:paraId="0CDF2806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or phenomenon.</w:t>
      </w:r>
    </w:p>
    <w:p w14:paraId="680F1451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c. Theological/Moral Evaluation – Identify Biblical areas or Kingdom principles</w:t>
      </w:r>
    </w:p>
    <w:p w14:paraId="258B52BA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relevant to the issue.</w:t>
      </w:r>
    </w:p>
    <w:p w14:paraId="6CF1613D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d. Issues to Address – Identify underlying/related issues that need to be</w:t>
      </w:r>
    </w:p>
    <w:p w14:paraId="032C5FCB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addressed in the contextualization strategy.</w:t>
      </w:r>
    </w:p>
    <w:p w14:paraId="5863A152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e. Spectrum of Critical Contextualization (address only relevant ones)</w:t>
      </w:r>
    </w:p>
    <w:p w14:paraId="0130B7F0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i. Condemnation – includes issues condemned by Scripture (i.e., erroneous</w:t>
      </w:r>
    </w:p>
    <w:p w14:paraId="450D20F1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doctrine, idolatry, or syncretism)</w:t>
      </w:r>
    </w:p>
    <w:p w14:paraId="23B5A495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ii. Correction of Erroneous Emphases – cultural beliefs/practices containing</w:t>
      </w:r>
    </w:p>
    <w:p w14:paraId="0A779DB5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true insights but are diluted with wrong focus.</w:t>
      </w:r>
    </w:p>
    <w:p w14:paraId="29E9D75C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iii. Conversion of Themes – beliefs/practices with no significant negative</w:t>
      </w:r>
    </w:p>
    <w:p w14:paraId="0AF7BD84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influence but can be used to point to Christ.</w:t>
      </w:r>
    </w:p>
    <w:p w14:paraId="5D2E234E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iv. Commendation of Good Belief and/or Practices – beliefs/practices in</w:t>
      </w:r>
    </w:p>
    <w:p w14:paraId="4E0D4392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lastRenderedPageBreak/>
        <w:t>culture that are completely consistent with Scripture but exist without</w:t>
      </w:r>
    </w:p>
    <w:p w14:paraId="6DE628E1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religious warrant are to be commended.</w:t>
      </w:r>
    </w:p>
    <w:p w14:paraId="31BB2EB5" w14:textId="77777777" w:rsidR="004E45B9" w:rsidRPr="002E150C" w:rsidRDefault="004E45B9" w:rsidP="004E45B9">
      <w:pPr>
        <w:tabs>
          <w:tab w:val="right" w:pos="8640"/>
          <w:tab w:val="right" w:pos="8640"/>
        </w:tabs>
      </w:pPr>
    </w:p>
    <w:p w14:paraId="74FBB00A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f. Strategy for Contextualized Communication - develop a strategy by thinking</w:t>
      </w:r>
    </w:p>
    <w:p w14:paraId="769D6B1D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through all the practical considerations below.</w:t>
      </w:r>
    </w:p>
    <w:p w14:paraId="10231E91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i. Stakeholders - Identify the people or groups who have a stake in the</w:t>
      </w:r>
    </w:p>
    <w:p w14:paraId="2E584ADD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phenomenon or issue.</w:t>
      </w:r>
    </w:p>
    <w:p w14:paraId="0C3CBDE1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ii. Venues of Communication - These could be written or spoken, could</w:t>
      </w:r>
    </w:p>
    <w:p w14:paraId="114D200E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involve media, or social or organizational networks.</w:t>
      </w:r>
    </w:p>
    <w:p w14:paraId="56D37F38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iii. Resources - Identify available and needed resources.</w:t>
      </w:r>
    </w:p>
    <w:p w14:paraId="0AC461C9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iv. Timelines - Begin to think through the timeline or logistical issues</w:t>
      </w:r>
    </w:p>
    <w:p w14:paraId="2AE818B7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involved in implementing a contextualization strategy.</w:t>
      </w:r>
    </w:p>
    <w:p w14:paraId="2508DCE7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v. Obstacles to Anticipate - Anticipating obstacles can add practical aspects</w:t>
      </w:r>
    </w:p>
    <w:p w14:paraId="600F5B23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to a strategy that can help it to succeed.</w:t>
      </w:r>
    </w:p>
    <w:p w14:paraId="48284A05" w14:textId="77777777" w:rsidR="004E45B9" w:rsidRPr="002E150C" w:rsidRDefault="004E45B9" w:rsidP="004E45B9">
      <w:pPr>
        <w:tabs>
          <w:tab w:val="right" w:pos="8640"/>
          <w:tab w:val="right" w:pos="8640"/>
        </w:tabs>
      </w:pPr>
    </w:p>
    <w:p w14:paraId="4CAC88C4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2. Paper Guidelines:</w:t>
      </w:r>
    </w:p>
    <w:p w14:paraId="1207B713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a. Begin with an introductory paragraph that has a succinct thesis statement.</w:t>
      </w:r>
    </w:p>
    <w:p w14:paraId="4D070EA5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b. Address the topic of the paper with critical thought.</w:t>
      </w:r>
    </w:p>
    <w:p w14:paraId="22C9B95E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c. End with a conclusion that reaffirms your thesis.</w:t>
      </w:r>
    </w:p>
    <w:p w14:paraId="2BC35FB4" w14:textId="77777777" w:rsidR="004E45B9" w:rsidRPr="002E150C" w:rsidRDefault="004E45B9" w:rsidP="004E45B9">
      <w:pPr>
        <w:tabs>
          <w:tab w:val="right" w:pos="8640"/>
          <w:tab w:val="right" w:pos="8640"/>
        </w:tabs>
      </w:pPr>
      <w:r w:rsidRPr="002E150C">
        <w:t>d. Use a minimum of eleven scholarly research sources (two books and the</w:t>
      </w:r>
    </w:p>
    <w:p w14:paraId="02DA477C" w14:textId="013B3CE8" w:rsidR="00D56F4E" w:rsidRPr="002E150C" w:rsidRDefault="004E45B9" w:rsidP="004E45B9">
      <w:pPr>
        <w:tabs>
          <w:tab w:val="right" w:pos="8640"/>
          <w:tab w:val="right" w:pos="8640"/>
        </w:tabs>
      </w:pPr>
      <w:r w:rsidRPr="002E150C">
        <w:t>remaining scholarly peer-reviewed journal articles).</w:t>
      </w:r>
    </w:p>
    <w:p w14:paraId="0AF51F97" w14:textId="77777777" w:rsidR="00D56F4E" w:rsidRPr="002E150C" w:rsidRDefault="00D56F4E">
      <w:pPr>
        <w:tabs>
          <w:tab w:val="right" w:pos="8640"/>
          <w:tab w:val="right" w:pos="8640"/>
        </w:tabs>
      </w:pPr>
    </w:p>
    <w:p w14:paraId="78C99887" w14:textId="77777777" w:rsidR="00D56F4E" w:rsidRPr="002E150C" w:rsidRDefault="00D56F4E">
      <w:pPr>
        <w:tabs>
          <w:tab w:val="right" w:pos="8640"/>
          <w:tab w:val="right" w:pos="8640"/>
        </w:tabs>
      </w:pPr>
    </w:p>
    <w:p w14:paraId="73C8A97A" w14:textId="0491A067" w:rsidR="001B3C53" w:rsidRPr="002E150C" w:rsidRDefault="004E45B9">
      <w:pPr>
        <w:tabs>
          <w:tab w:val="right" w:pos="8640"/>
          <w:tab w:val="right" w:pos="8640"/>
        </w:tabs>
      </w:pPr>
      <w:r w:rsidRPr="002E150C">
        <w:lastRenderedPageBreak/>
        <w:t xml:space="preserve">The issue of transgenderism </w:t>
      </w:r>
      <w:r w:rsidR="005D539F" w:rsidRPr="002E150C">
        <w:t>is prominent</w:t>
      </w:r>
      <w:r w:rsidRPr="002E150C">
        <w:t xml:space="preserve"> in public consciousness</w:t>
      </w:r>
      <w:r w:rsidR="007B0231" w:rsidRPr="002E150C">
        <w:t xml:space="preserve">. </w:t>
      </w:r>
      <w:r w:rsidRPr="002E150C">
        <w:t>Responses fall across the spectrum to advocacy to outright rejection</w:t>
      </w:r>
      <w:r w:rsidR="007B0231" w:rsidRPr="002E150C">
        <w:t xml:space="preserve">. </w:t>
      </w:r>
      <w:r w:rsidRPr="002E150C">
        <w:t xml:space="preserve">The issue is a confusing mix of ideology and biological </w:t>
      </w:r>
      <w:r w:rsidR="005D539F" w:rsidRPr="002E150C">
        <w:t>realities</w:t>
      </w:r>
      <w:r w:rsidRPr="002E150C">
        <w:t xml:space="preserve"> caught up in the culture wars</w:t>
      </w:r>
      <w:r w:rsidR="007B0231" w:rsidRPr="002E150C">
        <w:t xml:space="preserve">. </w:t>
      </w:r>
      <w:r w:rsidRPr="002E150C">
        <w:t xml:space="preserve">In the </w:t>
      </w:r>
      <w:r w:rsidR="003547E3" w:rsidRPr="002E150C">
        <w:t>fray</w:t>
      </w:r>
      <w:r w:rsidRPr="002E150C">
        <w:t xml:space="preserve"> are </w:t>
      </w:r>
      <w:r w:rsidR="0004134B" w:rsidRPr="002E150C">
        <w:t>real people and their families</w:t>
      </w:r>
      <w:r w:rsidR="007B0231" w:rsidRPr="002E150C">
        <w:t xml:space="preserve">. </w:t>
      </w:r>
      <w:r w:rsidR="00B12F53" w:rsidRPr="002E150C">
        <w:t>Ideological pressure on public media fuels bias and misinformed opinions on transgenderism</w:t>
      </w:r>
      <w:r w:rsidR="007B0231" w:rsidRPr="002E150C">
        <w:t xml:space="preserve">. </w:t>
      </w:r>
    </w:p>
    <w:p w14:paraId="6E125010" w14:textId="514A8C0B" w:rsidR="008F0FD0" w:rsidRPr="002E150C" w:rsidRDefault="00B205A6">
      <w:pPr>
        <w:tabs>
          <w:tab w:val="right" w:pos="8640"/>
          <w:tab w:val="right" w:pos="8640"/>
        </w:tabs>
      </w:pPr>
      <w:r w:rsidRPr="002E150C">
        <w:t>Transgenderism refers to individuals who experience different types of gender incongruence</w:t>
      </w:r>
      <w:r w:rsidR="007B0231" w:rsidRPr="002E150C">
        <w:t xml:space="preserve">. </w:t>
      </w:r>
      <w:r w:rsidRPr="002E150C">
        <w:t xml:space="preserve">(Beek et al., 2018, p. 5) Gender incongruence refers to feeling one’s physical body is not in line with one’s experienced gender. (Keukels &amp; Gullamon., 2018, p. 120) Gender dysphoria refers to </w:t>
      </w:r>
      <w:r w:rsidR="001B3C53" w:rsidRPr="002E150C">
        <w:t>the</w:t>
      </w:r>
      <w:r w:rsidRPr="002E150C">
        <w:t xml:space="preserve"> incongruence creating unease and distress</w:t>
      </w:r>
      <w:r w:rsidR="007B0231" w:rsidRPr="002E150C">
        <w:t xml:space="preserve">. </w:t>
      </w:r>
      <w:r w:rsidRPr="002E150C">
        <w:t xml:space="preserve">(Greydanus, &amp; Codde, 2021, p. 327) These individuals have an elevated risk for suicide and </w:t>
      </w:r>
      <w:r w:rsidR="00633BD8" w:rsidRPr="002E150C">
        <w:t xml:space="preserve">other </w:t>
      </w:r>
      <w:r w:rsidRPr="002E150C">
        <w:t>serious mental health issues</w:t>
      </w:r>
      <w:r w:rsidR="007B0231" w:rsidRPr="002E150C">
        <w:t xml:space="preserve">. </w:t>
      </w:r>
      <w:r w:rsidRPr="002E150C">
        <w:t xml:space="preserve">(Bouman et al., 2018, p.44) It is important for the saints and the shepherds of the church to be better equipped to minister to these individuals. </w:t>
      </w:r>
    </w:p>
    <w:p w14:paraId="50C5CA15" w14:textId="68628493" w:rsidR="008F6F53" w:rsidRPr="002E150C" w:rsidRDefault="008F6F53">
      <w:pPr>
        <w:tabs>
          <w:tab w:val="right" w:pos="8640"/>
          <w:tab w:val="right" w:pos="8640"/>
        </w:tabs>
      </w:pPr>
      <w:r w:rsidRPr="002E150C">
        <w:t>Transgenderism is fraught with social implications</w:t>
      </w:r>
      <w:r w:rsidR="007B0231" w:rsidRPr="002E150C">
        <w:t xml:space="preserve">. </w:t>
      </w:r>
      <w:r w:rsidRPr="002E150C">
        <w:t xml:space="preserve">Most people experiencing gender dysphoria will first experience impact </w:t>
      </w:r>
      <w:r w:rsidR="00ED642B" w:rsidRPr="002E150C">
        <w:t>in</w:t>
      </w:r>
      <w:r w:rsidRPr="002E150C">
        <w:t xml:space="preserve"> their family relationships</w:t>
      </w:r>
      <w:r w:rsidR="00ED642B" w:rsidRPr="002E150C">
        <w:t>.</w:t>
      </w:r>
      <w:r w:rsidRPr="002E150C">
        <w:t xml:space="preserve"> (Littman, 2021, p. 3358) It often does not go well for the relationship with estrangement not uncommon.  (Giangrave, 2024) </w:t>
      </w:r>
    </w:p>
    <w:p w14:paraId="037F77E7" w14:textId="40930407" w:rsidR="008F6F53" w:rsidRPr="002E150C" w:rsidRDefault="008F6F53">
      <w:pPr>
        <w:tabs>
          <w:tab w:val="right" w:pos="8640"/>
          <w:tab w:val="right" w:pos="8640"/>
        </w:tabs>
      </w:pPr>
      <w:r w:rsidRPr="002E150C">
        <w:t xml:space="preserve">Trans people and their families find themselves thrust into the culture wars over whether truth is a given or constructed. (Veith, 2020, p. 27) </w:t>
      </w:r>
      <w:r w:rsidR="00C168E4" w:rsidRPr="002E150C">
        <w:t>C</w:t>
      </w:r>
      <w:r w:rsidRPr="002E150C">
        <w:t xml:space="preserve">onstructivists </w:t>
      </w:r>
      <w:r w:rsidR="0085184A" w:rsidRPr="002E150C">
        <w:t>quickly</w:t>
      </w:r>
      <w:r w:rsidRPr="002E150C">
        <w:t xml:space="preserve"> advocate trans people a</w:t>
      </w:r>
      <w:r w:rsidR="0085184A" w:rsidRPr="002E150C">
        <w:t>re</w:t>
      </w:r>
      <w:r w:rsidRPr="002E150C">
        <w:t xml:space="preserve"> bravely creating their identity dismissing the body as unimportant in a </w:t>
      </w:r>
      <w:r w:rsidR="00A6476F" w:rsidRPr="002E150C">
        <w:t>modern</w:t>
      </w:r>
      <w:r w:rsidRPr="002E150C">
        <w:t xml:space="preserve"> form of </w:t>
      </w:r>
      <w:r w:rsidR="00E640DB" w:rsidRPr="002E150C">
        <w:t>Gnosticism</w:t>
      </w:r>
      <w:r w:rsidRPr="002E150C">
        <w:t>. (p</w:t>
      </w:r>
      <w:r w:rsidR="00AC6DE4" w:rsidRPr="002E150C">
        <w:t>p</w:t>
      </w:r>
      <w:r w:rsidRPr="002E150C">
        <w:t>. 162-163)</w:t>
      </w:r>
      <w:r w:rsidR="00F42EA3" w:rsidRPr="002E150C">
        <w:t xml:space="preserve"> (Guizzard, 2024) </w:t>
      </w:r>
      <w:r w:rsidR="00326BD5" w:rsidRPr="002E150C">
        <w:t xml:space="preserve">Many argue human identity is not static or given but mutable, fragmented, changing. (Schwartz 2024) Evidence is accumulating </w:t>
      </w:r>
      <w:r w:rsidR="00024383" w:rsidRPr="002E150C">
        <w:t xml:space="preserve">of </w:t>
      </w:r>
      <w:r w:rsidR="00A6476F" w:rsidRPr="002E150C">
        <w:t xml:space="preserve">the </w:t>
      </w:r>
      <w:r w:rsidR="00326BD5" w:rsidRPr="002E150C">
        <w:t>gender dysphori</w:t>
      </w:r>
      <w:r w:rsidR="00024383" w:rsidRPr="002E150C">
        <w:t>c</w:t>
      </w:r>
      <w:r w:rsidR="00326BD5" w:rsidRPr="002E150C">
        <w:t xml:space="preserve"> being pressured by online peer</w:t>
      </w:r>
      <w:r w:rsidR="000C3022" w:rsidRPr="002E150C">
        <w:t>s</w:t>
      </w:r>
      <w:r w:rsidR="00326BD5" w:rsidRPr="002E150C">
        <w:t xml:space="preserve"> to adopt a trans positive view and to transition. (Evans &amp; Evans, 2021, The societal, cultural trends section, para. 18) Many </w:t>
      </w:r>
      <w:r w:rsidR="00427A40" w:rsidRPr="002E150C">
        <w:t>advocates</w:t>
      </w:r>
      <w:r w:rsidR="00326BD5" w:rsidRPr="002E150C">
        <w:t xml:space="preserve"> promote the idea that gender is by nature fluid. (para. 27) More than 1/3 of trans transitioners reported they felt pressured to do so by friends, partners, and clinicians. (Littman, p. 3360) </w:t>
      </w:r>
      <w:r w:rsidR="002B065E" w:rsidRPr="002E150C">
        <w:t xml:space="preserve">Validating online </w:t>
      </w:r>
      <w:r w:rsidR="002B065E" w:rsidRPr="002E150C">
        <w:lastRenderedPageBreak/>
        <w:t xml:space="preserve">spaces </w:t>
      </w:r>
      <w:r w:rsidR="00183FDF" w:rsidRPr="002E150C">
        <w:t xml:space="preserve">do have a </w:t>
      </w:r>
      <w:r w:rsidR="002B065E" w:rsidRPr="002E150C">
        <w:t xml:space="preserve">positive impact on mental health while idea of </w:t>
      </w:r>
      <w:r w:rsidR="00F05673" w:rsidRPr="002E150C">
        <w:t>gender</w:t>
      </w:r>
      <w:r w:rsidR="002B065E" w:rsidRPr="002E150C">
        <w:t xml:space="preserve"> transformation is reinforced. (Aldridge et al., 2024, p.10) </w:t>
      </w:r>
      <w:r w:rsidR="00CA79FB" w:rsidRPr="002E150C">
        <w:t>Clinicians report pressure to suppress studies that do not support the advocated for narrative. (</w:t>
      </w:r>
      <w:r w:rsidR="003A746C" w:rsidRPr="002E150C">
        <w:t>Sey, 2024</w:t>
      </w:r>
      <w:r w:rsidR="007B0231" w:rsidRPr="002E150C">
        <w:t>) Now</w:t>
      </w:r>
      <w:r w:rsidR="0023022E" w:rsidRPr="002E150C">
        <w:t xml:space="preserve"> there</w:t>
      </w:r>
      <w:r w:rsidR="002B065E" w:rsidRPr="002E150C">
        <w:t xml:space="preserve"> is growing political resistance with arguments that transgenderism is morally wrong</w:t>
      </w:r>
      <w:r w:rsidR="0023022E" w:rsidRPr="002E150C">
        <w:t xml:space="preserve">, an ideology </w:t>
      </w:r>
      <w:r w:rsidR="002B065E" w:rsidRPr="002E150C">
        <w:t xml:space="preserve">dangerous to social and individual health. (Evans &amp; Evans, Forward by Stephen Levine section) </w:t>
      </w:r>
      <w:r w:rsidR="006C4AB0" w:rsidRPr="002E150C">
        <w:t>Yet</w:t>
      </w:r>
      <w:r w:rsidR="0023022E" w:rsidRPr="002E150C">
        <w:t xml:space="preserve"> g</w:t>
      </w:r>
      <w:r w:rsidR="002B065E" w:rsidRPr="002E150C">
        <w:t>enetic factors do often form a biological basis for gender incongruence. (Keukels &amp; Guillamon, p. 121)</w:t>
      </w:r>
      <w:r w:rsidR="00AB3609" w:rsidRPr="002E150C">
        <w:t xml:space="preserve"> </w:t>
      </w:r>
      <w:r w:rsidR="00E9617D" w:rsidRPr="002E150C">
        <w:t>I</w:t>
      </w:r>
      <w:r w:rsidR="00AB3609" w:rsidRPr="002E150C">
        <w:t>ndividuals may be suffering dysphoria from social or biological influences or a mix of both</w:t>
      </w:r>
      <w:r w:rsidR="00634681" w:rsidRPr="002E150C">
        <w:t xml:space="preserve"> or </w:t>
      </w:r>
      <w:r w:rsidR="002B299E" w:rsidRPr="002E150C">
        <w:t xml:space="preserve">possibly </w:t>
      </w:r>
      <w:r w:rsidR="00634681" w:rsidRPr="002E150C">
        <w:t>in open rebellion against God’s design</w:t>
      </w:r>
      <w:r w:rsidR="007B0231" w:rsidRPr="002E150C">
        <w:t xml:space="preserve">. </w:t>
      </w:r>
      <w:r w:rsidR="00D968B1" w:rsidRPr="002E150C">
        <w:t>The LCMS identifies three aspects of the issue: chromosomal disorders, emotional struggles with dysphoria, and expressive individualism rejecting biological reality (</w:t>
      </w:r>
      <w:r w:rsidR="0093649A" w:rsidRPr="002E150C">
        <w:t>CTCR report with presidential letter</w:t>
      </w:r>
      <w:r w:rsidR="00D968B1" w:rsidRPr="002E150C">
        <w:t xml:space="preserve">, </w:t>
      </w:r>
      <w:r w:rsidR="00D17D14" w:rsidRPr="002E150C">
        <w:t>2022</w:t>
      </w:r>
      <w:r w:rsidR="00D968B1" w:rsidRPr="002E150C">
        <w:t>, p. 18). The church plays a vital role in supporting trans individuals, as caring relationships can help alleviate dysphoria (MacMullin et al., 2021, pp. 823-839).</w:t>
      </w:r>
    </w:p>
    <w:p w14:paraId="79B6FB35" w14:textId="0EDDBAA1" w:rsidR="009A6076" w:rsidRPr="009A6076" w:rsidRDefault="00BB26FF" w:rsidP="009A6076">
      <w:pPr>
        <w:tabs>
          <w:tab w:val="right" w:pos="8640"/>
          <w:tab w:val="right" w:pos="8640"/>
        </w:tabs>
      </w:pPr>
      <w:r w:rsidRPr="002E150C">
        <w:t xml:space="preserve">Gender dysphoria and the broader umbrella of transgenderism is not a matter of </w:t>
      </w:r>
      <w:r w:rsidR="00794076" w:rsidRPr="002E150C">
        <w:t>adiaphora</w:t>
      </w:r>
      <w:r w:rsidR="007B0231" w:rsidRPr="002E150C">
        <w:t xml:space="preserve">. </w:t>
      </w:r>
      <w:r w:rsidRPr="002E150C">
        <w:t xml:space="preserve">Many progressive theologians oppose application of Biblical passages inerrantly understood to issues of gender diversity. (Neumann, 2022, p. 128) </w:t>
      </w:r>
      <w:r w:rsidR="00AF3348" w:rsidRPr="002E150C">
        <w:t xml:space="preserve">Some argue God created them with a gender fluid identity and thus it must be good. (Giangrave, para. 3) </w:t>
      </w:r>
      <w:r w:rsidRPr="002E150C">
        <w:t xml:space="preserve">Conservative orthodox traditions such as the LCMS </w:t>
      </w:r>
      <w:r w:rsidR="008513CF" w:rsidRPr="002E150C">
        <w:t>believe</w:t>
      </w:r>
      <w:r w:rsidRPr="002E150C">
        <w:t xml:space="preserve"> God’s Word speaks truthfully to issues of sexuality and gender and seeks to follow natural law as revealed in Scripture. (Gender Identity Disorder in Christian perspective, 2014, pp. 1-5) We cannot assume this to simply be a matter of rebellious sinful behavior. Intersex and other individuals with biological disorders do exist reminding us we live in a fallen and broken world </w:t>
      </w:r>
      <w:r w:rsidR="00AF3348" w:rsidRPr="002E150C">
        <w:t xml:space="preserve">with consequences outside God’s original plan for creation. (Schulz, 2024, He/Him, para. 6) Congenital disorders are understood as examples of our bondage to creation. (Gender Identity Disorder, p. 7) When dysphoria is not connected to our biological </w:t>
      </w:r>
      <w:r w:rsidR="00AF3348" w:rsidRPr="002E150C">
        <w:lastRenderedPageBreak/>
        <w:t xml:space="preserve">reality, are an emotional condition or a willful action, individuals are encouraged to seek mental and spiritual help to bring emotions and desires more in line with godly living. (p. 5) </w:t>
      </w:r>
      <w:r w:rsidR="007744F9" w:rsidRPr="002E150C">
        <w:t>In the end a Christian approach that seeks to be faithful to Scripture cannot accept the view we have autonomy regarding our sexual nature</w:t>
      </w:r>
      <w:r w:rsidR="007B0231" w:rsidRPr="002E150C">
        <w:t xml:space="preserve">. </w:t>
      </w:r>
      <w:r w:rsidR="007744F9" w:rsidRPr="002E150C">
        <w:t>It is a rejection of God as creator</w:t>
      </w:r>
      <w:r w:rsidR="007B0231" w:rsidRPr="002E150C">
        <w:t xml:space="preserve">. </w:t>
      </w:r>
      <w:r w:rsidR="007744F9" w:rsidRPr="002E150C">
        <w:t>(CTCR report, p. 19) Because of the fallen nature of all creation life is simply not fair</w:t>
      </w:r>
      <w:r w:rsidR="007B0231" w:rsidRPr="002E150C">
        <w:t xml:space="preserve">. </w:t>
      </w:r>
      <w:r w:rsidR="009A6076" w:rsidRPr="009A6076">
        <w:t xml:space="preserve">The church recognizes that this involves more than stubborn ideological rebellion; it includes suffering individuals </w:t>
      </w:r>
      <w:r w:rsidR="00481E32">
        <w:t>influenced</w:t>
      </w:r>
      <w:r w:rsidR="009A6076" w:rsidRPr="009A6076">
        <w:t xml:space="preserve"> by a misguided culture, often experiencing emotional distress </w:t>
      </w:r>
      <w:r w:rsidR="00BE5060">
        <w:t>and sometimes</w:t>
      </w:r>
      <w:r w:rsidR="009A6076" w:rsidRPr="009A6076">
        <w:t xml:space="preserve"> biological disorders.</w:t>
      </w:r>
    </w:p>
    <w:p w14:paraId="747D5DC6" w14:textId="7BD01F1B" w:rsidR="00AB3609" w:rsidRPr="002E150C" w:rsidRDefault="007744F9" w:rsidP="00781C24">
      <w:pPr>
        <w:tabs>
          <w:tab w:val="right" w:pos="8640"/>
          <w:tab w:val="right" w:pos="8640"/>
        </w:tabs>
      </w:pPr>
      <w:r w:rsidRPr="002E150C">
        <w:t>We are reminded in Matthew 28 that Jesus sent the church to all nations and in 1 Timothy 2 that God wants all to be saved and come to a knowledge of the truth</w:t>
      </w:r>
      <w:r w:rsidR="007B0231" w:rsidRPr="002E150C">
        <w:t xml:space="preserve">. </w:t>
      </w:r>
      <w:r w:rsidRPr="002E150C">
        <w:t xml:space="preserve">Our ministry is one of reconciliation (2 Cor 5: 18-20) proclaiming the Gospel to all for all who call upon the Lord will be delivered from this corrupted world and will be saved. (Rom 10: 12-13) </w:t>
      </w:r>
    </w:p>
    <w:p w14:paraId="2058EFE9" w14:textId="6DC38B39" w:rsidR="007744F9" w:rsidRPr="002E150C" w:rsidRDefault="00524188">
      <w:pPr>
        <w:tabs>
          <w:tab w:val="right" w:pos="8640"/>
          <w:tab w:val="right" w:pos="8640"/>
        </w:tabs>
      </w:pPr>
      <w:r w:rsidRPr="002E150C">
        <w:t>Thus,</w:t>
      </w:r>
      <w:r w:rsidR="00BE432B" w:rsidRPr="002E150C">
        <w:t xml:space="preserve"> there are </w:t>
      </w:r>
      <w:r w:rsidR="00016A2F" w:rsidRPr="002E150C">
        <w:t>several</w:t>
      </w:r>
      <w:r w:rsidR="00BE432B" w:rsidRPr="002E150C">
        <w:t xml:space="preserve"> practical issues for the church to address</w:t>
      </w:r>
      <w:r w:rsidR="00C043EF" w:rsidRPr="002E150C">
        <w:t xml:space="preserve"> to minister to trans people threading the needle between affirmation </w:t>
      </w:r>
      <w:r w:rsidR="00C53892" w:rsidRPr="002E150C">
        <w:t>and rejection</w:t>
      </w:r>
      <w:r w:rsidR="007B0231" w:rsidRPr="002E150C">
        <w:t xml:space="preserve">. </w:t>
      </w:r>
      <w:r w:rsidR="00421703" w:rsidRPr="002E150C">
        <w:t>For instance, the conversation around the use of preferred pronouns ranges from do it to never do it</w:t>
      </w:r>
      <w:r w:rsidR="007B0231" w:rsidRPr="002E150C">
        <w:t xml:space="preserve">. </w:t>
      </w:r>
      <w:r w:rsidR="00034942" w:rsidRPr="002E150C">
        <w:t xml:space="preserve">Some </w:t>
      </w:r>
      <w:r w:rsidR="005F3E69" w:rsidRPr="002E150C">
        <w:t>interpret the use of a preferred pronoun as a lie, violating Biblical obligation to always speak the truth. (Schulz, He/Him</w:t>
      </w:r>
      <w:r w:rsidR="005834DC" w:rsidRPr="002E150C">
        <w:t>, para 3)</w:t>
      </w:r>
      <w:r w:rsidR="00433EFE" w:rsidRPr="002E150C">
        <w:t xml:space="preserve"> Some trans people share that refusal to use their pronoun </w:t>
      </w:r>
      <w:r w:rsidR="006746FB" w:rsidRPr="002E150C">
        <w:t xml:space="preserve">communicated they were not valued but were toxic lepers not welcome in the community. (Schulz, </w:t>
      </w:r>
      <w:r w:rsidR="00885B0D" w:rsidRPr="002E150C">
        <w:t>Pronouns</w:t>
      </w:r>
      <w:r w:rsidR="006746FB" w:rsidRPr="002E150C">
        <w:t xml:space="preserve"> part 2</w:t>
      </w:r>
      <w:r w:rsidR="009F3CCA" w:rsidRPr="002E150C">
        <w:t>, paras 5-6)</w:t>
      </w:r>
      <w:r w:rsidR="00A330C3" w:rsidRPr="002E150C">
        <w:t xml:space="preserve">  The LCMS recognizes that </w:t>
      </w:r>
      <w:r w:rsidR="00D26886" w:rsidRPr="002E150C">
        <w:t>compassionate response is needful for dysphoric individuals and family members</w:t>
      </w:r>
      <w:r w:rsidR="00D24CA5" w:rsidRPr="002E150C">
        <w:t xml:space="preserve"> while also affirming </w:t>
      </w:r>
      <w:r w:rsidR="00112681" w:rsidRPr="002E150C">
        <w:t>God’s design of male and female meaning in some cases admonition is necessary if individuals</w:t>
      </w:r>
      <w:r w:rsidR="00C756D2" w:rsidRPr="002E150C">
        <w:t xml:space="preserve"> identifying as trans out of a desire for creative individual expression rather than </w:t>
      </w:r>
      <w:r w:rsidR="00116813" w:rsidRPr="002E150C">
        <w:t>because of a present emotional or biological disorder.  (CTCR report</w:t>
      </w:r>
      <w:r w:rsidR="00D90CF6" w:rsidRPr="002E150C">
        <w:t>, p</w:t>
      </w:r>
      <w:r w:rsidR="00825DF1" w:rsidRPr="002E150C">
        <w:t>. 18</w:t>
      </w:r>
      <w:r w:rsidR="00BE4BAA" w:rsidRPr="002E150C">
        <w:t>) However</w:t>
      </w:r>
      <w:r w:rsidR="00EB4A7C" w:rsidRPr="002E150C">
        <w:t xml:space="preserve">, </w:t>
      </w:r>
      <w:r w:rsidR="00885B0D" w:rsidRPr="002E150C">
        <w:t xml:space="preserve">a </w:t>
      </w:r>
      <w:r w:rsidR="00EB4A7C" w:rsidRPr="002E150C">
        <w:t xml:space="preserve">faithful and loving response will be difficult if the environment of the congregation is one generating fear of stigma which leads many dysphoric to remain in the </w:t>
      </w:r>
      <w:r w:rsidR="00EB4A7C" w:rsidRPr="002E150C">
        <w:lastRenderedPageBreak/>
        <w:t>closet or absent themselves. (</w:t>
      </w:r>
      <w:r w:rsidR="00603ACC" w:rsidRPr="002E150C">
        <w:t xml:space="preserve">Layland et al., 2023, p. 2027) </w:t>
      </w:r>
      <w:r w:rsidR="00964466" w:rsidRPr="002E150C">
        <w:t xml:space="preserve">LGBTQ folks expressed appreciation for one intentional encounter with LCMS pastors </w:t>
      </w:r>
      <w:r w:rsidR="005A18B1" w:rsidRPr="002E150C">
        <w:t xml:space="preserve">whose response was to communicate you are not alone to struggle with your </w:t>
      </w:r>
      <w:r w:rsidR="00E640DB" w:rsidRPr="002E150C">
        <w:t>burdens</w:t>
      </w:r>
      <w:r w:rsidR="005A18B1" w:rsidRPr="002E150C">
        <w:t xml:space="preserve">, we are </w:t>
      </w:r>
      <w:r w:rsidR="00BE4BAA" w:rsidRPr="002E150C">
        <w:t>here</w:t>
      </w:r>
      <w:r w:rsidR="005A18B1" w:rsidRPr="002E150C">
        <w:t xml:space="preserve"> to listen and support you. (Mertz, 2015, p. 19) </w:t>
      </w:r>
      <w:r w:rsidR="001A6301" w:rsidRPr="002E150C">
        <w:t xml:space="preserve">Embedded in this issue is the question of identity, forefront today. (Veith, p. 259) </w:t>
      </w:r>
      <w:r w:rsidR="003B7863" w:rsidRPr="002E150C">
        <w:t>Today we are instructed by the culture to “discover” our authentic self by looking inside and examining what feels right</w:t>
      </w:r>
      <w:r w:rsidR="007B0231" w:rsidRPr="002E150C">
        <w:t xml:space="preserve">. </w:t>
      </w:r>
      <w:r w:rsidR="003B7863" w:rsidRPr="002E150C">
        <w:t>One homosexual woman</w:t>
      </w:r>
      <w:r w:rsidR="003A23C3" w:rsidRPr="002E150C">
        <w:t xml:space="preserve"> contrasted this to the Christian perspective where we find our identity in who God says we are as his “child, beloved, friend.” (McLaughlin, 2019, Isn’t Christianity Homophobic Section)</w:t>
      </w:r>
    </w:p>
    <w:p w14:paraId="4F9670C5" w14:textId="53CCBC7A" w:rsidR="00D56F4E" w:rsidRPr="002E150C" w:rsidRDefault="00C120C0">
      <w:pPr>
        <w:tabs>
          <w:tab w:val="right" w:pos="8640"/>
          <w:tab w:val="right" w:pos="8640"/>
        </w:tabs>
      </w:pPr>
      <w:r w:rsidRPr="002E150C">
        <w:t xml:space="preserve">Thinking critically placing reason and experience in ministerial position to Scripture, we consider </w:t>
      </w:r>
      <w:r w:rsidR="005639C5" w:rsidRPr="002E150C">
        <w:t>how the church may engage with people experiencing this personally or in their family</w:t>
      </w:r>
      <w:r w:rsidR="007B0231" w:rsidRPr="002E150C">
        <w:t xml:space="preserve">. </w:t>
      </w:r>
      <w:r w:rsidR="005639C5" w:rsidRPr="002E150C">
        <w:t xml:space="preserve">We begin by recognizing the impact that the corruption of the world has on our mind, </w:t>
      </w:r>
      <w:r w:rsidR="007B0231" w:rsidRPr="002E150C">
        <w:t>heart,</w:t>
      </w:r>
      <w:r w:rsidR="005639C5" w:rsidRPr="002E150C">
        <w:t xml:space="preserve"> and bodies</w:t>
      </w:r>
      <w:r w:rsidR="007B0231" w:rsidRPr="002E150C">
        <w:t xml:space="preserve">. </w:t>
      </w:r>
      <w:r w:rsidR="005639C5" w:rsidRPr="002E150C">
        <w:t>No one is immune to it</w:t>
      </w:r>
      <w:r w:rsidR="007B0231" w:rsidRPr="002E150C">
        <w:t xml:space="preserve">. </w:t>
      </w:r>
      <w:r w:rsidR="005639C5" w:rsidRPr="002E150C">
        <w:t>And life is not fair</w:t>
      </w:r>
      <w:r w:rsidR="007B0231" w:rsidRPr="002E150C">
        <w:t xml:space="preserve">. </w:t>
      </w:r>
      <w:r w:rsidR="007D0D77" w:rsidRPr="002E150C">
        <w:t xml:space="preserve">We cannot as faithful Christians accept the claim that gender is </w:t>
      </w:r>
      <w:r w:rsidR="00BE4BAA" w:rsidRPr="002E150C">
        <w:t>fluid,</w:t>
      </w:r>
      <w:r w:rsidR="007D0D77" w:rsidRPr="002E150C">
        <w:t xml:space="preserve"> and identity is about autonomous creation</w:t>
      </w:r>
      <w:r w:rsidR="007B0231" w:rsidRPr="002E150C">
        <w:t xml:space="preserve">. </w:t>
      </w:r>
      <w:r w:rsidR="007D0D77" w:rsidRPr="002E150C">
        <w:t xml:space="preserve">Nor can we relinquish Scripture’s revelation of gender is binary. (CTCR report, p. 19) </w:t>
      </w:r>
      <w:r w:rsidR="003C4580" w:rsidRPr="002E150C">
        <w:t xml:space="preserve">But we can certainly employ </w:t>
      </w:r>
      <w:r w:rsidR="00BE4BAA" w:rsidRPr="002E150C">
        <w:t>an</w:t>
      </w:r>
      <w:r w:rsidR="003C4580" w:rsidRPr="002E150C">
        <w:t xml:space="preserve"> empathic attitude toward human suffering whatever form it takes</w:t>
      </w:r>
      <w:r w:rsidR="007B0231" w:rsidRPr="002E150C">
        <w:t xml:space="preserve">. </w:t>
      </w:r>
      <w:r w:rsidR="004A1177" w:rsidRPr="002E150C">
        <w:t>Using preferred pronouns is more complicated</w:t>
      </w:r>
      <w:r w:rsidR="007B0231" w:rsidRPr="002E150C">
        <w:t xml:space="preserve">. </w:t>
      </w:r>
      <w:r w:rsidR="00733C28" w:rsidRPr="002E150C">
        <w:t xml:space="preserve">Schulz recommends this as it helps protect trans people from those who might harm them if they </w:t>
      </w:r>
      <w:r w:rsidR="00BE4BAA" w:rsidRPr="002E150C">
        <w:t>knew,</w:t>
      </w:r>
      <w:r w:rsidR="00733C28" w:rsidRPr="002E150C">
        <w:t xml:space="preserve"> </w:t>
      </w:r>
      <w:r w:rsidR="00E24668" w:rsidRPr="002E150C">
        <w:t>and it communicates that you value the person. (</w:t>
      </w:r>
      <w:r w:rsidR="000473AE" w:rsidRPr="002E150C">
        <w:t xml:space="preserve">Schulz, </w:t>
      </w:r>
      <w:r w:rsidR="00E24668" w:rsidRPr="002E150C">
        <w:t>He/Him, paras</w:t>
      </w:r>
      <w:r w:rsidR="000473AE" w:rsidRPr="002E150C">
        <w:t>.</w:t>
      </w:r>
      <w:r w:rsidR="00E24668" w:rsidRPr="002E150C">
        <w:t xml:space="preserve"> 7-9) </w:t>
      </w:r>
      <w:r w:rsidR="00BE4BAA" w:rsidRPr="002E150C">
        <w:t>However,</w:t>
      </w:r>
      <w:r w:rsidR="00075287" w:rsidRPr="002E150C">
        <w:t xml:space="preserve"> the concerns about enforcing a lie are worth noting</w:t>
      </w:r>
      <w:r w:rsidR="007B0231" w:rsidRPr="002E150C">
        <w:t xml:space="preserve">. </w:t>
      </w:r>
      <w:r w:rsidR="00B6705E" w:rsidRPr="002E150C">
        <w:t xml:space="preserve">Alongside this comes the recognition that some intersex people are born with female external parts and raised female, only to discover they are male after being socialized as female. </w:t>
      </w:r>
      <w:r w:rsidR="00B251AF" w:rsidRPr="002E150C">
        <w:t xml:space="preserve">Luther himself in the small catechism in the fifth command says we are to look </w:t>
      </w:r>
      <w:r w:rsidR="00BE4BAA" w:rsidRPr="002E150C">
        <w:t>out</w:t>
      </w:r>
      <w:r w:rsidR="00B251AF" w:rsidRPr="002E150C">
        <w:t xml:space="preserve"> for one another’s </w:t>
      </w:r>
      <w:r w:rsidR="00BE4BAA" w:rsidRPr="002E150C">
        <w:t>wellbeing</w:t>
      </w:r>
      <w:r w:rsidR="007B0231" w:rsidRPr="002E150C">
        <w:t xml:space="preserve">. </w:t>
      </w:r>
      <w:r w:rsidR="00B251AF" w:rsidRPr="002E150C">
        <w:t xml:space="preserve">Here the best answer may not always be clear and will be contingent on the individual, the context, and what the speaker knows. </w:t>
      </w:r>
      <w:r w:rsidR="0062244F" w:rsidRPr="002E150C">
        <w:t xml:space="preserve">In general, Brath recommends recognizing that </w:t>
      </w:r>
      <w:r w:rsidR="00016A2F" w:rsidRPr="002E150C">
        <w:t>all</w:t>
      </w:r>
      <w:r w:rsidR="0062244F" w:rsidRPr="002E150C">
        <w:t xml:space="preserve"> our sexuality is broken</w:t>
      </w:r>
      <w:r w:rsidR="007A1CCC" w:rsidRPr="002E150C">
        <w:t xml:space="preserve">, </w:t>
      </w:r>
      <w:r w:rsidR="007A1CCC" w:rsidRPr="002E150C">
        <w:lastRenderedPageBreak/>
        <w:t>though it is not reasonable to support his idea of simply avoiding the conversation because LGBTQ folks will never recognize their feelings manifest sinful brokenness</w:t>
      </w:r>
      <w:r w:rsidR="001927B0" w:rsidRPr="002E150C">
        <w:t xml:space="preserve"> thus living in a type of ignorance to which we should just proclaim the Gospel. (</w:t>
      </w:r>
      <w:r w:rsidR="00E54539" w:rsidRPr="002E150C">
        <w:t>Michigan LCMS</w:t>
      </w:r>
      <w:r w:rsidR="001927B0" w:rsidRPr="002E150C">
        <w:t>, 2019) This would turn the Gospel into license and affirmation of human created ideology.</w:t>
      </w:r>
      <w:r w:rsidR="0058355E" w:rsidRPr="002E150C">
        <w:t xml:space="preserve"> Rather than ignoring realities, perhaps the church can lovingly </w:t>
      </w:r>
      <w:r w:rsidR="008D2874" w:rsidRPr="002E150C">
        <w:t>acknowledge the brokenness of reality with those who suffer it and journey together toward a rediscovery and restitution of our humanity created in God’s image, never perfect on this side of heaven, but something to not be ignored</w:t>
      </w:r>
      <w:r w:rsidR="007B0231" w:rsidRPr="002E150C">
        <w:t xml:space="preserve">. </w:t>
      </w:r>
      <w:r w:rsidR="008D2874" w:rsidRPr="002E150C">
        <w:t xml:space="preserve">(McGrath, 2022, p. 252) </w:t>
      </w:r>
      <w:r w:rsidR="004879E5" w:rsidRPr="002E150C">
        <w:t xml:space="preserve">We can faithfully advocate for medical care where biological disorder exists, mental and spiritual care for emotional distress and a clear communication of our identity as grounded in Christ and when </w:t>
      </w:r>
      <w:r w:rsidR="00BE4BAA" w:rsidRPr="002E150C">
        <w:t>necessary,</w:t>
      </w:r>
      <w:r w:rsidR="004879E5" w:rsidRPr="002E150C">
        <w:t xml:space="preserve"> admonition </w:t>
      </w:r>
      <w:r w:rsidR="00430338" w:rsidRPr="002E150C">
        <w:t>but erring on the side of caution with a Gospel emphasis.</w:t>
      </w:r>
    </w:p>
    <w:p w14:paraId="092D1E30" w14:textId="011C32DD" w:rsidR="00D56F4E" w:rsidRPr="002E150C" w:rsidRDefault="008C3065">
      <w:pPr>
        <w:tabs>
          <w:tab w:val="right" w:pos="8640"/>
          <w:tab w:val="right" w:pos="8640"/>
        </w:tabs>
      </w:pPr>
      <w:r w:rsidRPr="002E150C">
        <w:t xml:space="preserve">As a strategy, bridging </w:t>
      </w:r>
      <w:r w:rsidR="004108A1" w:rsidRPr="002E150C">
        <w:t>is useful in reaching out to trans individuals and their families to counter the supposed stigma and ostracism often experienced</w:t>
      </w:r>
      <w:r w:rsidR="007B0231" w:rsidRPr="002E150C">
        <w:t xml:space="preserve">. </w:t>
      </w:r>
      <w:r w:rsidR="00397D91" w:rsidRPr="002E150C">
        <w:t xml:space="preserve">Bridging builds relationships without denial of differences, but </w:t>
      </w:r>
      <w:r w:rsidR="00D94103" w:rsidRPr="002E150C">
        <w:t>transcending differences</w:t>
      </w:r>
      <w:r w:rsidR="007B0231" w:rsidRPr="002E150C">
        <w:t xml:space="preserve">. </w:t>
      </w:r>
      <w:r w:rsidR="00D94103" w:rsidRPr="002E150C">
        <w:t xml:space="preserve">(Chun &amp; Evans 2018, p. 1) </w:t>
      </w:r>
      <w:r w:rsidR="00DC58BF" w:rsidRPr="002E150C">
        <w:t>This will allow for faithful response that fits with the situation of the individuals</w:t>
      </w:r>
      <w:r w:rsidR="007B0231" w:rsidRPr="002E150C">
        <w:t xml:space="preserve">. </w:t>
      </w:r>
      <w:r w:rsidR="00DC58BF" w:rsidRPr="002E150C">
        <w:t>Given social media is a key community for these folks it would be wise for the church to have a social media presence addressing these issues with compassion and faithfulness</w:t>
      </w:r>
      <w:r w:rsidR="007B0231" w:rsidRPr="002E150C">
        <w:t xml:space="preserve">. </w:t>
      </w:r>
      <w:r w:rsidR="003F399C" w:rsidRPr="002E150C">
        <w:t>Training for pastors in seminary and continuing education would enhance engagement skills</w:t>
      </w:r>
      <w:r w:rsidR="007B0231" w:rsidRPr="002E150C">
        <w:t xml:space="preserve">. </w:t>
      </w:r>
      <w:r w:rsidR="001738F8" w:rsidRPr="002E150C">
        <w:t>Pastors should engage in self-study to understand how to equip the saints for this issue</w:t>
      </w:r>
      <w:r w:rsidR="007B0231" w:rsidRPr="002E150C">
        <w:t xml:space="preserve">. </w:t>
      </w:r>
      <w:r w:rsidR="00731E78" w:rsidRPr="002E150C">
        <w:t xml:space="preserve">Those with training and experience in this arena who manifest faithful Christian witness should be encouraged to step forward to teach and lead. </w:t>
      </w:r>
      <w:r w:rsidR="00AE3F6D" w:rsidRPr="002E150C">
        <w:t xml:space="preserve">It is expected that any discussion that smells anything like tolerance will engender pushback from traditional </w:t>
      </w:r>
      <w:r w:rsidR="00BE4BAA" w:rsidRPr="002E150C">
        <w:t>Christians but</w:t>
      </w:r>
      <w:r w:rsidR="008E7F56" w:rsidRPr="002E150C">
        <w:t xml:space="preserve"> highlighting the personal needs and teaching of the spiritual truths that can speak to suffering individuals may help to mitigate this response.</w:t>
      </w:r>
      <w:r w:rsidR="00514C1A" w:rsidRPr="002E150C">
        <w:br w:type="page"/>
      </w:r>
    </w:p>
    <w:p w14:paraId="22EBB9FB" w14:textId="77777777" w:rsidR="00D56F4E" w:rsidRPr="002E150C" w:rsidRDefault="00514C1A" w:rsidP="008513CF">
      <w:pPr>
        <w:tabs>
          <w:tab w:val="right" w:pos="8640"/>
          <w:tab w:val="right" w:pos="8640"/>
        </w:tabs>
        <w:ind w:firstLine="0"/>
        <w:jc w:val="center"/>
      </w:pPr>
      <w:r w:rsidRPr="002E150C">
        <w:lastRenderedPageBreak/>
        <w:t>WORKS CITED</w:t>
      </w:r>
    </w:p>
    <w:p w14:paraId="484AA1E8" w14:textId="77777777" w:rsidR="00D56F4E" w:rsidRPr="002E150C" w:rsidRDefault="00D56F4E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38471BC6" w14:textId="5A3BC8A6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Aldridge, Z., McDermott, H., Thorne, N., Arcelus, J., &amp; Witcomb, G. L. (2024). Social </w:t>
      </w:r>
      <w:r w:rsidR="008B34E7" w:rsidRPr="002E122B">
        <w:t>media creations of community and gender minority stress in transgender and gender-diverse adult</w:t>
      </w:r>
      <w:r w:rsidRPr="002E122B">
        <w:t xml:space="preserve">s. </w:t>
      </w:r>
      <w:r w:rsidRPr="002E122B">
        <w:rPr>
          <w:i/>
          <w:iCs/>
        </w:rPr>
        <w:t>Social Sciences</w:t>
      </w:r>
      <w:r w:rsidRPr="002E122B">
        <w:t xml:space="preserve">, </w:t>
      </w:r>
      <w:r w:rsidRPr="002E122B">
        <w:rPr>
          <w:i/>
          <w:iCs/>
        </w:rPr>
        <w:t>13</w:t>
      </w:r>
      <w:r w:rsidRPr="002E122B">
        <w:t xml:space="preserve">(9), 483. </w:t>
      </w:r>
      <w:hyperlink r:id="rId7" w:history="1">
        <w:r w:rsidRPr="002E122B">
          <w:rPr>
            <w:rStyle w:val="Hyperlink"/>
          </w:rPr>
          <w:t>https://doi.org/10.3390/socsci13090483</w:t>
        </w:r>
      </w:hyperlink>
    </w:p>
    <w:p w14:paraId="1D1DDB3E" w14:textId="77777777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Beek, T., Cohen-Kettenis, P., &amp; Kreukels, B. (2018). Gender incongruence/gender dysphoria and its classification history. In W. Bouman, A. de Vries, &amp; G. T’Sjoen (Eds.), </w:t>
      </w:r>
      <w:r w:rsidRPr="002E122B">
        <w:rPr>
          <w:i/>
          <w:iCs/>
        </w:rPr>
        <w:t>Gender Dysphoria and Gender Incongruence</w:t>
      </w:r>
      <w:r w:rsidRPr="002E122B">
        <w:t xml:space="preserve"> (1st ed.). Routledge. </w:t>
      </w:r>
      <w:hyperlink r:id="rId8" w:history="1">
        <w:r w:rsidRPr="002E122B">
          <w:rPr>
            <w:rStyle w:val="Hyperlink"/>
          </w:rPr>
          <w:t>https://www.perlego.com/book/1499952?gridPosition=1&amp;searchSubType=books</w:t>
        </w:r>
      </w:hyperlink>
    </w:p>
    <w:p w14:paraId="01CCCB74" w14:textId="51423BFE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Bouman, W., Vries, A. de, &amp; T’Sjoen, G. (Eds.). (2018). </w:t>
      </w:r>
      <w:r w:rsidRPr="002E122B">
        <w:rPr>
          <w:i/>
          <w:iCs/>
        </w:rPr>
        <w:t xml:space="preserve">Gender </w:t>
      </w:r>
      <w:r w:rsidR="008B34E7" w:rsidRPr="002E122B">
        <w:rPr>
          <w:i/>
          <w:iCs/>
        </w:rPr>
        <w:t>dysphoria and gender incongruence</w:t>
      </w:r>
      <w:r w:rsidR="008B34E7" w:rsidRPr="002E122B">
        <w:t xml:space="preserve"> </w:t>
      </w:r>
      <w:r w:rsidRPr="002E122B">
        <w:t xml:space="preserve">(1st ed.). Routledge. </w:t>
      </w:r>
      <w:hyperlink r:id="rId9" w:history="1">
        <w:r w:rsidRPr="002E122B">
          <w:rPr>
            <w:rStyle w:val="Hyperlink"/>
          </w:rPr>
          <w:t>https://www.perlego.com/book/1499952?gridPosition=1&amp;searchSubType=books</w:t>
        </w:r>
      </w:hyperlink>
    </w:p>
    <w:p w14:paraId="28A5C688" w14:textId="23F3B4F9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Chun, E., &amp; Evans, A. (2018). </w:t>
      </w:r>
      <w:r w:rsidRPr="002E122B">
        <w:rPr>
          <w:i/>
          <w:iCs/>
        </w:rPr>
        <w:t xml:space="preserve">Leading a </w:t>
      </w:r>
      <w:r w:rsidR="008B34E7" w:rsidRPr="002E122B">
        <w:rPr>
          <w:i/>
          <w:iCs/>
        </w:rPr>
        <w:t>diversity culture shift in higher education: comprehensive organizational learning strategies</w:t>
      </w:r>
      <w:r w:rsidR="008B34E7" w:rsidRPr="002E122B">
        <w:t xml:space="preserve"> </w:t>
      </w:r>
      <w:r w:rsidRPr="002E122B">
        <w:t xml:space="preserve">(1st ed.). Routledge. </w:t>
      </w:r>
      <w:hyperlink r:id="rId10" w:history="1">
        <w:r w:rsidRPr="002E122B">
          <w:rPr>
            <w:rStyle w:val="Hyperlink"/>
          </w:rPr>
          <w:t>https://www.perlego.com/book/1573888/leading-a-diversity-culture-shift-in-higher-education-comprehensive-organizational-learning-strategies?queryID=1cfbea85a2f2d574f79676775ab7fca5&amp;index=prod_BOOKS&amp;gridPosition=5&amp;searchType=title</w:t>
        </w:r>
      </w:hyperlink>
    </w:p>
    <w:p w14:paraId="6A2D767C" w14:textId="77777777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Evans, S., &amp; Evans, M. (2021). </w:t>
      </w:r>
      <w:r w:rsidRPr="002E122B">
        <w:rPr>
          <w:i/>
          <w:iCs/>
        </w:rPr>
        <w:t>Gender Dysphoria: A Therapeutic Model for Working with Children, Adolescents and Young Adults</w:t>
      </w:r>
      <w:r w:rsidRPr="002E122B">
        <w:t xml:space="preserve">. Phoenix Publishing House. </w:t>
      </w:r>
      <w:hyperlink r:id="rId11" w:history="1">
        <w:r w:rsidRPr="002E122B">
          <w:rPr>
            <w:rStyle w:val="Hyperlink"/>
          </w:rPr>
          <w:t>https://www.perlego.com/book/4347324/gender-dysphoria-a-therapeutic-model-for-working-with-children-adolescents-and-young-adults</w:t>
        </w:r>
      </w:hyperlink>
    </w:p>
    <w:p w14:paraId="6D2764DC" w14:textId="77777777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Feinmann, J. (2024). Puberty blockers: BMA calls for lifting of ban on prescribing to children. </w:t>
      </w:r>
      <w:r w:rsidRPr="002E122B">
        <w:rPr>
          <w:i/>
          <w:iCs/>
        </w:rPr>
        <w:t>BMJ : British Medical Journal (Online)</w:t>
      </w:r>
      <w:r w:rsidRPr="002E122B">
        <w:t xml:space="preserve">, </w:t>
      </w:r>
      <w:r w:rsidRPr="002E122B">
        <w:rPr>
          <w:i/>
          <w:iCs/>
        </w:rPr>
        <w:t>386</w:t>
      </w:r>
      <w:r w:rsidRPr="002E122B">
        <w:t xml:space="preserve">, q1722. </w:t>
      </w:r>
      <w:hyperlink r:id="rId12" w:history="1">
        <w:r w:rsidRPr="002E122B">
          <w:rPr>
            <w:rStyle w:val="Hyperlink"/>
          </w:rPr>
          <w:t>https://doi.org/10.1136/bmj.q1722</w:t>
        </w:r>
      </w:hyperlink>
    </w:p>
    <w:p w14:paraId="1B5548C1" w14:textId="77777777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rPr>
          <w:i/>
          <w:iCs/>
        </w:rPr>
        <w:t>Gender identity disorder or gender dysphoria in Christian perspective</w:t>
      </w:r>
      <w:r w:rsidRPr="002E122B">
        <w:t xml:space="preserve">. (2014). Lutheran Church Missouri Synod Commission on Theology and Church Relations. </w:t>
      </w:r>
      <w:hyperlink r:id="rId13" w:history="1">
        <w:r w:rsidRPr="002E122B">
          <w:rPr>
            <w:rStyle w:val="Hyperlink"/>
          </w:rPr>
          <w:t>https://files.lcms.org/</w:t>
        </w:r>
      </w:hyperlink>
    </w:p>
    <w:p w14:paraId="31D4DF44" w14:textId="77777777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Giangravé, C. (2024, October 14). Transgender and intersex Catholics ask pope to rethink church stance on gender-affirming care. </w:t>
      </w:r>
      <w:r w:rsidRPr="002E122B">
        <w:rPr>
          <w:i/>
          <w:iCs/>
        </w:rPr>
        <w:t>RNS</w:t>
      </w:r>
      <w:r w:rsidRPr="002E122B">
        <w:t xml:space="preserve">. </w:t>
      </w:r>
      <w:hyperlink r:id="rId14" w:history="1">
        <w:r w:rsidRPr="002E122B">
          <w:rPr>
            <w:rStyle w:val="Hyperlink"/>
          </w:rPr>
          <w:t>https://religionnews.com/2024/10/14/transgender-and-intersex-catholics-ask-pope-to-rethink-church-stance-on-gender-affirming-care/</w:t>
        </w:r>
      </w:hyperlink>
    </w:p>
    <w:p w14:paraId="4E8614A9" w14:textId="77777777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Greydanus, D. E., &amp; Codde, J. R. (2021). The transgender teen: Our duty to help! </w:t>
      </w:r>
      <w:r w:rsidRPr="002E122B">
        <w:rPr>
          <w:i/>
          <w:iCs/>
        </w:rPr>
        <w:t>International Journal of Child and Adolescent Health</w:t>
      </w:r>
      <w:r w:rsidRPr="002E122B">
        <w:t xml:space="preserve">, </w:t>
      </w:r>
      <w:r w:rsidRPr="002E122B">
        <w:rPr>
          <w:i/>
          <w:iCs/>
        </w:rPr>
        <w:t>14</w:t>
      </w:r>
      <w:r w:rsidRPr="002E122B">
        <w:t>(4), 327–331.</w:t>
      </w:r>
    </w:p>
    <w:p w14:paraId="08D372E3" w14:textId="45162E31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Guizzard, L. (2024). “Choosing the </w:t>
      </w:r>
      <w:r w:rsidR="005C66CA" w:rsidRPr="002E122B">
        <w:t>gender we feel we are is a profound choice</w:t>
      </w:r>
      <w:r w:rsidR="007B0231" w:rsidRPr="002E122B">
        <w:t>.”</w:t>
      </w:r>
      <w:r w:rsidRPr="002E122B">
        <w:t xml:space="preserve"> Gender Identities and Sexual Orientations Among Young People. </w:t>
      </w:r>
      <w:r w:rsidRPr="002E122B">
        <w:rPr>
          <w:i/>
          <w:iCs/>
        </w:rPr>
        <w:t>Italian Sociological Review</w:t>
      </w:r>
      <w:r w:rsidRPr="002E122B">
        <w:t xml:space="preserve">, </w:t>
      </w:r>
      <w:r w:rsidRPr="002E122B">
        <w:rPr>
          <w:i/>
          <w:iCs/>
        </w:rPr>
        <w:t>14</w:t>
      </w:r>
      <w:r w:rsidRPr="002E122B">
        <w:t xml:space="preserve">(1), 137–164. </w:t>
      </w:r>
      <w:hyperlink r:id="rId15" w:history="1">
        <w:r w:rsidRPr="002E122B">
          <w:rPr>
            <w:rStyle w:val="Hyperlink"/>
          </w:rPr>
          <w:t>https://doi.org/10.13136/isr.vl4il.641</w:t>
        </w:r>
      </w:hyperlink>
    </w:p>
    <w:p w14:paraId="5ED566CD" w14:textId="77777777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Kreukels, B., &amp; Guillamon, A. (2018). Neuroimaging studies in people with gender incongruence. In W. Bouman, A. de Vries, &amp; G. T’Sjoen (Eds.), </w:t>
      </w:r>
      <w:r w:rsidRPr="002E122B">
        <w:rPr>
          <w:i/>
          <w:iCs/>
        </w:rPr>
        <w:t>Gender Dysphoria and Gender Incongruence</w:t>
      </w:r>
      <w:r w:rsidRPr="002E122B">
        <w:t xml:space="preserve"> (1st ed.). Routledge. </w:t>
      </w:r>
      <w:hyperlink r:id="rId16" w:history="1">
        <w:r w:rsidRPr="002E122B">
          <w:rPr>
            <w:rStyle w:val="Hyperlink"/>
          </w:rPr>
          <w:t>https://www.perlego.com/book/1499952?gridPosition=1&amp;searchSubType=books</w:t>
        </w:r>
      </w:hyperlink>
    </w:p>
    <w:p w14:paraId="0E9641AD" w14:textId="2974D29A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Layland, E. K., Bränström, R., Murchison, G. R., &amp; Pachankis, J. E. (2023). Kept in the </w:t>
      </w:r>
      <w:r w:rsidR="005C66CA" w:rsidRPr="002E122B">
        <w:t>closet</w:t>
      </w:r>
      <w:r w:rsidRPr="002E122B">
        <w:t xml:space="preserve">: Structural </w:t>
      </w:r>
      <w:r w:rsidR="005C66CA" w:rsidRPr="002E122B">
        <w:t xml:space="preserve">stigma and the timing of sexual minority developmental milestones across 28 </w:t>
      </w:r>
      <w:r w:rsidR="005C66CA" w:rsidRPr="002E122B">
        <w:lastRenderedPageBreak/>
        <w:t>European countrie</w:t>
      </w:r>
      <w:r w:rsidRPr="002E122B">
        <w:t xml:space="preserve">s. </w:t>
      </w:r>
      <w:r w:rsidRPr="002E122B">
        <w:rPr>
          <w:i/>
          <w:iCs/>
        </w:rPr>
        <w:t>Journal of Youth and Adolescence</w:t>
      </w:r>
      <w:r w:rsidRPr="002E122B">
        <w:t xml:space="preserve">, </w:t>
      </w:r>
      <w:r w:rsidRPr="002E122B">
        <w:rPr>
          <w:i/>
          <w:iCs/>
        </w:rPr>
        <w:t>52</w:t>
      </w:r>
      <w:r w:rsidRPr="002E122B">
        <w:t xml:space="preserve">(10), 2012–2030. </w:t>
      </w:r>
      <w:hyperlink r:id="rId17" w:history="1">
        <w:r w:rsidRPr="002E122B">
          <w:rPr>
            <w:rStyle w:val="Hyperlink"/>
          </w:rPr>
          <w:t>https://doi.org/10.1007/s10964-023-01818-2</w:t>
        </w:r>
      </w:hyperlink>
    </w:p>
    <w:p w14:paraId="356242A5" w14:textId="39101C7D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Littman, L. (2021). Individuals </w:t>
      </w:r>
      <w:r w:rsidR="005C66CA" w:rsidRPr="002E122B">
        <w:t>treated for gender dysphoria with medical and/or surgical transition who subsequently detransitioned</w:t>
      </w:r>
      <w:r w:rsidRPr="002E122B">
        <w:t xml:space="preserve">: A </w:t>
      </w:r>
      <w:r w:rsidR="005C66CA" w:rsidRPr="002E122B">
        <w:t xml:space="preserve">survey </w:t>
      </w:r>
      <w:r w:rsidRPr="002E122B">
        <w:t xml:space="preserve">of 100 </w:t>
      </w:r>
      <w:r w:rsidR="005C66CA" w:rsidRPr="002E122B">
        <w:t>detransitioners</w:t>
      </w:r>
      <w:r w:rsidRPr="002E122B">
        <w:t xml:space="preserve">. </w:t>
      </w:r>
      <w:r w:rsidRPr="002E122B">
        <w:rPr>
          <w:i/>
          <w:iCs/>
        </w:rPr>
        <w:t>Archives of Sexual Behavior</w:t>
      </w:r>
      <w:r w:rsidRPr="002E122B">
        <w:t xml:space="preserve">, </w:t>
      </w:r>
      <w:r w:rsidRPr="002E122B">
        <w:rPr>
          <w:i/>
          <w:iCs/>
        </w:rPr>
        <w:t>50</w:t>
      </w:r>
      <w:r w:rsidRPr="002E122B">
        <w:t xml:space="preserve">(8), 3353–3369. </w:t>
      </w:r>
      <w:hyperlink r:id="rId18" w:history="1">
        <w:r w:rsidRPr="002E122B">
          <w:rPr>
            <w:rStyle w:val="Hyperlink"/>
          </w:rPr>
          <w:t>https://doi.org/10.1007/s10508-021-02163-w</w:t>
        </w:r>
      </w:hyperlink>
    </w:p>
    <w:p w14:paraId="4183F055" w14:textId="77777777" w:rsidR="00184C55" w:rsidRDefault="002E122B" w:rsidP="00184C55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MacMullin, L. N., Bokeloh, L. M., Natisha, N. A., Alanna, S., R, van der M. A. I., Peragine, D. E., &amp; VanderLaan, D. P. (2021). Examining </w:t>
      </w:r>
      <w:r w:rsidR="005C66CA" w:rsidRPr="002E122B">
        <w:t xml:space="preserve">the relation between gender nonconformity </w:t>
      </w:r>
    </w:p>
    <w:p w14:paraId="15A381A5" w14:textId="1C95FFD3" w:rsidR="002E122B" w:rsidRPr="002E122B" w:rsidRDefault="005C66CA" w:rsidP="00514C1A">
      <w:pPr>
        <w:pStyle w:val="Title"/>
        <w:tabs>
          <w:tab w:val="right" w:pos="8640"/>
          <w:tab w:val="right" w:pos="8640"/>
        </w:tabs>
        <w:ind w:left="720"/>
        <w:jc w:val="left"/>
      </w:pPr>
      <w:r w:rsidRPr="002E122B">
        <w:t>and psychological well-being in children</w:t>
      </w:r>
      <w:r w:rsidR="002E122B" w:rsidRPr="002E122B">
        <w:t xml:space="preserve">: The </w:t>
      </w:r>
      <w:r w:rsidRPr="002E122B">
        <w:t>roles of peers and parents</w:t>
      </w:r>
      <w:r w:rsidR="002E122B" w:rsidRPr="002E122B">
        <w:t xml:space="preserve">. </w:t>
      </w:r>
      <w:r w:rsidR="002E122B" w:rsidRPr="002E122B">
        <w:rPr>
          <w:i/>
          <w:iCs/>
        </w:rPr>
        <w:t>Archives of Sexual Behavior</w:t>
      </w:r>
      <w:r w:rsidR="002E122B" w:rsidRPr="002E122B">
        <w:t xml:space="preserve">, </w:t>
      </w:r>
      <w:r w:rsidR="002E122B" w:rsidRPr="002E122B">
        <w:rPr>
          <w:i/>
          <w:iCs/>
        </w:rPr>
        <w:t>50</w:t>
      </w:r>
      <w:r w:rsidR="002E122B" w:rsidRPr="002E122B">
        <w:t xml:space="preserve">(3), 823–841. </w:t>
      </w:r>
      <w:hyperlink r:id="rId19" w:history="1">
        <w:r w:rsidR="002E122B" w:rsidRPr="002E122B">
          <w:rPr>
            <w:rStyle w:val="Hyperlink"/>
          </w:rPr>
          <w:t>https://doi.org/10.1007/s10508-020-01832-6</w:t>
        </w:r>
      </w:hyperlink>
    </w:p>
    <w:p w14:paraId="2EB07FA9" w14:textId="1997C1A3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McGrath, A. E. (2022). </w:t>
      </w:r>
      <w:r w:rsidRPr="002E122B">
        <w:rPr>
          <w:i/>
          <w:iCs/>
        </w:rPr>
        <w:t xml:space="preserve">Historical </w:t>
      </w:r>
      <w:r w:rsidR="005C66CA" w:rsidRPr="002E122B">
        <w:rPr>
          <w:i/>
          <w:iCs/>
        </w:rPr>
        <w:t>theology</w:t>
      </w:r>
      <w:r w:rsidR="005C66CA" w:rsidRPr="002E122B">
        <w:t xml:space="preserve"> </w:t>
      </w:r>
      <w:r w:rsidRPr="002E122B">
        <w:t>(3rd ed., p. 252). Wiley-Blackwell.</w:t>
      </w:r>
    </w:p>
    <w:p w14:paraId="441E3D5A" w14:textId="0F645B5A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McLaughlin, R. (2019). </w:t>
      </w:r>
      <w:r w:rsidRPr="002E122B">
        <w:rPr>
          <w:i/>
          <w:iCs/>
        </w:rPr>
        <w:t>Confronting Christianity</w:t>
      </w:r>
      <w:r w:rsidRPr="002E122B">
        <w:t>. Crossway.</w:t>
      </w:r>
    </w:p>
    <w:p w14:paraId="5724800F" w14:textId="3A009F3C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Mertz, M. (2015, April). Takes on “Taboo” Topics. </w:t>
      </w:r>
      <w:r w:rsidRPr="002E122B">
        <w:rPr>
          <w:i/>
          <w:iCs/>
        </w:rPr>
        <w:t xml:space="preserve">Lutherans </w:t>
      </w:r>
      <w:r w:rsidR="00AA22EF" w:rsidRPr="002E122B">
        <w:rPr>
          <w:i/>
          <w:iCs/>
        </w:rPr>
        <w:t>engage the world</w:t>
      </w:r>
      <w:r w:rsidRPr="002E122B">
        <w:t xml:space="preserve">, </w:t>
      </w:r>
      <w:r w:rsidRPr="002E122B">
        <w:rPr>
          <w:i/>
          <w:iCs/>
        </w:rPr>
        <w:t>3</w:t>
      </w:r>
      <w:r w:rsidRPr="002E122B">
        <w:t>(4), 19.</w:t>
      </w:r>
    </w:p>
    <w:p w14:paraId="2E519B8A" w14:textId="750B0804" w:rsidR="002E122B" w:rsidRPr="002E122B" w:rsidRDefault="00E54539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50C">
        <w:t>Michigan LCMS</w:t>
      </w:r>
      <w:r w:rsidR="002E122B" w:rsidRPr="002E122B">
        <w:t xml:space="preserve"> District (Director). (2019, October 25). </w:t>
      </w:r>
      <w:r w:rsidR="002E122B" w:rsidRPr="002E122B">
        <w:rPr>
          <w:i/>
          <w:iCs/>
        </w:rPr>
        <w:t>Rev. William (Billy) A. Brath “LGBTQ” Breakout Session—APC 2019</w:t>
      </w:r>
      <w:r w:rsidR="002E122B" w:rsidRPr="002E122B">
        <w:t xml:space="preserve"> [Video recording]. </w:t>
      </w:r>
      <w:hyperlink r:id="rId20" w:history="1">
        <w:r w:rsidR="002E122B" w:rsidRPr="002E122B">
          <w:rPr>
            <w:rStyle w:val="Hyperlink"/>
          </w:rPr>
          <w:t>https://www.youtube.com/watch?v=cgM_6ejcUW8</w:t>
        </w:r>
      </w:hyperlink>
    </w:p>
    <w:p w14:paraId="2E87F2B2" w14:textId="2B1C745D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Neumann, D. J. (2022). “A </w:t>
      </w:r>
      <w:r w:rsidR="00AA22EF" w:rsidRPr="002E122B">
        <w:t>definitive but unsatisfying answer</w:t>
      </w:r>
      <w:r w:rsidRPr="002E122B">
        <w:t xml:space="preserve">”: The </w:t>
      </w:r>
      <w:r w:rsidR="00AA22EF" w:rsidRPr="002E122B">
        <w:t>evangelical response to g</w:t>
      </w:r>
      <w:r w:rsidRPr="002E122B">
        <w:t xml:space="preserve">ay Christians. </w:t>
      </w:r>
      <w:r w:rsidRPr="002E122B">
        <w:rPr>
          <w:i/>
          <w:iCs/>
        </w:rPr>
        <w:t xml:space="preserve">Religion and American </w:t>
      </w:r>
      <w:r w:rsidR="00BE4BAA" w:rsidRPr="002E122B">
        <w:rPr>
          <w:i/>
          <w:iCs/>
        </w:rPr>
        <w:t>Culture:</w:t>
      </w:r>
      <w:r w:rsidRPr="002E122B">
        <w:rPr>
          <w:i/>
          <w:iCs/>
        </w:rPr>
        <w:t xml:space="preserve"> R &amp; AC</w:t>
      </w:r>
      <w:r w:rsidRPr="002E122B">
        <w:t xml:space="preserve">, </w:t>
      </w:r>
      <w:r w:rsidRPr="002E122B">
        <w:rPr>
          <w:i/>
          <w:iCs/>
        </w:rPr>
        <w:t>32</w:t>
      </w:r>
      <w:r w:rsidRPr="002E122B">
        <w:t xml:space="preserve">(1), 108–147. </w:t>
      </w:r>
      <w:hyperlink r:id="rId21" w:history="1">
        <w:r w:rsidRPr="002E122B">
          <w:rPr>
            <w:rStyle w:val="Hyperlink"/>
          </w:rPr>
          <w:t>https://doi.org/10.1017/rac.2021.21</w:t>
        </w:r>
      </w:hyperlink>
    </w:p>
    <w:p w14:paraId="21C10DB5" w14:textId="1EAF12D0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>Schulz, M. (2024a, May 22). He/</w:t>
      </w:r>
      <w:r w:rsidR="00AA22EF" w:rsidRPr="002E122B">
        <w:t>him, she/her, they/them</w:t>
      </w:r>
      <w:r w:rsidRPr="002E122B">
        <w:t xml:space="preserve">? </w:t>
      </w:r>
      <w:r w:rsidRPr="002E122B">
        <w:rPr>
          <w:i/>
          <w:iCs/>
        </w:rPr>
        <w:t>Fully Known and Truly Loved</w:t>
      </w:r>
      <w:r w:rsidRPr="002E122B">
        <w:t xml:space="preserve">. </w:t>
      </w:r>
      <w:hyperlink r:id="rId22" w:history="1">
        <w:r w:rsidRPr="002E122B">
          <w:rPr>
            <w:rStyle w:val="Hyperlink"/>
          </w:rPr>
          <w:t>https://fullyandtruly.blog/blog/</w:t>
        </w:r>
      </w:hyperlink>
    </w:p>
    <w:p w14:paraId="0637A51C" w14:textId="4BEA10FB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Schulz, M. (2024b, July 8). Pronouns part two. </w:t>
      </w:r>
      <w:r w:rsidRPr="002E122B">
        <w:rPr>
          <w:i/>
          <w:iCs/>
        </w:rPr>
        <w:t xml:space="preserve">Fully </w:t>
      </w:r>
      <w:r w:rsidR="00AA22EF" w:rsidRPr="002E122B">
        <w:rPr>
          <w:i/>
          <w:iCs/>
        </w:rPr>
        <w:t>Known And Truly Loved</w:t>
      </w:r>
      <w:r w:rsidRPr="002E122B">
        <w:t xml:space="preserve">. </w:t>
      </w:r>
      <w:hyperlink r:id="rId23" w:history="1">
        <w:r w:rsidRPr="002E122B">
          <w:rPr>
            <w:rStyle w:val="Hyperlink"/>
          </w:rPr>
          <w:t>https://fullyandtruly.blog/blog/</w:t>
        </w:r>
      </w:hyperlink>
    </w:p>
    <w:p w14:paraId="1FC5DA2C" w14:textId="5C0B9C45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lastRenderedPageBreak/>
        <w:t xml:space="preserve">Schwartz, S. E. (2024). X </w:t>
      </w:r>
      <w:r w:rsidR="00AA22EF" w:rsidRPr="002E122B">
        <w:t>marks our spots</w:t>
      </w:r>
      <w:r w:rsidRPr="002E122B">
        <w:t xml:space="preserve">: Religion and </w:t>
      </w:r>
      <w:r w:rsidR="00D6431B" w:rsidRPr="002E122B">
        <w:t>gender in transition</w:t>
      </w:r>
      <w:r w:rsidRPr="002E122B">
        <w:t xml:space="preserve">. </w:t>
      </w:r>
      <w:r w:rsidRPr="002E122B">
        <w:rPr>
          <w:i/>
          <w:iCs/>
        </w:rPr>
        <w:t>Journal of Feminist Studies in Religion</w:t>
      </w:r>
      <w:r w:rsidRPr="002E122B">
        <w:t xml:space="preserve">, </w:t>
      </w:r>
      <w:r w:rsidRPr="002E122B">
        <w:rPr>
          <w:i/>
          <w:iCs/>
        </w:rPr>
        <w:t>40</w:t>
      </w:r>
      <w:r w:rsidRPr="002E122B">
        <w:t xml:space="preserve">(1), 117–145. </w:t>
      </w:r>
      <w:hyperlink r:id="rId24" w:history="1">
        <w:r w:rsidRPr="002E122B">
          <w:rPr>
            <w:rStyle w:val="Hyperlink"/>
          </w:rPr>
          <w:t>https://doi.org/10.2979/jfs.00011</w:t>
        </w:r>
      </w:hyperlink>
    </w:p>
    <w:p w14:paraId="044F89E7" w14:textId="77777777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Sey, J. (2024, October 31). Healthcare used to be based on science. Now it’s based on vibes. </w:t>
      </w:r>
      <w:r w:rsidRPr="002E122B">
        <w:rPr>
          <w:i/>
          <w:iCs/>
        </w:rPr>
        <w:t>Washington Examiner</w:t>
      </w:r>
      <w:r w:rsidRPr="002E122B">
        <w:t xml:space="preserve">. </w:t>
      </w:r>
      <w:hyperlink r:id="rId25" w:history="1">
        <w:r w:rsidRPr="002E122B">
          <w:rPr>
            <w:rStyle w:val="Hyperlink"/>
          </w:rPr>
          <w:t>https://www.washingtonexaminer.com/restoring-america/3209554/healthcare-used-to-be-based-on-science-now-its-based-on-vibes/</w:t>
        </w:r>
      </w:hyperlink>
    </w:p>
    <w:p w14:paraId="7A6A1411" w14:textId="77777777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Shingange, T. (2024). Biblical discourses and the construction of genders and sexualities in contemporary South Africa: A decolonial analysis. </w:t>
      </w:r>
      <w:r w:rsidRPr="002E122B">
        <w:rPr>
          <w:i/>
          <w:iCs/>
        </w:rPr>
        <w:t>Hervormde Teologiese Studies</w:t>
      </w:r>
      <w:r w:rsidRPr="002E122B">
        <w:t xml:space="preserve">, </w:t>
      </w:r>
      <w:r w:rsidRPr="002E122B">
        <w:rPr>
          <w:i/>
          <w:iCs/>
        </w:rPr>
        <w:t>80</w:t>
      </w:r>
      <w:r w:rsidRPr="002E122B">
        <w:t xml:space="preserve">(2). </w:t>
      </w:r>
      <w:hyperlink r:id="rId26" w:history="1">
        <w:r w:rsidRPr="002E122B">
          <w:rPr>
            <w:rStyle w:val="Hyperlink"/>
          </w:rPr>
          <w:t>https://doi.org/10.4102/hts.v80i2.8898</w:t>
        </w:r>
      </w:hyperlink>
    </w:p>
    <w:p w14:paraId="5290D65F" w14:textId="0EBD8655" w:rsidR="002E122B" w:rsidRPr="002E122B" w:rsidRDefault="002136C2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50C">
        <w:t>LCMS</w:t>
      </w:r>
      <w:r w:rsidR="002E122B" w:rsidRPr="002E122B">
        <w:t xml:space="preserve">. (2022). </w:t>
      </w:r>
      <w:r w:rsidR="002E122B" w:rsidRPr="002E122B">
        <w:rPr>
          <w:i/>
          <w:iCs/>
        </w:rPr>
        <w:t>CTCR report with presidential recommendation Letter—"A chaste and decent life: An update to human sexuality 1981</w:t>
      </w:r>
      <w:r w:rsidR="002E122B" w:rsidRPr="002E122B">
        <w:t xml:space="preserve">. Lutheran Church Missouri Synod Commission on Theology and Church Relations. </w:t>
      </w:r>
      <w:hyperlink r:id="rId27" w:history="1">
        <w:r w:rsidR="002E122B" w:rsidRPr="002E122B">
          <w:rPr>
            <w:rStyle w:val="Hyperlink"/>
          </w:rPr>
          <w:t>https://files.lcms.org/file/preview/F47D5455-58F5-4AA0-B6AA-CDF5E9CF21ED?_gl=1*1de3693*_ga*NjM0ODcyODg0LjE3MDI0MDYzMTc.*_ga_Z0184DBP2L*MTcyOTU0NDAwMS41Ny4xLjE3Mjk1NDQ2MDIuMC4wLjA.</w:t>
        </w:r>
      </w:hyperlink>
    </w:p>
    <w:p w14:paraId="57DF8F9B" w14:textId="7B6CF17C" w:rsidR="002E122B" w:rsidRPr="002E122B" w:rsidRDefault="002E122B" w:rsidP="002E150C">
      <w:pPr>
        <w:pStyle w:val="Title"/>
        <w:tabs>
          <w:tab w:val="right" w:pos="8640"/>
          <w:tab w:val="right" w:pos="8640"/>
        </w:tabs>
        <w:ind w:left="720" w:hanging="720"/>
        <w:jc w:val="left"/>
      </w:pPr>
      <w:r w:rsidRPr="002E122B">
        <w:t xml:space="preserve">Veith, Gene. (2020). </w:t>
      </w:r>
      <w:r w:rsidRPr="002E122B">
        <w:rPr>
          <w:i/>
          <w:iCs/>
        </w:rPr>
        <w:t xml:space="preserve">Post-Christian: A </w:t>
      </w:r>
      <w:r w:rsidR="00E30DE0" w:rsidRPr="002E122B">
        <w:rPr>
          <w:i/>
          <w:iCs/>
        </w:rPr>
        <w:t>guide to contemporary thought and culture</w:t>
      </w:r>
      <w:r w:rsidRPr="002E122B">
        <w:t xml:space="preserve">. Crossway. </w:t>
      </w:r>
      <w:hyperlink r:id="rId28" w:history="1">
        <w:r w:rsidRPr="002E122B">
          <w:rPr>
            <w:rStyle w:val="Hyperlink"/>
          </w:rPr>
          <w:t>https://www.scribd.com/book/452469127/Post-Christian-A-Guide-to-Contemporary-Thought-and-Culture</w:t>
        </w:r>
      </w:hyperlink>
    </w:p>
    <w:p w14:paraId="7232254F" w14:textId="77777777" w:rsidR="00D56F4E" w:rsidRDefault="00D56F4E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8CE3459" w14:textId="77777777" w:rsidR="00D56F4E" w:rsidRDefault="00D56F4E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D56F4E">
      <w:headerReference w:type="default" r:id="rId2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ECECE" w14:textId="77777777" w:rsidR="00AF1F65" w:rsidRDefault="00AF1F65">
      <w:pPr>
        <w:spacing w:line="240" w:lineRule="auto"/>
      </w:pPr>
      <w:r>
        <w:separator/>
      </w:r>
    </w:p>
  </w:endnote>
  <w:endnote w:type="continuationSeparator" w:id="0">
    <w:p w14:paraId="03B9B2E6" w14:textId="77777777" w:rsidR="00AF1F65" w:rsidRDefault="00AF1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D723D" w14:textId="77777777" w:rsidR="00AF1F65" w:rsidRDefault="00AF1F65">
      <w:pPr>
        <w:spacing w:line="240" w:lineRule="auto"/>
      </w:pPr>
      <w:r>
        <w:separator/>
      </w:r>
    </w:p>
  </w:footnote>
  <w:footnote w:type="continuationSeparator" w:id="0">
    <w:p w14:paraId="199EE42B" w14:textId="77777777" w:rsidR="00AF1F65" w:rsidRDefault="00AF1F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126A" w14:textId="74755FA9" w:rsidR="00AB3609" w:rsidRDefault="00AB3609" w:rsidP="00AB3609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</w:pPr>
    <w:r>
      <w:t xml:space="preserve">  </w:t>
    </w:r>
    <w:r>
      <w:rPr>
        <w:sz w:val="20"/>
        <w:szCs w:val="20"/>
      </w:rPr>
      <w:t xml:space="preserve">David D. Reedy,    PHI 923,     Contextualization,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3,     11/27/2024                                               </w:t>
    </w:r>
    <w:sdt>
      <w:sdtPr>
        <w:id w:val="1827076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B9"/>
    <w:rsid w:val="00007D89"/>
    <w:rsid w:val="00016A2F"/>
    <w:rsid w:val="00024383"/>
    <w:rsid w:val="00034942"/>
    <w:rsid w:val="0004134B"/>
    <w:rsid w:val="000473AE"/>
    <w:rsid w:val="00075287"/>
    <w:rsid w:val="000B58EB"/>
    <w:rsid w:val="000C3022"/>
    <w:rsid w:val="0010044E"/>
    <w:rsid w:val="00112681"/>
    <w:rsid w:val="00116813"/>
    <w:rsid w:val="00124F41"/>
    <w:rsid w:val="00143FC1"/>
    <w:rsid w:val="001537EF"/>
    <w:rsid w:val="00164D64"/>
    <w:rsid w:val="001738F8"/>
    <w:rsid w:val="00183FDF"/>
    <w:rsid w:val="00184C55"/>
    <w:rsid w:val="001927B0"/>
    <w:rsid w:val="001A6301"/>
    <w:rsid w:val="001B3C53"/>
    <w:rsid w:val="001B5660"/>
    <w:rsid w:val="002012FB"/>
    <w:rsid w:val="002133F4"/>
    <w:rsid w:val="002136C2"/>
    <w:rsid w:val="00224BEC"/>
    <w:rsid w:val="0023022E"/>
    <w:rsid w:val="00233CAB"/>
    <w:rsid w:val="00245CDA"/>
    <w:rsid w:val="0029152F"/>
    <w:rsid w:val="002A5BB0"/>
    <w:rsid w:val="002B065E"/>
    <w:rsid w:val="002B299E"/>
    <w:rsid w:val="002B2EC6"/>
    <w:rsid w:val="002E122B"/>
    <w:rsid w:val="002E150C"/>
    <w:rsid w:val="00326BD5"/>
    <w:rsid w:val="00351FB6"/>
    <w:rsid w:val="003547E3"/>
    <w:rsid w:val="00397D91"/>
    <w:rsid w:val="003A23C3"/>
    <w:rsid w:val="003A25DF"/>
    <w:rsid w:val="003A746C"/>
    <w:rsid w:val="003B7863"/>
    <w:rsid w:val="003C4580"/>
    <w:rsid w:val="003F399C"/>
    <w:rsid w:val="004108A1"/>
    <w:rsid w:val="00414947"/>
    <w:rsid w:val="00421703"/>
    <w:rsid w:val="00427A40"/>
    <w:rsid w:val="00430338"/>
    <w:rsid w:val="00433EFE"/>
    <w:rsid w:val="0047126E"/>
    <w:rsid w:val="00481E32"/>
    <w:rsid w:val="004879E5"/>
    <w:rsid w:val="004933FF"/>
    <w:rsid w:val="00496BEE"/>
    <w:rsid w:val="004A1177"/>
    <w:rsid w:val="004E45B9"/>
    <w:rsid w:val="00511EF0"/>
    <w:rsid w:val="00514C1A"/>
    <w:rsid w:val="00524188"/>
    <w:rsid w:val="005639C5"/>
    <w:rsid w:val="005834DC"/>
    <w:rsid w:val="0058355E"/>
    <w:rsid w:val="005A18B1"/>
    <w:rsid w:val="005A5F3A"/>
    <w:rsid w:val="005C66CA"/>
    <w:rsid w:val="005D539F"/>
    <w:rsid w:val="005F3E69"/>
    <w:rsid w:val="00603ACC"/>
    <w:rsid w:val="0062244F"/>
    <w:rsid w:val="00623320"/>
    <w:rsid w:val="00633BD8"/>
    <w:rsid w:val="00634681"/>
    <w:rsid w:val="00665D35"/>
    <w:rsid w:val="00667A10"/>
    <w:rsid w:val="006746FB"/>
    <w:rsid w:val="006760D4"/>
    <w:rsid w:val="006C4AB0"/>
    <w:rsid w:val="006E5A43"/>
    <w:rsid w:val="00731944"/>
    <w:rsid w:val="00731E78"/>
    <w:rsid w:val="00733C28"/>
    <w:rsid w:val="007744F9"/>
    <w:rsid w:val="00781C24"/>
    <w:rsid w:val="00794076"/>
    <w:rsid w:val="007A1CCC"/>
    <w:rsid w:val="007A71AC"/>
    <w:rsid w:val="007B0231"/>
    <w:rsid w:val="007D0D77"/>
    <w:rsid w:val="007D6BE8"/>
    <w:rsid w:val="00825DF1"/>
    <w:rsid w:val="00846961"/>
    <w:rsid w:val="008513CF"/>
    <w:rsid w:val="0085184A"/>
    <w:rsid w:val="00885B0D"/>
    <w:rsid w:val="008B34E7"/>
    <w:rsid w:val="008C3065"/>
    <w:rsid w:val="008D2874"/>
    <w:rsid w:val="008E7F56"/>
    <w:rsid w:val="008F0FD0"/>
    <w:rsid w:val="008F6F53"/>
    <w:rsid w:val="00917FA5"/>
    <w:rsid w:val="0093649A"/>
    <w:rsid w:val="00964466"/>
    <w:rsid w:val="00995C6A"/>
    <w:rsid w:val="009A6076"/>
    <w:rsid w:val="009D4001"/>
    <w:rsid w:val="009F3CCA"/>
    <w:rsid w:val="00A32FB6"/>
    <w:rsid w:val="00A330C3"/>
    <w:rsid w:val="00A6476F"/>
    <w:rsid w:val="00AA22EF"/>
    <w:rsid w:val="00AA26B5"/>
    <w:rsid w:val="00AB3609"/>
    <w:rsid w:val="00AC6DE4"/>
    <w:rsid w:val="00AE3F6D"/>
    <w:rsid w:val="00AF1F65"/>
    <w:rsid w:val="00AF3348"/>
    <w:rsid w:val="00B12F53"/>
    <w:rsid w:val="00B16670"/>
    <w:rsid w:val="00B205A6"/>
    <w:rsid w:val="00B251AF"/>
    <w:rsid w:val="00B6705E"/>
    <w:rsid w:val="00BB26FF"/>
    <w:rsid w:val="00BE1E23"/>
    <w:rsid w:val="00BE432B"/>
    <w:rsid w:val="00BE4BAA"/>
    <w:rsid w:val="00BE5060"/>
    <w:rsid w:val="00C043EF"/>
    <w:rsid w:val="00C120C0"/>
    <w:rsid w:val="00C147CA"/>
    <w:rsid w:val="00C149B6"/>
    <w:rsid w:val="00C168E4"/>
    <w:rsid w:val="00C53892"/>
    <w:rsid w:val="00C54BD0"/>
    <w:rsid w:val="00C756D2"/>
    <w:rsid w:val="00CA4390"/>
    <w:rsid w:val="00CA79FB"/>
    <w:rsid w:val="00D17D14"/>
    <w:rsid w:val="00D24CA5"/>
    <w:rsid w:val="00D26886"/>
    <w:rsid w:val="00D56F4E"/>
    <w:rsid w:val="00D6431B"/>
    <w:rsid w:val="00D90CF6"/>
    <w:rsid w:val="00D94103"/>
    <w:rsid w:val="00D968B1"/>
    <w:rsid w:val="00DA1C03"/>
    <w:rsid w:val="00DA26B6"/>
    <w:rsid w:val="00DC58BF"/>
    <w:rsid w:val="00DD7BB0"/>
    <w:rsid w:val="00DF11A2"/>
    <w:rsid w:val="00E04D44"/>
    <w:rsid w:val="00E24668"/>
    <w:rsid w:val="00E30DE0"/>
    <w:rsid w:val="00E47AB5"/>
    <w:rsid w:val="00E54539"/>
    <w:rsid w:val="00E61DC5"/>
    <w:rsid w:val="00E640DB"/>
    <w:rsid w:val="00E9617D"/>
    <w:rsid w:val="00EB4A7C"/>
    <w:rsid w:val="00ED1FD1"/>
    <w:rsid w:val="00ED642B"/>
    <w:rsid w:val="00F05673"/>
    <w:rsid w:val="00F42EA3"/>
    <w:rsid w:val="00F64173"/>
    <w:rsid w:val="00F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84CA"/>
  <w15:docId w15:val="{25BEE985-B565-4F0A-A68E-C0BD4A76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E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lego.com/book/1499952?gridPosition=1&amp;searchSubType=books" TargetMode="External"/><Relationship Id="rId13" Type="http://schemas.openxmlformats.org/officeDocument/2006/relationships/hyperlink" Target="https://files.lcms.org/" TargetMode="External"/><Relationship Id="rId18" Type="http://schemas.openxmlformats.org/officeDocument/2006/relationships/hyperlink" Target="https://doi.org/10.1007/s10508-021-02163-w" TargetMode="External"/><Relationship Id="rId26" Type="http://schemas.openxmlformats.org/officeDocument/2006/relationships/hyperlink" Target="https://doi.org/10.4102/hts.v80i2.88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7/rac.2021.21" TargetMode="External"/><Relationship Id="rId7" Type="http://schemas.openxmlformats.org/officeDocument/2006/relationships/hyperlink" Target="https://doi.org/10.3390/socsci13090483" TargetMode="External"/><Relationship Id="rId12" Type="http://schemas.openxmlformats.org/officeDocument/2006/relationships/hyperlink" Target="https://doi.org/10.1136/bmj.q1722" TargetMode="External"/><Relationship Id="rId17" Type="http://schemas.openxmlformats.org/officeDocument/2006/relationships/hyperlink" Target="https://doi.org/10.1007/s10964-023-01818-2" TargetMode="External"/><Relationship Id="rId25" Type="http://schemas.openxmlformats.org/officeDocument/2006/relationships/hyperlink" Target="https://www.washingtonexaminer.com/restoring-america/3209554/healthcare-used-to-be-based-on-science-now-its-based-on-vib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rlego.com/book/1499952?gridPosition=1&amp;searchSubType=books" TargetMode="External"/><Relationship Id="rId20" Type="http://schemas.openxmlformats.org/officeDocument/2006/relationships/hyperlink" Target="https://www.youtube.com/watch?v=cgM_6ejcUW8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erlego.com/book/4347324/gender-dysphoria-a-therapeutic-model-for-working-with-children-adolescents-and-young-adults" TargetMode="External"/><Relationship Id="rId24" Type="http://schemas.openxmlformats.org/officeDocument/2006/relationships/hyperlink" Target="https://doi.org/10.2979/jfs.000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3136/isr.vl4il.641" TargetMode="External"/><Relationship Id="rId23" Type="http://schemas.openxmlformats.org/officeDocument/2006/relationships/hyperlink" Target="https://fullyandtruly.blog/blog/" TargetMode="External"/><Relationship Id="rId28" Type="http://schemas.openxmlformats.org/officeDocument/2006/relationships/hyperlink" Target="https://www.scribd.com/book/452469127/Post-Christian-A-Guide-to-Contemporary-Thought-and-Culture" TargetMode="External"/><Relationship Id="rId10" Type="http://schemas.openxmlformats.org/officeDocument/2006/relationships/hyperlink" Target="https://www.perlego.com/book/1573888/leading-a-diversity-culture-shift-in-higher-education-comprehensive-organizational-learning-strategies?queryID=1cfbea85a2f2d574f79676775ab7fca5&amp;index=prod_BOOKS&amp;gridPosition=5&amp;searchType=title" TargetMode="External"/><Relationship Id="rId19" Type="http://schemas.openxmlformats.org/officeDocument/2006/relationships/hyperlink" Target="https://doi.org/10.1007/s10508-020-01832-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erlego.com/book/1499952?gridPosition=1&amp;searchSubType=books" TargetMode="External"/><Relationship Id="rId14" Type="http://schemas.openxmlformats.org/officeDocument/2006/relationships/hyperlink" Target="https://religionnews.com/2024/10/14/transgender-and-intersex-catholics-ask-pope-to-rethink-church-stance-on-gender-affirming-care/" TargetMode="External"/><Relationship Id="rId22" Type="http://schemas.openxmlformats.org/officeDocument/2006/relationships/hyperlink" Target="https://fullyandtruly.blog/blog/" TargetMode="External"/><Relationship Id="rId27" Type="http://schemas.openxmlformats.org/officeDocument/2006/relationships/hyperlink" Target="https://files.lcms.org/file/preview/F47D5455-58F5-4AA0-B6AA-CDF5E9CF21ED?_gl=1*1de3693*_ga*NjM0ODcyODg0LjE3MDI0MDYzMTc.*_ga_Z0184DBP2L*MTcyOTU0NDAwMS41Ny4xLjE3Mjk1NDQ2MDIuMC4wLjA.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ustom%20Office%20Templates\OGS%20Course%20Assig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OGS Course Assignment</Template>
  <TotalTime>187</TotalTime>
  <Pages>12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Reedy</dc:creator>
  <cp:lastModifiedBy>David Reedy</cp:lastModifiedBy>
  <cp:revision>144</cp:revision>
  <dcterms:created xsi:type="dcterms:W3CDTF">2024-11-27T20:03:00Z</dcterms:created>
  <dcterms:modified xsi:type="dcterms:W3CDTF">2024-11-30T22:03:00Z</dcterms:modified>
</cp:coreProperties>
</file>