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</w:tabs>
        <w:spacing w:after="0" w:before="0" w:line="480" w:lineRule="auto"/>
        <w:ind w:left="720" w:right="0" w:hanging="72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SR 953-12: Research for 21st Century Scholarship (Fall 2024, Subterm A)</w:t>
      </w:r>
    </w:p>
    <w:p w:rsidR="00000000" w:rsidDel="00000000" w:rsidP="00000000" w:rsidRDefault="00000000" w:rsidRPr="00000000" w14:paraId="00000008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Semaj Zachary</w:t>
      </w:r>
    </w:p>
    <w:p w:rsidR="00000000" w:rsidDel="00000000" w:rsidP="00000000" w:rsidRDefault="00000000" w:rsidRPr="00000000" w14:paraId="0000000A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Omega Graduate School</w:t>
      </w:r>
    </w:p>
    <w:p w:rsidR="00000000" w:rsidDel="00000000" w:rsidP="00000000" w:rsidRDefault="00000000" w:rsidRPr="00000000" w14:paraId="0000000C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September 12, 2024</w:t>
      </w:r>
    </w:p>
    <w:p w:rsidR="00000000" w:rsidDel="00000000" w:rsidP="00000000" w:rsidRDefault="00000000" w:rsidRPr="00000000" w14:paraId="0000000E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Professor</w:t>
      </w:r>
    </w:p>
    <w:p w:rsidR="00000000" w:rsidDel="00000000" w:rsidP="00000000" w:rsidRDefault="00000000" w:rsidRPr="00000000" w14:paraId="00000014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8640"/>
        </w:tabs>
        <w:spacing w:line="24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Dr. Ward and Dr. Geer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8640"/>
          <w:tab w:val="right" w:leader="none" w:pos="8640"/>
          <w:tab w:val="right" w:leader="none" w:pos="8640"/>
        </w:tabs>
        <w:spacing w:after="0" w:before="0" w:line="48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  <w:t xml:space="preserve">Use this page to copy and paste the assignment details </w:t>
      </w:r>
    </w:p>
    <w:p w:rsidR="00000000" w:rsidDel="00000000" w:rsidP="00000000" w:rsidRDefault="00000000" w:rsidRPr="00000000" w14:paraId="0000001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  <w:t xml:space="preserve">     </w:t>
        <w:tab/>
        <w:t xml:space="preserve">I chose to go to the library in Washington, DC, at the Martin Luther King Jr. location. The research librarian there I chose was Maryann. The other library I chose was the Parkside Library located on South College’s campus. There I met with Jon, he’s a librarian who also specializes in APA as well. Below you will see a picture of my library card from each. I was a student at South College, so my student ID is also the library card.</w:t>
      </w:r>
    </w:p>
    <w:p w:rsidR="00000000" w:rsidDel="00000000" w:rsidP="00000000" w:rsidRDefault="00000000" w:rsidRPr="00000000" w14:paraId="00000032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1104900</wp:posOffset>
            </wp:positionH>
            <wp:positionV relativeFrom="paragraph">
              <wp:posOffset>338603</wp:posOffset>
            </wp:positionV>
            <wp:extent cx="3756910" cy="4992291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6910" cy="499229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jc w:val="center"/>
        <w:rPr/>
      </w:pPr>
      <w:r w:rsidDel="00000000" w:rsidR="00000000" w:rsidRPr="00000000">
        <w:rPr>
          <w:rtl w:val="0"/>
        </w:rPr>
        <w:t xml:space="preserve">WORKS CITED</w:t>
      </w:r>
    </w:p>
    <w:p w:rsidR="00000000" w:rsidDel="00000000" w:rsidP="00000000" w:rsidRDefault="00000000" w:rsidRPr="00000000" w14:paraId="0000003D">
      <w:pPr>
        <w:pStyle w:val="Title"/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  <w:t xml:space="preserve">Cooper, T. (2021). Teacher perceptions of E-learning during Covid-19 in low-and-high-income schools. Theses, Dissertations and Capstones. https://mds.marshall.edu/etd/1378/</w:t>
      </w:r>
    </w:p>
    <w:p w:rsidR="00000000" w:rsidDel="00000000" w:rsidP="00000000" w:rsidRDefault="00000000" w:rsidRPr="00000000" w14:paraId="00000040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  <w:t xml:space="preserve">Du, J., &amp; Anderson, J. D. (2003). Technology and Quality of Education: Does Technology Help Low-Income and Minority Students in Their Academic Achievements?. U. Ill. JL Tech. &amp; Pol'y, 1.</w:t>
      </w:r>
    </w:p>
    <w:p w:rsidR="00000000" w:rsidDel="00000000" w:rsidP="00000000" w:rsidRDefault="00000000" w:rsidRPr="00000000" w14:paraId="00000042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  <w:t xml:space="preserve">Du, J., Sansing, W., Yu, C. (2004). The Impact of Technology Use on Low-Income and Minority Students' Academic Achievements: Educational Longitudinal Study of 2002. (n.p.): ERIC Clearinghouse.</w:t>
      </w:r>
    </w:p>
    <w:p w:rsidR="00000000" w:rsidDel="00000000" w:rsidP="00000000" w:rsidRDefault="00000000" w:rsidRPr="00000000" w14:paraId="00000044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  <w:t xml:space="preserve">Ferguson, L. L. (2023). School Leaders' Role in Dismantling the Digital Divide: Technology Use for Black K-8 Students Attending Low-Income Schools. United States: Drexel University.</w:t>
      </w:r>
    </w:p>
    <w:p w:rsidR="00000000" w:rsidDel="00000000" w:rsidP="00000000" w:rsidRDefault="00000000" w:rsidRPr="00000000" w14:paraId="00000046">
      <w:pPr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tabs>
          <w:tab w:val="right" w:leader="none" w:pos="8640"/>
          <w:tab w:val="right" w:leader="none" w:pos="8640"/>
          <w:tab w:val="right" w:leader="none" w:pos="8640"/>
        </w:tabs>
        <w:spacing w:line="240" w:lineRule="auto"/>
        <w:ind w:left="720" w:hanging="720"/>
        <w:rPr/>
      </w:pPr>
      <w:r w:rsidDel="00000000" w:rsidR="00000000" w:rsidRPr="00000000">
        <w:rPr>
          <w:rtl w:val="0"/>
        </w:rPr>
        <w:t xml:space="preserve">Maria, R. R. S. (2011). IDENTITY FORMATION AND "OTHERING":: URBAN HIGH SCHOOL STUDENTS DISCUSS TECHNOLOGY ACCESS IN A LOW-INCOME, URBAN HIGH SCHOOL. International Journal of Arts &amp; Sciences, 4(21), 103-114. https://www.proquest.com/scholarly-journals/identity-formation-othering-urban-high-school/docview/1315164005/se-2</w:t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640"/>
        <w:tab w:val="right" w:leader="none" w:pos="8640"/>
        <w:tab w:val="right" w:leader="none" w:pos="9360"/>
      </w:tabs>
      <w:spacing w:after="0" w:before="0" w:line="48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Semaj Zachary,    SR 953-12, Research for 21st Century Scholarship,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Assignment</w:t>
    </w:r>
    <w:r w:rsidDel="00000000" w:rsidR="00000000" w:rsidRPr="00000000">
      <w:rPr>
        <w:sz w:val="20"/>
        <w:szCs w:val="20"/>
        <w:rtl w:val="0"/>
      </w:rPr>
      <w:t xml:space="preserve"> 2,     date (09/12/2024)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tabs>
          <w:tab w:val="right" w:leader="none" w:pos="8640"/>
        </w:tabs>
        <w:spacing w:line="480" w:lineRule="auto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firstLine="0"/>
      <w:jc w:val="left"/>
    </w:pPr>
    <w:rPr>
      <w:b w:val="1"/>
      <w:i w:val="0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ind w:firstLine="0"/>
      <w:jc w:val="center"/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