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5FA1" w:rsidRDefault="007F5FA1">
      <w:pPr>
        <w:rPr>
          <w:b/>
        </w:rPr>
      </w:pPr>
      <w:bookmarkStart w:id="0" w:name="_heading=h.gjdgxs" w:colFirst="0" w:colLast="0"/>
      <w:bookmarkEnd w:id="0"/>
    </w:p>
    <w:p w14:paraId="00000002" w14:textId="77777777" w:rsidR="007F5FA1" w:rsidRDefault="007F5FA1">
      <w:pPr>
        <w:rPr>
          <w:b/>
        </w:rPr>
      </w:pPr>
    </w:p>
    <w:p w14:paraId="00000003" w14:textId="77777777" w:rsidR="007F5FA1" w:rsidRDefault="007F5FA1">
      <w:pPr>
        <w:rPr>
          <w:b/>
        </w:rPr>
      </w:pPr>
    </w:p>
    <w:p w14:paraId="00000004" w14:textId="77777777" w:rsidR="007F5FA1" w:rsidRDefault="007F5FA1">
      <w:pPr>
        <w:rPr>
          <w:b/>
        </w:rPr>
      </w:pPr>
    </w:p>
    <w:p w14:paraId="00000005" w14:textId="77777777" w:rsidR="007F5FA1" w:rsidRDefault="007F5FA1">
      <w:pPr>
        <w:rPr>
          <w:b/>
        </w:rPr>
      </w:pPr>
    </w:p>
    <w:p w14:paraId="00000006" w14:textId="77777777" w:rsidR="007F5FA1" w:rsidRDefault="007F5FA1">
      <w:pPr>
        <w:rPr>
          <w:b/>
        </w:rPr>
      </w:pPr>
    </w:p>
    <w:p w14:paraId="00000007" w14:textId="77777777" w:rsidR="007F5FA1" w:rsidRDefault="007F5FA1">
      <w:pPr>
        <w:rPr>
          <w:b/>
        </w:rPr>
      </w:pPr>
    </w:p>
    <w:p w14:paraId="00000008" w14:textId="77777777" w:rsidR="007F5FA1" w:rsidRDefault="007F5FA1">
      <w:pPr>
        <w:rPr>
          <w:b/>
        </w:rPr>
      </w:pPr>
    </w:p>
    <w:p w14:paraId="00000009" w14:textId="77777777" w:rsidR="007F5FA1" w:rsidRDefault="007F5FA1">
      <w:pPr>
        <w:rPr>
          <w:b/>
        </w:rPr>
      </w:pPr>
    </w:p>
    <w:p w14:paraId="0000000A" w14:textId="77777777" w:rsidR="007F5FA1" w:rsidRDefault="007F5FA1">
      <w:pPr>
        <w:rPr>
          <w:b/>
        </w:rPr>
      </w:pPr>
    </w:p>
    <w:p w14:paraId="0000000B" w14:textId="77777777" w:rsidR="007F5FA1" w:rsidRDefault="007F5FA1">
      <w:pPr>
        <w:rPr>
          <w:b/>
        </w:rPr>
      </w:pPr>
    </w:p>
    <w:p w14:paraId="0000000C" w14:textId="77777777" w:rsidR="007F5FA1" w:rsidRDefault="007F5FA1">
      <w:pPr>
        <w:rPr>
          <w:b/>
        </w:rPr>
      </w:pPr>
    </w:p>
    <w:p w14:paraId="0000000D" w14:textId="77777777" w:rsidR="007F5FA1" w:rsidRDefault="007F5FA1">
      <w:pPr>
        <w:rPr>
          <w:b/>
        </w:rPr>
      </w:pPr>
    </w:p>
    <w:p w14:paraId="0000000E" w14:textId="7D400BAA" w:rsidR="007F5FA1" w:rsidRDefault="00D47236">
      <w:pPr>
        <w:jc w:val="center"/>
      </w:pPr>
      <w:r>
        <w:t>Research for 21</w:t>
      </w:r>
      <w:r w:rsidRPr="00D47236">
        <w:rPr>
          <w:vertAlign w:val="superscript"/>
        </w:rPr>
        <w:t>st</w:t>
      </w:r>
      <w:r>
        <w:t xml:space="preserve"> Century Scholarship</w:t>
      </w:r>
    </w:p>
    <w:p w14:paraId="0000000F" w14:textId="77777777" w:rsidR="007F5FA1" w:rsidRDefault="007F5FA1">
      <w:pPr>
        <w:jc w:val="center"/>
      </w:pPr>
    </w:p>
    <w:p w14:paraId="00000010" w14:textId="143BCD2E" w:rsidR="007F5FA1" w:rsidRDefault="00D47236">
      <w:pPr>
        <w:jc w:val="center"/>
      </w:pPr>
      <w:r>
        <w:t>Michael B. Bowe</w:t>
      </w:r>
    </w:p>
    <w:p w14:paraId="00000011" w14:textId="77777777" w:rsidR="007F5FA1" w:rsidRDefault="007F5FA1">
      <w:pPr>
        <w:jc w:val="center"/>
      </w:pPr>
    </w:p>
    <w:p w14:paraId="00000012" w14:textId="77777777" w:rsidR="007F5FA1" w:rsidRDefault="006B223D">
      <w:pPr>
        <w:jc w:val="center"/>
      </w:pPr>
      <w:r>
        <w:t>Omega Graduate School</w:t>
      </w:r>
    </w:p>
    <w:p w14:paraId="00000013" w14:textId="77777777" w:rsidR="007F5FA1" w:rsidRDefault="007F5FA1">
      <w:pPr>
        <w:jc w:val="center"/>
      </w:pPr>
    </w:p>
    <w:p w14:paraId="00000014" w14:textId="221122DA" w:rsidR="007F5FA1" w:rsidRDefault="00D47236">
      <w:pPr>
        <w:jc w:val="center"/>
      </w:pPr>
      <w:r>
        <w:t>09/25/2024</w:t>
      </w:r>
    </w:p>
    <w:p w14:paraId="00000015" w14:textId="77777777" w:rsidR="007F5FA1" w:rsidRDefault="007F5FA1">
      <w:pPr>
        <w:jc w:val="center"/>
      </w:pPr>
    </w:p>
    <w:p w14:paraId="00000016" w14:textId="77777777" w:rsidR="007F5FA1" w:rsidRDefault="007F5FA1">
      <w:pPr>
        <w:jc w:val="center"/>
      </w:pPr>
    </w:p>
    <w:p w14:paraId="00000017" w14:textId="77777777" w:rsidR="007F5FA1" w:rsidRDefault="007F5FA1">
      <w:pPr>
        <w:jc w:val="center"/>
      </w:pPr>
    </w:p>
    <w:p w14:paraId="00000018" w14:textId="77777777" w:rsidR="007F5FA1" w:rsidRDefault="007F5FA1">
      <w:pPr>
        <w:jc w:val="center"/>
      </w:pPr>
    </w:p>
    <w:p w14:paraId="00000019" w14:textId="77777777" w:rsidR="007F5FA1" w:rsidRDefault="007F5FA1">
      <w:pPr>
        <w:jc w:val="center"/>
      </w:pPr>
    </w:p>
    <w:p w14:paraId="0000001A" w14:textId="77777777" w:rsidR="007F5FA1" w:rsidRDefault="006B223D">
      <w:pPr>
        <w:jc w:val="center"/>
      </w:pPr>
      <w:r>
        <w:t>Professor</w:t>
      </w:r>
    </w:p>
    <w:p w14:paraId="0000001B" w14:textId="77777777" w:rsidR="007F5FA1" w:rsidRDefault="007F5FA1">
      <w:pPr>
        <w:jc w:val="center"/>
      </w:pPr>
    </w:p>
    <w:p w14:paraId="0000001C" w14:textId="77777777" w:rsidR="007F5FA1" w:rsidRDefault="007F5FA1">
      <w:pPr>
        <w:jc w:val="center"/>
      </w:pPr>
    </w:p>
    <w:p w14:paraId="0000001D" w14:textId="60DEFFCD" w:rsidR="007F5FA1" w:rsidRDefault="006B223D">
      <w:pPr>
        <w:jc w:val="center"/>
      </w:pPr>
      <w:r>
        <w:t xml:space="preserve">Dr. </w:t>
      </w:r>
      <w:r w:rsidR="00D47236">
        <w:t>David Ward</w:t>
      </w:r>
    </w:p>
    <w:p w14:paraId="0000001E" w14:textId="77777777" w:rsidR="007F5FA1" w:rsidRDefault="006B223D">
      <w:pPr>
        <w:jc w:val="center"/>
        <w:rPr>
          <w:b/>
        </w:rPr>
      </w:pPr>
      <w:r>
        <w:br w:type="page"/>
      </w:r>
    </w:p>
    <w:p w14:paraId="0000001F" w14:textId="31228135" w:rsidR="007F5FA1" w:rsidRDefault="006B223D">
      <w:pPr>
        <w:pStyle w:val="Title"/>
        <w:keepLines w:val="0"/>
        <w:tabs>
          <w:tab w:val="right" w:pos="8640"/>
        </w:tabs>
        <w:spacing w:before="0" w:after="0" w:line="480" w:lineRule="auto"/>
        <w:jc w:val="center"/>
        <w:rPr>
          <w:sz w:val="24"/>
          <w:szCs w:val="24"/>
        </w:rPr>
      </w:pPr>
      <w:r>
        <w:rPr>
          <w:sz w:val="24"/>
          <w:szCs w:val="24"/>
        </w:rPr>
        <w:lastRenderedPageBreak/>
        <w:t>Assignment</w:t>
      </w:r>
    </w:p>
    <w:p w14:paraId="06024E73" w14:textId="21884F5F" w:rsidR="00D47236" w:rsidRPr="00D47236" w:rsidRDefault="00D47236" w:rsidP="00D47236">
      <w:r>
        <w:t>1.</w:t>
      </w:r>
    </w:p>
    <w:p w14:paraId="0000005B" w14:textId="67211043" w:rsidR="007F5FA1" w:rsidRDefault="00D47236" w:rsidP="00D47236">
      <w:pPr>
        <w:spacing w:after="200" w:line="276" w:lineRule="auto"/>
        <w:rPr>
          <w:rFonts w:ascii="Arial" w:eastAsia="Arial" w:hAnsi="Arial" w:cs="Arial"/>
          <w:sz w:val="22"/>
          <w:szCs w:val="22"/>
        </w:rPr>
      </w:pPr>
      <w:bookmarkStart w:id="1" w:name="_heading=h.stpkn61f1hhe" w:colFirst="0" w:colLast="0"/>
      <w:bookmarkEnd w:id="1"/>
      <w:r>
        <w:rPr>
          <w:rFonts w:ascii="Arial" w:eastAsia="Arial" w:hAnsi="Arial" w:cs="Arial"/>
          <w:noProof/>
          <w:sz w:val="22"/>
          <w:szCs w:val="22"/>
        </w:rPr>
        <w:drawing>
          <wp:inline distT="0" distB="0" distL="0" distR="0" wp14:anchorId="2B828889" wp14:editId="0008A7FC">
            <wp:extent cx="5943600" cy="41490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925_0920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149090"/>
                    </a:xfrm>
                    <a:prstGeom prst="rect">
                      <a:avLst/>
                    </a:prstGeom>
                  </pic:spPr>
                </pic:pic>
              </a:graphicData>
            </a:graphic>
          </wp:inline>
        </w:drawing>
      </w:r>
      <w:r>
        <w:rPr>
          <w:rFonts w:ascii="Arial" w:eastAsia="Arial" w:hAnsi="Arial" w:cs="Arial"/>
          <w:sz w:val="22"/>
          <w:szCs w:val="22"/>
        </w:rPr>
        <w:t xml:space="preserve">Here is a picture of the library card from the Huntsville Public Library. While the public library is not focused on scholarship, the staff there is very helpful with interlibrary loans. They said they could find a book if I needed it and have it within a few weeks. </w:t>
      </w:r>
    </w:p>
    <w:p w14:paraId="7A79D080" w14:textId="2E40B723" w:rsidR="00D47236" w:rsidRDefault="00D47236" w:rsidP="00D47236">
      <w:pPr>
        <w:spacing w:after="200" w:line="276" w:lineRule="auto"/>
        <w:rPr>
          <w:rFonts w:ascii="Arial" w:eastAsia="Arial" w:hAnsi="Arial" w:cs="Arial"/>
          <w:sz w:val="22"/>
          <w:szCs w:val="22"/>
        </w:rPr>
      </w:pPr>
    </w:p>
    <w:p w14:paraId="3C7B168D" w14:textId="77777777" w:rsidR="00D47236" w:rsidRDefault="00D47236" w:rsidP="00D47236">
      <w:pPr>
        <w:spacing w:after="200" w:line="276" w:lineRule="auto"/>
        <w:rPr>
          <w:rFonts w:ascii="Arial" w:eastAsia="Arial" w:hAnsi="Arial" w:cs="Arial"/>
          <w:sz w:val="22"/>
          <w:szCs w:val="22"/>
        </w:rPr>
      </w:pPr>
      <w:r>
        <w:rPr>
          <w:rFonts w:ascii="Arial" w:eastAsia="Arial" w:hAnsi="Arial" w:cs="Arial"/>
          <w:sz w:val="22"/>
          <w:szCs w:val="22"/>
        </w:rPr>
        <w:t xml:space="preserve">2. </w:t>
      </w:r>
    </w:p>
    <w:p w14:paraId="03BE7E47" w14:textId="02D78541" w:rsidR="00D47236" w:rsidRDefault="00D47236" w:rsidP="00D47236">
      <w:pPr>
        <w:spacing w:after="200" w:line="276" w:lineRule="auto"/>
        <w:rPr>
          <w:rFonts w:ascii="Arial" w:eastAsia="Arial" w:hAnsi="Arial" w:cs="Arial"/>
          <w:sz w:val="22"/>
          <w:szCs w:val="22"/>
        </w:rPr>
      </w:pPr>
      <w:r>
        <w:rPr>
          <w:rFonts w:ascii="Arial" w:eastAsia="Arial" w:hAnsi="Arial" w:cs="Arial"/>
          <w:sz w:val="22"/>
          <w:szCs w:val="22"/>
        </w:rPr>
        <w:t xml:space="preserve">I am an </w:t>
      </w:r>
      <w:bookmarkStart w:id="2" w:name="_GoBack"/>
      <w:bookmarkEnd w:id="2"/>
      <w:r w:rsidR="00030B89">
        <w:rPr>
          <w:rFonts w:ascii="Arial" w:eastAsia="Arial" w:hAnsi="Arial" w:cs="Arial"/>
          <w:sz w:val="22"/>
          <w:szCs w:val="22"/>
        </w:rPr>
        <w:t>alumnus</w:t>
      </w:r>
      <w:r>
        <w:rPr>
          <w:rFonts w:ascii="Arial" w:eastAsia="Arial" w:hAnsi="Arial" w:cs="Arial"/>
          <w:sz w:val="22"/>
          <w:szCs w:val="22"/>
        </w:rPr>
        <w:t xml:space="preserve"> of three universities.</w:t>
      </w:r>
    </w:p>
    <w:p w14:paraId="56F01642" w14:textId="597ABB55" w:rsidR="00D47236" w:rsidRDefault="00D47236" w:rsidP="00D47236">
      <w:pPr>
        <w:spacing w:after="200" w:line="276" w:lineRule="auto"/>
        <w:rPr>
          <w:rFonts w:ascii="Arial" w:eastAsia="Arial" w:hAnsi="Arial" w:cs="Arial"/>
          <w:sz w:val="22"/>
          <w:szCs w:val="22"/>
        </w:rPr>
      </w:pPr>
      <w:proofErr w:type="spellStart"/>
      <w:r>
        <w:rPr>
          <w:rFonts w:ascii="Arial" w:eastAsia="Arial" w:hAnsi="Arial" w:cs="Arial"/>
          <w:sz w:val="22"/>
          <w:szCs w:val="22"/>
        </w:rPr>
        <w:t>Amridge</w:t>
      </w:r>
      <w:proofErr w:type="spellEnd"/>
      <w:r>
        <w:rPr>
          <w:rFonts w:ascii="Arial" w:eastAsia="Arial" w:hAnsi="Arial" w:cs="Arial"/>
          <w:sz w:val="22"/>
          <w:szCs w:val="22"/>
        </w:rPr>
        <w:t xml:space="preserve"> University: Terence Sheridan, Director of Library services</w:t>
      </w:r>
    </w:p>
    <w:p w14:paraId="54719620" w14:textId="504AE506" w:rsidR="00D47236" w:rsidRDefault="00D47236" w:rsidP="00D47236">
      <w:pPr>
        <w:spacing w:after="200" w:line="276" w:lineRule="auto"/>
        <w:rPr>
          <w:rFonts w:ascii="Arial" w:eastAsia="Arial" w:hAnsi="Arial" w:cs="Arial"/>
          <w:sz w:val="22"/>
          <w:szCs w:val="22"/>
        </w:rPr>
      </w:pPr>
      <w:r>
        <w:rPr>
          <w:rFonts w:ascii="Arial" w:eastAsia="Arial" w:hAnsi="Arial" w:cs="Arial"/>
          <w:sz w:val="22"/>
          <w:szCs w:val="22"/>
        </w:rPr>
        <w:t xml:space="preserve">Liberty University: staff contact unknown </w:t>
      </w:r>
    </w:p>
    <w:p w14:paraId="6440F9C9" w14:textId="648BC6CA" w:rsidR="00D47236" w:rsidRDefault="00D47236" w:rsidP="00D47236">
      <w:pPr>
        <w:spacing w:after="200" w:line="276" w:lineRule="auto"/>
        <w:rPr>
          <w:rFonts w:ascii="Arial" w:eastAsia="Arial" w:hAnsi="Arial" w:cs="Arial"/>
          <w:sz w:val="22"/>
          <w:szCs w:val="22"/>
        </w:rPr>
      </w:pPr>
      <w:r>
        <w:rPr>
          <w:rFonts w:ascii="Arial" w:eastAsia="Arial" w:hAnsi="Arial" w:cs="Arial"/>
          <w:sz w:val="22"/>
          <w:szCs w:val="22"/>
        </w:rPr>
        <w:t>Memphis Seminary: Ed Hughes, Librarian</w:t>
      </w:r>
    </w:p>
    <w:p w14:paraId="6156141D" w14:textId="591CF072" w:rsidR="00D47236" w:rsidRDefault="00D47236" w:rsidP="00D47236">
      <w:pPr>
        <w:spacing w:after="200" w:line="276" w:lineRule="auto"/>
        <w:rPr>
          <w:rFonts w:ascii="Arial" w:eastAsia="Arial" w:hAnsi="Arial" w:cs="Arial"/>
          <w:sz w:val="22"/>
          <w:szCs w:val="22"/>
        </w:rPr>
      </w:pPr>
      <w:r>
        <w:rPr>
          <w:rFonts w:ascii="Arial" w:eastAsia="Arial" w:hAnsi="Arial" w:cs="Arial"/>
          <w:sz w:val="22"/>
          <w:szCs w:val="22"/>
        </w:rPr>
        <w:t xml:space="preserve">Each of these libraries offer books, articles and dissertation search helps. </w:t>
      </w:r>
    </w:p>
    <w:p w14:paraId="61F8A408" w14:textId="77777777" w:rsidR="00914384" w:rsidRDefault="00D47236" w:rsidP="00D47236">
      <w:pPr>
        <w:spacing w:after="200" w:line="276" w:lineRule="auto"/>
        <w:rPr>
          <w:rFonts w:ascii="Arial" w:eastAsia="Arial" w:hAnsi="Arial" w:cs="Arial"/>
          <w:sz w:val="22"/>
          <w:szCs w:val="22"/>
        </w:rPr>
      </w:pPr>
      <w:r>
        <w:rPr>
          <w:rFonts w:ascii="Arial" w:eastAsia="Arial" w:hAnsi="Arial" w:cs="Arial"/>
          <w:sz w:val="22"/>
          <w:szCs w:val="22"/>
        </w:rPr>
        <w:t xml:space="preserve">3. </w:t>
      </w:r>
      <w:r w:rsidR="00914384">
        <w:rPr>
          <w:rFonts w:ascii="Arial" w:eastAsia="Arial" w:hAnsi="Arial" w:cs="Arial"/>
          <w:sz w:val="22"/>
          <w:szCs w:val="22"/>
        </w:rPr>
        <w:tab/>
      </w:r>
    </w:p>
    <w:p w14:paraId="5F192864" w14:textId="77777777" w:rsidR="00914384" w:rsidRDefault="00914384" w:rsidP="00D47236">
      <w:pPr>
        <w:spacing w:after="200" w:line="276" w:lineRule="auto"/>
        <w:rPr>
          <w:rFonts w:ascii="Arial" w:eastAsia="Arial" w:hAnsi="Arial" w:cs="Arial"/>
          <w:sz w:val="22"/>
          <w:szCs w:val="22"/>
        </w:rPr>
      </w:pPr>
    </w:p>
    <w:p w14:paraId="1ACC7E71" w14:textId="1AB9A5C5" w:rsidR="00914384" w:rsidRDefault="00914384" w:rsidP="00914384">
      <w:pPr>
        <w:spacing w:after="200" w:line="276" w:lineRule="auto"/>
        <w:ind w:firstLine="720"/>
        <w:rPr>
          <w:rFonts w:ascii="Arial" w:eastAsia="Arial" w:hAnsi="Arial" w:cs="Arial"/>
          <w:sz w:val="22"/>
          <w:szCs w:val="22"/>
        </w:rPr>
      </w:pPr>
      <w:r>
        <w:rPr>
          <w:rFonts w:ascii="Arial" w:eastAsia="Arial" w:hAnsi="Arial" w:cs="Arial"/>
          <w:sz w:val="22"/>
          <w:szCs w:val="22"/>
        </w:rPr>
        <w:lastRenderedPageBreak/>
        <w:t xml:space="preserve">a: </w:t>
      </w:r>
    </w:p>
    <w:p w14:paraId="37754484" w14:textId="29F7999A" w:rsidR="00914384" w:rsidRDefault="00914384" w:rsidP="00D47236">
      <w:pPr>
        <w:spacing w:after="200" w:line="276" w:lineRule="auto"/>
        <w:rPr>
          <w:rFonts w:ascii="Arial" w:eastAsia="Arial" w:hAnsi="Arial" w:cs="Arial"/>
          <w:sz w:val="22"/>
          <w:szCs w:val="22"/>
        </w:rPr>
      </w:pPr>
      <w:r w:rsidRPr="00914384">
        <w:rPr>
          <w:rFonts w:ascii="Arial" w:eastAsia="Arial" w:hAnsi="Arial" w:cs="Arial"/>
          <w:sz w:val="22"/>
          <w:szCs w:val="22"/>
        </w:rPr>
        <w:t xml:space="preserve">Williams, D. K. (2019). When Science Turned Secular: The Mainline Protestant Abandonment of Natural Theology and the Secularization of American Colleges in the Early Twentieth Century. </w:t>
      </w:r>
      <w:r w:rsidRPr="00914384">
        <w:rPr>
          <w:rFonts w:ascii="Arial" w:eastAsia="Arial" w:hAnsi="Arial" w:cs="Arial"/>
          <w:i/>
          <w:sz w:val="22"/>
          <w:szCs w:val="22"/>
        </w:rPr>
        <w:t>Fides et Historia</w:t>
      </w:r>
      <w:r w:rsidRPr="00914384">
        <w:rPr>
          <w:rFonts w:ascii="Arial" w:eastAsia="Arial" w:hAnsi="Arial" w:cs="Arial"/>
          <w:sz w:val="22"/>
          <w:szCs w:val="22"/>
        </w:rPr>
        <w:t>, 51(2), 1–12.</w:t>
      </w:r>
    </w:p>
    <w:p w14:paraId="35E3358E" w14:textId="688A4700" w:rsidR="00030B89" w:rsidRDefault="00914384" w:rsidP="00914384">
      <w:pPr>
        <w:spacing w:after="200" w:line="276" w:lineRule="auto"/>
        <w:rPr>
          <w:rFonts w:ascii="Arial" w:eastAsia="Arial" w:hAnsi="Arial" w:cs="Arial"/>
          <w:sz w:val="22"/>
          <w:szCs w:val="22"/>
        </w:rPr>
      </w:pPr>
      <w:r>
        <w:rPr>
          <w:rFonts w:ascii="Arial" w:eastAsia="Arial" w:hAnsi="Arial" w:cs="Arial"/>
          <w:sz w:val="22"/>
          <w:szCs w:val="22"/>
        </w:rPr>
        <w:tab/>
      </w:r>
      <w:r w:rsidR="00030B89">
        <w:rPr>
          <w:rFonts w:ascii="Arial" w:eastAsia="Arial" w:hAnsi="Arial" w:cs="Arial"/>
          <w:sz w:val="22"/>
          <w:szCs w:val="22"/>
        </w:rPr>
        <w:t xml:space="preserve">b. </w:t>
      </w:r>
    </w:p>
    <w:p w14:paraId="1BD2B09B" w14:textId="76A279F5" w:rsidR="00030B89" w:rsidRDefault="00030B89" w:rsidP="00914384">
      <w:pPr>
        <w:spacing w:after="200" w:line="276" w:lineRule="auto"/>
        <w:rPr>
          <w:rFonts w:ascii="Arial" w:eastAsia="Arial" w:hAnsi="Arial" w:cs="Arial"/>
          <w:sz w:val="22"/>
          <w:szCs w:val="22"/>
        </w:rPr>
      </w:pPr>
      <w:r w:rsidRPr="00030B89">
        <w:rPr>
          <w:rFonts w:ascii="Arial" w:eastAsia="Arial" w:hAnsi="Arial" w:cs="Arial"/>
          <w:sz w:val="22"/>
          <w:szCs w:val="22"/>
        </w:rPr>
        <w:t xml:space="preserve">Flatt, K. N., Haskell, D. M., &amp; Burgoyne, S. (2018). Secularization and Attribution: How Mainline Protestant Clergy and Congregants Explain Church Growth and Decline. </w:t>
      </w:r>
      <w:r w:rsidRPr="00030B89">
        <w:rPr>
          <w:rFonts w:ascii="Arial" w:eastAsia="Arial" w:hAnsi="Arial" w:cs="Arial"/>
          <w:i/>
          <w:sz w:val="22"/>
          <w:szCs w:val="22"/>
        </w:rPr>
        <w:t>Sociology of Religion</w:t>
      </w:r>
      <w:r w:rsidRPr="00030B89">
        <w:rPr>
          <w:rFonts w:ascii="Arial" w:eastAsia="Arial" w:hAnsi="Arial" w:cs="Arial"/>
          <w:sz w:val="22"/>
          <w:szCs w:val="22"/>
        </w:rPr>
        <w:t>, 79(1), 78–107.</w:t>
      </w:r>
    </w:p>
    <w:p w14:paraId="6F5F8FEB" w14:textId="600EE139" w:rsidR="00914384" w:rsidRDefault="004605F1" w:rsidP="00030B89">
      <w:pPr>
        <w:spacing w:after="200" w:line="276" w:lineRule="auto"/>
        <w:ind w:firstLine="720"/>
        <w:rPr>
          <w:rFonts w:ascii="Arial" w:eastAsia="Arial" w:hAnsi="Arial" w:cs="Arial"/>
          <w:sz w:val="22"/>
          <w:szCs w:val="22"/>
        </w:rPr>
      </w:pPr>
      <w:r>
        <w:rPr>
          <w:rFonts w:ascii="Arial" w:eastAsia="Arial" w:hAnsi="Arial" w:cs="Arial"/>
          <w:sz w:val="22"/>
          <w:szCs w:val="22"/>
        </w:rPr>
        <w:t>c</w:t>
      </w:r>
      <w:r w:rsidR="00914384">
        <w:rPr>
          <w:rFonts w:ascii="Arial" w:eastAsia="Arial" w:hAnsi="Arial" w:cs="Arial"/>
          <w:sz w:val="22"/>
          <w:szCs w:val="22"/>
        </w:rPr>
        <w:t>:</w:t>
      </w:r>
    </w:p>
    <w:p w14:paraId="20622037" w14:textId="61DF0CF8" w:rsidR="004605F1" w:rsidRDefault="00914384" w:rsidP="00914384">
      <w:pPr>
        <w:spacing w:after="200" w:line="276" w:lineRule="auto"/>
        <w:rPr>
          <w:rFonts w:ascii="Arial" w:eastAsia="Arial" w:hAnsi="Arial" w:cs="Arial"/>
          <w:sz w:val="22"/>
          <w:szCs w:val="22"/>
        </w:rPr>
      </w:pPr>
      <w:r>
        <w:rPr>
          <w:rFonts w:ascii="Arial" w:eastAsia="Arial" w:hAnsi="Arial" w:cs="Arial"/>
          <w:sz w:val="22"/>
          <w:szCs w:val="22"/>
        </w:rPr>
        <w:t>Burge, R. (2023</w:t>
      </w:r>
      <w:r w:rsidRPr="00914384">
        <w:rPr>
          <w:rFonts w:ascii="Arial" w:eastAsia="Arial" w:hAnsi="Arial" w:cs="Arial"/>
          <w:i/>
          <w:sz w:val="22"/>
          <w:szCs w:val="22"/>
        </w:rPr>
        <w:t xml:space="preserve">) The </w:t>
      </w:r>
      <w:proofErr w:type="spellStart"/>
      <w:r w:rsidRPr="00914384">
        <w:rPr>
          <w:rFonts w:ascii="Arial" w:eastAsia="Arial" w:hAnsi="Arial" w:cs="Arial"/>
          <w:i/>
          <w:sz w:val="22"/>
          <w:szCs w:val="22"/>
        </w:rPr>
        <w:t>Nones</w:t>
      </w:r>
      <w:proofErr w:type="spellEnd"/>
      <w:r w:rsidRPr="00914384">
        <w:rPr>
          <w:rFonts w:ascii="Arial" w:eastAsia="Arial" w:hAnsi="Arial" w:cs="Arial"/>
          <w:i/>
          <w:sz w:val="22"/>
          <w:szCs w:val="22"/>
        </w:rPr>
        <w:t>: Where They Came From, Who They Are, and Where They Are Going</w:t>
      </w:r>
      <w:r w:rsidR="004605F1">
        <w:rPr>
          <w:rFonts w:ascii="Arial" w:eastAsia="Arial" w:hAnsi="Arial" w:cs="Arial"/>
          <w:sz w:val="22"/>
          <w:szCs w:val="22"/>
        </w:rPr>
        <w:t xml:space="preserve">, </w:t>
      </w:r>
      <w:r w:rsidR="004605F1" w:rsidRPr="004605F1">
        <w:rPr>
          <w:rFonts w:ascii="Arial" w:eastAsia="Arial" w:hAnsi="Arial" w:cs="Arial"/>
          <w:sz w:val="22"/>
          <w:szCs w:val="22"/>
        </w:rPr>
        <w:t>Fortress Press</w:t>
      </w:r>
      <w:r w:rsidR="004605F1">
        <w:rPr>
          <w:rFonts w:ascii="Arial" w:eastAsia="Arial" w:hAnsi="Arial" w:cs="Arial"/>
          <w:sz w:val="22"/>
          <w:szCs w:val="22"/>
        </w:rPr>
        <w:t>.</w:t>
      </w:r>
    </w:p>
    <w:p w14:paraId="4AC77747" w14:textId="3AB5A93C" w:rsidR="004605F1" w:rsidRDefault="004605F1" w:rsidP="00914384">
      <w:pPr>
        <w:spacing w:after="200" w:line="276" w:lineRule="auto"/>
        <w:rPr>
          <w:rFonts w:ascii="Arial" w:eastAsia="Arial" w:hAnsi="Arial" w:cs="Arial"/>
          <w:sz w:val="22"/>
          <w:szCs w:val="22"/>
        </w:rPr>
      </w:pPr>
      <w:r>
        <w:rPr>
          <w:rFonts w:ascii="Arial" w:eastAsia="Arial" w:hAnsi="Arial" w:cs="Arial"/>
          <w:sz w:val="22"/>
          <w:szCs w:val="22"/>
        </w:rPr>
        <w:tab/>
        <w:t>d.</w:t>
      </w:r>
    </w:p>
    <w:p w14:paraId="0CC61E1C" w14:textId="77777777" w:rsidR="004605F1" w:rsidRDefault="004605F1" w:rsidP="004605F1">
      <w:pPr>
        <w:spacing w:after="200" w:line="276" w:lineRule="auto"/>
        <w:rPr>
          <w:rFonts w:ascii="Arial" w:eastAsia="Arial" w:hAnsi="Arial" w:cs="Arial"/>
          <w:sz w:val="22"/>
          <w:szCs w:val="22"/>
        </w:rPr>
      </w:pPr>
      <w:r w:rsidRPr="00914384">
        <w:rPr>
          <w:rFonts w:ascii="Arial" w:eastAsia="Arial" w:hAnsi="Arial" w:cs="Arial"/>
          <w:sz w:val="22"/>
          <w:szCs w:val="22"/>
        </w:rPr>
        <w:t xml:space="preserve">Ferguson, J. W. (2024). </w:t>
      </w:r>
      <w:r w:rsidRPr="00914384">
        <w:rPr>
          <w:rFonts w:ascii="Arial" w:eastAsia="Arial" w:hAnsi="Arial" w:cs="Arial"/>
          <w:i/>
          <w:sz w:val="22"/>
          <w:szCs w:val="22"/>
        </w:rPr>
        <w:t>Mega-Church or Mega-Sect</w:t>
      </w:r>
      <w:r w:rsidRPr="00914384">
        <w:rPr>
          <w:rFonts w:ascii="Arial" w:eastAsia="Arial" w:hAnsi="Arial" w:cs="Arial"/>
          <w:sz w:val="22"/>
          <w:szCs w:val="22"/>
        </w:rPr>
        <w:t xml:space="preserve"> (Order No. 30988303). Available from ProQuest Dissertations &amp; Theses Global.</w:t>
      </w:r>
    </w:p>
    <w:p w14:paraId="662A3DD5" w14:textId="77777777" w:rsidR="004605F1" w:rsidRPr="00914384" w:rsidRDefault="004605F1" w:rsidP="00914384">
      <w:pPr>
        <w:spacing w:after="200" w:line="276" w:lineRule="auto"/>
        <w:rPr>
          <w:rFonts w:ascii="Arial" w:eastAsia="Arial" w:hAnsi="Arial" w:cs="Arial"/>
          <w:sz w:val="22"/>
          <w:szCs w:val="22"/>
        </w:rPr>
      </w:pPr>
    </w:p>
    <w:p w14:paraId="35558D1D" w14:textId="2E136CF3" w:rsidR="00D47236" w:rsidRDefault="00D47236" w:rsidP="00D47236">
      <w:pPr>
        <w:spacing w:after="200" w:line="276" w:lineRule="auto"/>
        <w:rPr>
          <w:rFonts w:ascii="Arial" w:eastAsia="Arial" w:hAnsi="Arial" w:cs="Arial"/>
          <w:sz w:val="22"/>
          <w:szCs w:val="22"/>
        </w:rPr>
      </w:pPr>
    </w:p>
    <w:p w14:paraId="3A4770D5" w14:textId="61C06AF3" w:rsidR="00D47236" w:rsidRDefault="00D47236" w:rsidP="00D47236">
      <w:pPr>
        <w:spacing w:after="200" w:line="276" w:lineRule="auto"/>
        <w:rPr>
          <w:rFonts w:ascii="Arial" w:eastAsia="Arial" w:hAnsi="Arial" w:cs="Arial"/>
          <w:sz w:val="22"/>
          <w:szCs w:val="22"/>
        </w:rPr>
      </w:pPr>
    </w:p>
    <w:p w14:paraId="2DD3E8BC" w14:textId="359442D3" w:rsidR="00D47236" w:rsidRDefault="00D47236" w:rsidP="00D47236">
      <w:pPr>
        <w:spacing w:after="200" w:line="276" w:lineRule="auto"/>
        <w:rPr>
          <w:rFonts w:ascii="Arial" w:eastAsia="Arial" w:hAnsi="Arial" w:cs="Arial"/>
          <w:sz w:val="22"/>
          <w:szCs w:val="22"/>
        </w:rPr>
      </w:pPr>
    </w:p>
    <w:p w14:paraId="13D459EB" w14:textId="77777777" w:rsidR="00D47236" w:rsidRPr="00D47236" w:rsidRDefault="00D47236" w:rsidP="00D47236">
      <w:pPr>
        <w:spacing w:after="200" w:line="276" w:lineRule="auto"/>
        <w:rPr>
          <w:rFonts w:ascii="Arial" w:eastAsia="Arial" w:hAnsi="Arial" w:cs="Arial"/>
          <w:sz w:val="22"/>
          <w:szCs w:val="22"/>
        </w:rPr>
      </w:pPr>
    </w:p>
    <w:sectPr w:rsidR="00D47236" w:rsidRPr="00D47236">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C1838" w14:textId="77777777" w:rsidR="006B223D" w:rsidRDefault="006B223D">
      <w:r>
        <w:separator/>
      </w:r>
    </w:p>
  </w:endnote>
  <w:endnote w:type="continuationSeparator" w:id="0">
    <w:p w14:paraId="73149A19" w14:textId="77777777" w:rsidR="006B223D" w:rsidRDefault="006B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D" w14:textId="77777777" w:rsidR="007F5FA1" w:rsidRDefault="007F5FA1">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E7315" w14:textId="77777777" w:rsidR="006B223D" w:rsidRDefault="006B223D">
      <w:r>
        <w:separator/>
      </w:r>
    </w:p>
  </w:footnote>
  <w:footnote w:type="continuationSeparator" w:id="0">
    <w:p w14:paraId="1C6277E8" w14:textId="77777777" w:rsidR="006B223D" w:rsidRDefault="006B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48D94076" w:rsidR="007F5FA1" w:rsidRDefault="00D47236">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Michael B. </w:t>
    </w:r>
    <w:proofErr w:type="gramStart"/>
    <w:r>
      <w:rPr>
        <w:rFonts w:ascii="Arial" w:eastAsia="Arial" w:hAnsi="Arial" w:cs="Arial"/>
        <w:color w:val="000000"/>
        <w:sz w:val="16"/>
        <w:szCs w:val="16"/>
      </w:rPr>
      <w:t>Bowe</w:t>
    </w:r>
    <w:r w:rsidR="006B223D">
      <w:rPr>
        <w:rFonts w:ascii="Arial" w:eastAsia="Arial" w:hAnsi="Arial" w:cs="Arial"/>
        <w:sz w:val="16"/>
        <w:szCs w:val="16"/>
      </w:rPr>
      <w:t xml:space="preserve">,   </w:t>
    </w:r>
    <w:proofErr w:type="gramEnd"/>
    <w:r w:rsidR="006B223D">
      <w:rPr>
        <w:rFonts w:ascii="Arial" w:eastAsia="Arial" w:hAnsi="Arial" w:cs="Arial"/>
        <w:sz w:val="16"/>
        <w:szCs w:val="16"/>
      </w:rPr>
      <w:t xml:space="preserve">  </w:t>
    </w:r>
    <w:r>
      <w:rPr>
        <w:rFonts w:ascii="Arial" w:eastAsia="Arial" w:hAnsi="Arial" w:cs="Arial"/>
        <w:sz w:val="16"/>
        <w:szCs w:val="16"/>
      </w:rPr>
      <w:t>SR 953</w:t>
    </w:r>
    <w:r w:rsidR="006B223D">
      <w:rPr>
        <w:rFonts w:ascii="Arial" w:eastAsia="Arial" w:hAnsi="Arial" w:cs="Arial"/>
        <w:color w:val="000000"/>
        <w:sz w:val="16"/>
        <w:szCs w:val="16"/>
      </w:rPr>
      <w:t xml:space="preserve">,     </w:t>
    </w:r>
    <w:r>
      <w:rPr>
        <w:rFonts w:ascii="Arial" w:eastAsia="Arial" w:hAnsi="Arial" w:cs="Arial"/>
        <w:color w:val="000000"/>
        <w:sz w:val="16"/>
        <w:szCs w:val="16"/>
      </w:rPr>
      <w:t>Research for 21</w:t>
    </w:r>
    <w:r w:rsidRPr="00D47236">
      <w:rPr>
        <w:rFonts w:ascii="Arial" w:eastAsia="Arial" w:hAnsi="Arial" w:cs="Arial"/>
        <w:color w:val="000000"/>
        <w:sz w:val="16"/>
        <w:szCs w:val="16"/>
        <w:vertAlign w:val="superscript"/>
      </w:rPr>
      <w:t>st</w:t>
    </w:r>
    <w:r>
      <w:rPr>
        <w:rFonts w:ascii="Arial" w:eastAsia="Arial" w:hAnsi="Arial" w:cs="Arial"/>
        <w:color w:val="000000"/>
        <w:sz w:val="16"/>
        <w:szCs w:val="16"/>
      </w:rPr>
      <w:t xml:space="preserve"> Century Scholarship</w:t>
    </w:r>
    <w:r w:rsidR="006B223D">
      <w:rPr>
        <w:rFonts w:ascii="Arial" w:eastAsia="Arial" w:hAnsi="Arial" w:cs="Arial"/>
        <w:color w:val="000000"/>
        <w:sz w:val="16"/>
        <w:szCs w:val="16"/>
      </w:rPr>
      <w:t xml:space="preserve">,     Assignment #2,     </w:t>
    </w:r>
    <w:r>
      <w:rPr>
        <w:rFonts w:ascii="Arial" w:eastAsia="Arial" w:hAnsi="Arial" w:cs="Arial"/>
        <w:color w:val="000000"/>
        <w:sz w:val="16"/>
        <w:szCs w:val="16"/>
      </w:rPr>
      <w:t>09/25/2024</w:t>
    </w:r>
    <w:r w:rsidR="006B223D">
      <w:rPr>
        <w:rFonts w:ascii="Arial" w:eastAsia="Arial" w:hAnsi="Arial" w:cs="Arial"/>
        <w:color w:val="000000"/>
        <w:sz w:val="16"/>
        <w:szCs w:val="16"/>
      </w:rPr>
      <w:tab/>
    </w:r>
    <w:r w:rsidR="006B223D">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62EEC"/>
    <w:multiLevelType w:val="multilevel"/>
    <w:tmpl w:val="8398D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A1"/>
    <w:rsid w:val="00030B89"/>
    <w:rsid w:val="004605F1"/>
    <w:rsid w:val="006B223D"/>
    <w:rsid w:val="007F5FA1"/>
    <w:rsid w:val="00914384"/>
    <w:rsid w:val="00D4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E00F"/>
  <w15:docId w15:val="{3AC662CB-1290-4D38-83BD-0F79A50D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E763E5-F2FA-464B-A175-1E8D8162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Michael Bowe</cp:lastModifiedBy>
  <cp:revision>2</cp:revision>
  <dcterms:created xsi:type="dcterms:W3CDTF">2024-09-25T15:03:00Z</dcterms:created>
  <dcterms:modified xsi:type="dcterms:W3CDTF">2024-09-25T15:03:00Z</dcterms:modified>
</cp:coreProperties>
</file>