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520992" w:rsidRDefault="00520992">
      <w:pPr>
        <w:rPr>
          <w:b/>
        </w:rPr>
      </w:pPr>
      <w:bookmarkStart w:id="0" w:name="_heading=h.gjdgxs" w:colFirst="0" w:colLast="0"/>
      <w:bookmarkEnd w:id="0"/>
    </w:p>
    <w:p w14:paraId="00000002" w14:textId="77777777" w:rsidR="00520992" w:rsidRDefault="00520992">
      <w:pPr>
        <w:rPr>
          <w:b/>
        </w:rPr>
      </w:pPr>
    </w:p>
    <w:p w14:paraId="00000003" w14:textId="77777777" w:rsidR="00520992" w:rsidRDefault="00520992">
      <w:pPr>
        <w:rPr>
          <w:b/>
        </w:rPr>
      </w:pPr>
    </w:p>
    <w:p w14:paraId="00000004" w14:textId="77777777" w:rsidR="00520992" w:rsidRDefault="00520992">
      <w:pPr>
        <w:rPr>
          <w:b/>
        </w:rPr>
      </w:pPr>
    </w:p>
    <w:p w14:paraId="00000005" w14:textId="77777777" w:rsidR="00520992" w:rsidRDefault="00520992">
      <w:pPr>
        <w:rPr>
          <w:b/>
        </w:rPr>
      </w:pPr>
    </w:p>
    <w:p w14:paraId="00000006" w14:textId="77777777" w:rsidR="00520992" w:rsidRDefault="00520992">
      <w:pPr>
        <w:rPr>
          <w:b/>
        </w:rPr>
      </w:pPr>
    </w:p>
    <w:p w14:paraId="00000007" w14:textId="77777777" w:rsidR="00520992" w:rsidRDefault="00520992">
      <w:pPr>
        <w:rPr>
          <w:b/>
        </w:rPr>
      </w:pPr>
    </w:p>
    <w:p w14:paraId="00000008" w14:textId="77777777" w:rsidR="00520992" w:rsidRDefault="00520992">
      <w:pPr>
        <w:rPr>
          <w:b/>
        </w:rPr>
      </w:pPr>
    </w:p>
    <w:p w14:paraId="00000009" w14:textId="77777777" w:rsidR="00520992" w:rsidRDefault="00520992">
      <w:pPr>
        <w:rPr>
          <w:b/>
        </w:rPr>
      </w:pPr>
    </w:p>
    <w:p w14:paraId="0000000A" w14:textId="77777777" w:rsidR="00520992" w:rsidRDefault="00520992">
      <w:pPr>
        <w:rPr>
          <w:b/>
        </w:rPr>
      </w:pPr>
    </w:p>
    <w:p w14:paraId="0000000B" w14:textId="77777777" w:rsidR="00520992" w:rsidRDefault="00520992">
      <w:pPr>
        <w:rPr>
          <w:b/>
        </w:rPr>
      </w:pPr>
    </w:p>
    <w:p w14:paraId="0000000C" w14:textId="77777777" w:rsidR="00520992" w:rsidRDefault="00520992">
      <w:pPr>
        <w:rPr>
          <w:b/>
        </w:rPr>
      </w:pPr>
    </w:p>
    <w:p w14:paraId="0000000D" w14:textId="77777777" w:rsidR="00520992" w:rsidRDefault="00520992">
      <w:pPr>
        <w:rPr>
          <w:b/>
        </w:rPr>
      </w:pPr>
    </w:p>
    <w:p w14:paraId="39055636" w14:textId="7E93E75F" w:rsidR="00B5581F" w:rsidRDefault="00E40D5D">
      <w:pPr>
        <w:jc w:val="center"/>
      </w:pPr>
      <w:r w:rsidRPr="00E40D5D">
        <w:t>Statistics for Social Research II</w:t>
      </w:r>
    </w:p>
    <w:p w14:paraId="6A335993" w14:textId="77777777" w:rsidR="00E40D5D" w:rsidRDefault="00E40D5D">
      <w:pPr>
        <w:jc w:val="center"/>
      </w:pPr>
    </w:p>
    <w:p w14:paraId="00000010" w14:textId="713A6460" w:rsidR="00520992" w:rsidRDefault="008377D1">
      <w:pPr>
        <w:jc w:val="center"/>
      </w:pPr>
      <w:r>
        <w:t>Derrick Snow</w:t>
      </w:r>
    </w:p>
    <w:p w14:paraId="00000011" w14:textId="77777777" w:rsidR="00520992" w:rsidRDefault="00520992">
      <w:pPr>
        <w:jc w:val="center"/>
      </w:pPr>
    </w:p>
    <w:p w14:paraId="00000012" w14:textId="77777777" w:rsidR="00520992" w:rsidRDefault="00000000">
      <w:pPr>
        <w:jc w:val="center"/>
      </w:pPr>
      <w:r>
        <w:t>Omega Graduate School</w:t>
      </w:r>
    </w:p>
    <w:p w14:paraId="00000013" w14:textId="77777777" w:rsidR="00520992" w:rsidRDefault="00520992">
      <w:pPr>
        <w:jc w:val="center"/>
      </w:pPr>
    </w:p>
    <w:p w14:paraId="00000014" w14:textId="4F24AADF" w:rsidR="00520992" w:rsidRDefault="00E40D5D">
      <w:pPr>
        <w:jc w:val="center"/>
      </w:pPr>
      <w:r>
        <w:t>Sept</w:t>
      </w:r>
      <w:r w:rsidR="008377D1">
        <w:t xml:space="preserve"> </w:t>
      </w:r>
      <w:r w:rsidR="00080818">
        <w:t>8</w:t>
      </w:r>
      <w:r w:rsidR="008377D1">
        <w:t>, 2024</w:t>
      </w:r>
    </w:p>
    <w:p w14:paraId="00000015" w14:textId="77777777" w:rsidR="00520992" w:rsidRDefault="00520992">
      <w:pPr>
        <w:jc w:val="center"/>
      </w:pPr>
    </w:p>
    <w:p w14:paraId="00000016" w14:textId="77777777" w:rsidR="00520992" w:rsidRDefault="00520992">
      <w:pPr>
        <w:jc w:val="center"/>
      </w:pPr>
    </w:p>
    <w:p w14:paraId="00000017" w14:textId="77777777" w:rsidR="00520992" w:rsidRDefault="00520992">
      <w:pPr>
        <w:jc w:val="center"/>
      </w:pPr>
    </w:p>
    <w:p w14:paraId="00000018" w14:textId="77777777" w:rsidR="00520992" w:rsidRDefault="00520992">
      <w:pPr>
        <w:jc w:val="center"/>
      </w:pPr>
    </w:p>
    <w:p w14:paraId="00000019" w14:textId="77777777" w:rsidR="00520992" w:rsidRDefault="00520992">
      <w:pPr>
        <w:jc w:val="center"/>
      </w:pPr>
    </w:p>
    <w:p w14:paraId="0000001A" w14:textId="77777777" w:rsidR="00520992" w:rsidRDefault="00000000">
      <w:pPr>
        <w:jc w:val="center"/>
      </w:pPr>
      <w:r>
        <w:t>Professor</w:t>
      </w:r>
    </w:p>
    <w:p w14:paraId="0000001B" w14:textId="77777777" w:rsidR="00520992" w:rsidRDefault="00520992">
      <w:pPr>
        <w:jc w:val="center"/>
      </w:pPr>
    </w:p>
    <w:p w14:paraId="0000001C" w14:textId="77777777" w:rsidR="00520992" w:rsidRDefault="00520992">
      <w:pPr>
        <w:jc w:val="center"/>
      </w:pPr>
    </w:p>
    <w:p w14:paraId="0000001E" w14:textId="792B011C" w:rsidR="00520992" w:rsidRDefault="00E40D5D">
      <w:pPr>
        <w:jc w:val="center"/>
        <w:rPr>
          <w:b/>
        </w:rPr>
      </w:pPr>
      <w:r w:rsidRPr="00E40D5D">
        <w:t>Dr. Taladay</w:t>
      </w:r>
      <w:r>
        <w:br w:type="page"/>
      </w:r>
    </w:p>
    <w:p w14:paraId="00000023" w14:textId="3E4313E8" w:rsidR="00520992" w:rsidRPr="00DC431C" w:rsidRDefault="00000000" w:rsidP="00DC431C">
      <w:pPr>
        <w:pStyle w:val="Title"/>
        <w:keepLines w:val="0"/>
        <w:tabs>
          <w:tab w:val="right" w:pos="8640"/>
        </w:tabs>
        <w:spacing w:before="0" w:after="0" w:line="480" w:lineRule="auto"/>
        <w:jc w:val="center"/>
        <w:rPr>
          <w:b w:val="0"/>
          <w:sz w:val="24"/>
          <w:szCs w:val="24"/>
        </w:rPr>
      </w:pPr>
      <w:r>
        <w:rPr>
          <w:sz w:val="24"/>
          <w:szCs w:val="24"/>
        </w:rPr>
        <w:lastRenderedPageBreak/>
        <w:t>Assignment</w:t>
      </w:r>
      <w:bookmarkStart w:id="1" w:name="_heading=h.stpkn61f1hhe" w:colFirst="0" w:colLast="0"/>
      <w:bookmarkEnd w:id="1"/>
    </w:p>
    <w:p w14:paraId="3D472037" w14:textId="77777777" w:rsidR="00124DD0" w:rsidRPr="00124DD0" w:rsidRDefault="00124DD0" w:rsidP="00124DD0">
      <w:pPr>
        <w:spacing w:line="480" w:lineRule="auto"/>
        <w:ind w:left="720" w:hanging="720"/>
        <w:jc w:val="both"/>
        <w:rPr>
          <w:b/>
        </w:rPr>
      </w:pPr>
      <w:r w:rsidRPr="00124DD0">
        <w:rPr>
          <w:b/>
        </w:rPr>
        <w:t>Assignment #2 – Developmental Readings</w:t>
      </w:r>
    </w:p>
    <w:p w14:paraId="0D912DDF" w14:textId="15997791" w:rsidR="00124DD0" w:rsidRPr="00124DD0" w:rsidRDefault="00124DD0" w:rsidP="00124DD0">
      <w:pPr>
        <w:pStyle w:val="ListParagraph"/>
        <w:numPr>
          <w:ilvl w:val="0"/>
          <w:numId w:val="2"/>
        </w:numPr>
        <w:jc w:val="both"/>
        <w:rPr>
          <w:bCs/>
        </w:rPr>
      </w:pPr>
      <w:r w:rsidRPr="00124DD0">
        <w:rPr>
          <w:bCs/>
        </w:rPr>
        <w:t>Create Developmental Readings from seminal sources and scholarly peer-reviewed</w:t>
      </w:r>
    </w:p>
    <w:p w14:paraId="1410B572" w14:textId="105AFC63" w:rsidR="00124DD0" w:rsidRPr="00124DD0" w:rsidRDefault="00124DD0" w:rsidP="00124DD0">
      <w:pPr>
        <w:pStyle w:val="ListParagraph"/>
        <w:jc w:val="both"/>
        <w:rPr>
          <w:bCs/>
        </w:rPr>
      </w:pPr>
      <w:r w:rsidRPr="00124DD0">
        <w:rPr>
          <w:bCs/>
        </w:rPr>
        <w:t>journal articles. Review instructions for Assignment #3, the course essential elements, and course readings to identify selections of books and journals to create entries.</w:t>
      </w:r>
    </w:p>
    <w:p w14:paraId="00000024" w14:textId="25A00012" w:rsidR="00520992" w:rsidRDefault="00124DD0" w:rsidP="00124DD0">
      <w:pPr>
        <w:pStyle w:val="ListParagraph"/>
        <w:numPr>
          <w:ilvl w:val="0"/>
          <w:numId w:val="3"/>
        </w:numPr>
        <w:jc w:val="both"/>
        <w:rPr>
          <w:bCs/>
        </w:rPr>
      </w:pPr>
      <w:r w:rsidRPr="00124DD0">
        <w:rPr>
          <w:bCs/>
        </w:rPr>
        <w:t>Refer to the "Student Guide to Developmental Readings" in the General Helps folder for updated information on sample comments, the grading rubric, and key definitions related to developmental readings.</w:t>
      </w:r>
    </w:p>
    <w:p w14:paraId="29DF9F2C" w14:textId="77777777" w:rsidR="00DC431C" w:rsidRDefault="00DC431C" w:rsidP="00DC431C">
      <w:pPr>
        <w:jc w:val="both"/>
        <w:rPr>
          <w:bCs/>
        </w:rPr>
      </w:pPr>
    </w:p>
    <w:p w14:paraId="21AFFF4D" w14:textId="77777777" w:rsidR="00DC431C" w:rsidRDefault="00DC431C" w:rsidP="00DC431C">
      <w:pPr>
        <w:jc w:val="both"/>
        <w:rPr>
          <w:bCs/>
        </w:rPr>
      </w:pPr>
    </w:p>
    <w:p w14:paraId="34D30F3F" w14:textId="77777777" w:rsidR="00DC431C" w:rsidRDefault="00DC431C" w:rsidP="00DC431C">
      <w:pPr>
        <w:jc w:val="both"/>
        <w:rPr>
          <w:bCs/>
        </w:rPr>
      </w:pPr>
    </w:p>
    <w:p w14:paraId="63B4556D" w14:textId="0F36B591" w:rsidR="00124DD0" w:rsidRPr="00124DD0" w:rsidRDefault="00000000" w:rsidP="00DC431C">
      <w:pPr>
        <w:ind w:left="720" w:hanging="720"/>
        <w:jc w:val="both"/>
      </w:pPr>
      <w:r>
        <w:br w:type="page"/>
      </w:r>
    </w:p>
    <w:p w14:paraId="1B9CDEB1" w14:textId="03EBD076" w:rsidR="007B09CE" w:rsidRPr="007B09CE" w:rsidRDefault="00000000" w:rsidP="007B09CE">
      <w:pPr>
        <w:spacing w:line="480" w:lineRule="auto"/>
        <w:ind w:hanging="480"/>
      </w:pPr>
      <w:r>
        <w:rPr>
          <w:b/>
        </w:rPr>
        <w:lastRenderedPageBreak/>
        <w:t xml:space="preserve">Source One: </w:t>
      </w:r>
      <w:r w:rsidR="007B09CE" w:rsidRPr="007B09CE">
        <w:t>Shepherd-Banigan, M., Ulrich, A., &amp; Thompson, B. (2014). Macro-</w:t>
      </w:r>
      <w:r w:rsidR="00494E00">
        <w:t>A</w:t>
      </w:r>
      <w:r w:rsidR="007B09CE" w:rsidRPr="007B09CE">
        <w:t xml:space="preserve">ctivity </w:t>
      </w:r>
      <w:r w:rsidR="00494E00">
        <w:t>P</w:t>
      </w:r>
      <w:r w:rsidR="007B09CE" w:rsidRPr="007B09CE">
        <w:t xml:space="preserve">atterns of </w:t>
      </w:r>
      <w:r w:rsidR="00494E00">
        <w:t>F</w:t>
      </w:r>
      <w:r w:rsidR="007B09CE" w:rsidRPr="007B09CE">
        <w:t xml:space="preserve">armworker and </w:t>
      </w:r>
      <w:r w:rsidR="00494E00">
        <w:t>N</w:t>
      </w:r>
      <w:r w:rsidR="007B09CE" w:rsidRPr="007B09CE">
        <w:t>on-</w:t>
      </w:r>
      <w:r w:rsidR="00494E00">
        <w:t>F</w:t>
      </w:r>
      <w:r w:rsidR="007B09CE" w:rsidRPr="007B09CE">
        <w:t xml:space="preserve">armworker </w:t>
      </w:r>
      <w:r w:rsidR="00494E00">
        <w:t>C</w:t>
      </w:r>
      <w:r w:rsidR="007B09CE" w:rsidRPr="007B09CE">
        <w:t xml:space="preserve">hildren </w:t>
      </w:r>
      <w:r w:rsidR="00494E00">
        <w:t>L</w:t>
      </w:r>
      <w:r w:rsidR="007B09CE" w:rsidRPr="007B09CE">
        <w:t xml:space="preserve">iving in an </w:t>
      </w:r>
      <w:r w:rsidR="00494E00">
        <w:t>A</w:t>
      </w:r>
      <w:r w:rsidR="007B09CE" w:rsidRPr="007B09CE">
        <w:t xml:space="preserve">gricultural </w:t>
      </w:r>
      <w:r w:rsidR="00494E00">
        <w:t>C</w:t>
      </w:r>
      <w:r w:rsidR="007B09CE" w:rsidRPr="007B09CE">
        <w:t xml:space="preserve">ommunity. </w:t>
      </w:r>
      <w:r w:rsidR="007B09CE" w:rsidRPr="007B09CE">
        <w:rPr>
          <w:i/>
          <w:iCs/>
        </w:rPr>
        <w:t>Environmental Research</w:t>
      </w:r>
      <w:r w:rsidR="007B09CE" w:rsidRPr="007B09CE">
        <w:t xml:space="preserve">, </w:t>
      </w:r>
      <w:r w:rsidR="007B09CE" w:rsidRPr="007B09CE">
        <w:rPr>
          <w:i/>
          <w:iCs/>
        </w:rPr>
        <w:t>132</w:t>
      </w:r>
      <w:r w:rsidR="007B09CE" w:rsidRPr="007B09CE">
        <w:t xml:space="preserve">, 176–181. </w:t>
      </w:r>
      <w:hyperlink r:id="rId9" w:history="1">
        <w:r w:rsidR="007B09CE" w:rsidRPr="007B09CE">
          <w:rPr>
            <w:color w:val="0000FF"/>
            <w:u w:val="single"/>
          </w:rPr>
          <w:t>https://doi.org/10.1016/j.envres.2014.04.001</w:t>
        </w:r>
      </w:hyperlink>
    </w:p>
    <w:p w14:paraId="00000026" w14:textId="6C17DA3B" w:rsidR="00520992" w:rsidRPr="006D2A8B" w:rsidRDefault="00520992" w:rsidP="006D2A8B">
      <w:pPr>
        <w:spacing w:line="480" w:lineRule="auto"/>
        <w:ind w:hanging="480"/>
      </w:pPr>
    </w:p>
    <w:p w14:paraId="00000027" w14:textId="77777777" w:rsidR="00520992" w:rsidRDefault="00000000">
      <w:pPr>
        <w:spacing w:line="480" w:lineRule="auto"/>
        <w:ind w:left="720"/>
        <w:rPr>
          <w:i/>
        </w:rPr>
      </w:pPr>
      <w:r>
        <w:rPr>
          <w:b/>
        </w:rPr>
        <w:t xml:space="preserve">Comment 1:  </w:t>
      </w:r>
    </w:p>
    <w:p w14:paraId="28CC7210" w14:textId="3EA3BB40" w:rsidR="00DC431C" w:rsidRPr="005F2D8B" w:rsidRDefault="00000000" w:rsidP="00DC431C">
      <w:pPr>
        <w:spacing w:line="480" w:lineRule="auto"/>
        <w:ind w:left="1440"/>
        <w:rPr>
          <w:bCs/>
        </w:rPr>
      </w:pPr>
      <w:r>
        <w:rPr>
          <w:b/>
        </w:rPr>
        <w:t xml:space="preserve">Quote/Paraphrase: </w:t>
      </w:r>
      <w:r w:rsidR="00DC431C" w:rsidRPr="00DC431C">
        <w:rPr>
          <w:bCs/>
        </w:rPr>
        <w:t>“</w:t>
      </w:r>
      <w:r w:rsidR="006A095C" w:rsidRPr="006A095C">
        <w:rPr>
          <w:bCs/>
        </w:rPr>
        <w:t xml:space="preserve">The paired t-test is used for matched data and normality assumptions are considered by examining the distribution of the difference within children by season. For the most part, the distributions of these differences were approximately normal and met the distributional assumptions of the paired t-test. The distribution of the difference in the number of days that a child accompanied their parent to work in the fields was the only continuous difference that was not normally distributed. Therefore, the mean of this difference is </w:t>
      </w:r>
      <w:proofErr w:type="gramStart"/>
      <w:r w:rsidR="006A095C" w:rsidRPr="006A095C">
        <w:rPr>
          <w:bCs/>
        </w:rPr>
        <w:t>presented</w:t>
      </w:r>
      <w:proofErr w:type="gramEnd"/>
      <w:r w:rsidR="006A095C" w:rsidRPr="006A095C">
        <w:rPr>
          <w:bCs/>
        </w:rPr>
        <w:t xml:space="preserve"> and statistical significance is assessed using the </w:t>
      </w:r>
      <w:bookmarkStart w:id="2" w:name="_Hlk176596596"/>
      <w:r w:rsidR="006A095C" w:rsidRPr="006A095C">
        <w:rPr>
          <w:bCs/>
        </w:rPr>
        <w:t xml:space="preserve">Signed Rank Test </w:t>
      </w:r>
      <w:bookmarkEnd w:id="2"/>
      <w:r w:rsidR="006A095C" w:rsidRPr="006A095C">
        <w:rPr>
          <w:bCs/>
        </w:rPr>
        <w:t>for paired data</w:t>
      </w:r>
      <w:r w:rsidR="0069715F" w:rsidRPr="0069715F">
        <w:rPr>
          <w:bCs/>
        </w:rPr>
        <w:t>.</w:t>
      </w:r>
      <w:r w:rsidR="008B4880">
        <w:rPr>
          <w:bCs/>
        </w:rPr>
        <w:t>”</w:t>
      </w:r>
    </w:p>
    <w:bookmarkStart w:id="3" w:name="_Hlk171699174"/>
    <w:p w14:paraId="00000028" w14:textId="595C227B" w:rsidR="00520992" w:rsidRDefault="007B09CE" w:rsidP="0069715F">
      <w:pPr>
        <w:spacing w:line="480" w:lineRule="auto"/>
        <w:ind w:left="1440"/>
        <w:rPr>
          <w:bCs/>
        </w:rPr>
      </w:pPr>
      <w:r>
        <w:rPr>
          <w:bCs/>
        </w:rPr>
        <w:fldChar w:fldCharType="begin"/>
      </w:r>
      <w:r>
        <w:rPr>
          <w:bCs/>
        </w:rPr>
        <w:instrText xml:space="preserve"> ADDIN ZOTERO_ITEM CSL_CITATION {"citationID":"fsDZXWgq","properties":{"formattedCitation":"(Shepherd-Banigan et al., 2014)","plainCitation":"(Shepherd-Banigan et al., 2014)","noteIndex":0},"citationItems":[{"id":8,"uris":["http://zotero.org/users/local/ALkfWwEa/items/XRT2ZCCP"],"itemData":{"id":8,"type":"article-journal","abstract":"Background: Children of farmworkers have signiﬁcantly higher exposure to pesticides than do other children living in the same agricultural communities, but there is limited information about how and where older farmworker children ( 46) spend their time and how their activities might inﬂuence the risk of pesticide exposure.\nObjectives: Using data from the Community Based Participatory Research Study for Healthy Kids, we compared activity patterns recorded over 7 days during two agricultural seasons (pre thinning and thinning) between farmworker and non-farmworker children aged 6–12 years old living in Eastern Washington State.\nMethods: Parents completed a 7-day activity diary recording the activity patterns of their children. Mean differences in individual-level activity patterns across season were analyzed using paired t-tests and the Signed Rank Test. Differences in mean activity patterns comparing farmworker and non-farmworker children were analyzed using the Wilcoxon Sum Rank Test to assess differences in distributions across independent samples.\nResults: We observed substantial differences in child activity patterns between the two seasons. The children in this sample spent more time outdoors (p o0.001) and were more likely to engage in behaviors, such as playing in the ﬁelds (p¼ 0.01) and accompanying their parents to work in the ﬁelds (p¼ 0.001) during the high-spray thinning season. There were some differences in activities and behaviors between farmworker and non-farmworker children during the thinning season.\nConclusion: This study demonstrates that multiple factors, including agricultural season and parental occupation, may be associated with differences in activity patterns that could inﬂuence risk of pesticide exposure among children living in agricultural communities. As such, these factors may inﬂuence variation in exposure risks and should be considered when analyzing pesticide exposure measurements in these groups.","container-title":"Environmental Research","DOI":"10.1016/j.envres.2014.04.001","ISSN":"00139351","journalAbbreviation":"Environmental Research","language":"en","page":"176-181","source":"DOI.org (Crossref)","title":"Macro-activity patterns of farmworker and non-farmworker children living in an agricultural community","volume":"132","author":[{"family":"Shepherd-Banigan","given":"Megan"},{"family":"Ulrich","given":"Angela"},{"family":"Thompson","given":"Beti"}],"issued":{"date-parts":[["2014",7]]}}}],"schema":"https://github.com/citation-style-language/schema/raw/master/csl-citation.json"} </w:instrText>
      </w:r>
      <w:r>
        <w:rPr>
          <w:bCs/>
        </w:rPr>
        <w:fldChar w:fldCharType="separate"/>
      </w:r>
      <w:r w:rsidRPr="007B09CE">
        <w:t>(Shepherd-Banigan et al., 2014</w:t>
      </w:r>
      <w:r>
        <w:t>, p. 178</w:t>
      </w:r>
      <w:r w:rsidRPr="007B09CE">
        <w:t>)</w:t>
      </w:r>
      <w:r>
        <w:rPr>
          <w:bCs/>
        </w:rPr>
        <w:fldChar w:fldCharType="end"/>
      </w:r>
    </w:p>
    <w:bookmarkEnd w:id="3"/>
    <w:p w14:paraId="00000029" w14:textId="77777777" w:rsidR="00520992" w:rsidRDefault="00520992" w:rsidP="007F5FEE">
      <w:pPr>
        <w:spacing w:line="480" w:lineRule="auto"/>
      </w:pPr>
    </w:p>
    <w:p w14:paraId="0000002B" w14:textId="5A232E16" w:rsidR="00520992" w:rsidRDefault="00000000">
      <w:pPr>
        <w:spacing w:line="480" w:lineRule="auto"/>
        <w:ind w:left="1440"/>
        <w:rPr>
          <w:bCs/>
        </w:rPr>
      </w:pPr>
      <w:r>
        <w:rPr>
          <w:b/>
        </w:rPr>
        <w:t>Essential Element:</w:t>
      </w:r>
      <w:r w:rsidR="00D35F80">
        <w:rPr>
          <w:b/>
        </w:rPr>
        <w:t xml:space="preserve"> </w:t>
      </w:r>
      <w:r w:rsidR="00494E00" w:rsidRPr="00494E00">
        <w:rPr>
          <w:bCs/>
        </w:rPr>
        <w:t>Assumptions testing</w:t>
      </w:r>
      <w:r w:rsidR="005A1C55">
        <w:rPr>
          <w:bCs/>
        </w:rPr>
        <w:t xml:space="preserve">, </w:t>
      </w:r>
      <w:r w:rsidR="005A1C55" w:rsidRPr="005A1C55">
        <w:rPr>
          <w:bCs/>
        </w:rPr>
        <w:t>Parametric Statistics</w:t>
      </w:r>
      <w:r w:rsidR="005A1C55">
        <w:rPr>
          <w:bCs/>
        </w:rPr>
        <w:t xml:space="preserve">, </w:t>
      </w:r>
      <w:r w:rsidR="005A1C55" w:rsidRPr="005A1C55">
        <w:rPr>
          <w:bCs/>
        </w:rPr>
        <w:t>Nonparametric Statistics</w:t>
      </w:r>
    </w:p>
    <w:p w14:paraId="43ACC5C4" w14:textId="77777777" w:rsidR="00BC4396" w:rsidRDefault="00BC4396">
      <w:pPr>
        <w:spacing w:line="480" w:lineRule="auto"/>
        <w:ind w:left="1440"/>
        <w:rPr>
          <w:b/>
        </w:rPr>
      </w:pPr>
    </w:p>
    <w:p w14:paraId="0000002C" w14:textId="5F956F5D" w:rsidR="00520992" w:rsidRDefault="00000000">
      <w:pPr>
        <w:spacing w:line="480" w:lineRule="auto"/>
        <w:ind w:left="1440"/>
        <w:rPr>
          <w:b/>
        </w:rPr>
      </w:pPr>
      <w:r>
        <w:rPr>
          <w:b/>
        </w:rPr>
        <w:t xml:space="preserve">Additive/Variant Analysis: </w:t>
      </w:r>
      <w:r w:rsidR="00D35F80" w:rsidRPr="00D35F80">
        <w:rPr>
          <w:bCs/>
        </w:rPr>
        <w:t>Th</w:t>
      </w:r>
      <w:r w:rsidR="00494E00">
        <w:rPr>
          <w:bCs/>
        </w:rPr>
        <w:t>e use of normality testing is additive to my understanding of determining statistics that could be used given the shape of the distribution.</w:t>
      </w:r>
    </w:p>
    <w:p w14:paraId="0000002D" w14:textId="77777777" w:rsidR="00520992" w:rsidRDefault="00520992">
      <w:pPr>
        <w:spacing w:line="480" w:lineRule="auto"/>
        <w:ind w:left="1440"/>
      </w:pPr>
    </w:p>
    <w:p w14:paraId="0000002E" w14:textId="17FB19D7" w:rsidR="00520992" w:rsidRDefault="00000000">
      <w:pPr>
        <w:spacing w:line="480" w:lineRule="auto"/>
        <w:ind w:left="1440"/>
      </w:pPr>
      <w:r>
        <w:rPr>
          <w:b/>
        </w:rPr>
        <w:lastRenderedPageBreak/>
        <w:t xml:space="preserve">Contextualization: </w:t>
      </w:r>
      <w:r>
        <w:t xml:space="preserve"> </w:t>
      </w:r>
      <w:r w:rsidR="00494E00">
        <w:t xml:space="preserve">In this quote the researcher examined the normality of two different variables and identified what statistics could be used in examining </w:t>
      </w:r>
      <w:proofErr w:type="gramStart"/>
      <w:r w:rsidR="005A1C55">
        <w:t>whether or not</w:t>
      </w:r>
      <w:proofErr w:type="gramEnd"/>
      <w:r w:rsidR="005A1C55">
        <w:t xml:space="preserve"> the distribution of the data is approximately normal to where it would fit the normalized sampling distribution. If so</w:t>
      </w:r>
      <w:r w:rsidR="00080818">
        <w:t>, then parametric statistics could be performed, and if not,</w:t>
      </w:r>
      <w:r w:rsidR="005A1C55">
        <w:t xml:space="preserve"> then non-parametric statistics would be used. In this research</w:t>
      </w:r>
      <w:r w:rsidR="00080818">
        <w:t>, the researcher used a t-test for the approximately</w:t>
      </w:r>
      <w:r w:rsidR="005A1C55">
        <w:t xml:space="preserve"> normal data and a </w:t>
      </w:r>
      <w:r w:rsidR="005A1C55" w:rsidRPr="005A1C55">
        <w:t>Signed Rank Test</w:t>
      </w:r>
      <w:r w:rsidR="005A1C55">
        <w:t xml:space="preserve"> for the data that did not fit the normal distribution.</w:t>
      </w:r>
      <w:r w:rsidR="00080818">
        <w:t xml:space="preserve"> It is important for the researcher to dive into exploring the data they have collected, not only to understand the data, but also to test the assumptions of the data. There are </w:t>
      </w:r>
      <w:r w:rsidR="006245F7">
        <w:t>several assumption tests that should be completed, a major one being normality testing.</w:t>
      </w:r>
    </w:p>
    <w:p w14:paraId="05E9DB48" w14:textId="77777777" w:rsidR="001B32C9" w:rsidRDefault="001B32C9">
      <w:pPr>
        <w:spacing w:line="480" w:lineRule="auto"/>
        <w:ind w:left="1440"/>
      </w:pPr>
    </w:p>
    <w:p w14:paraId="5F165B32" w14:textId="3B3C0AEB" w:rsidR="001B32C9" w:rsidRDefault="001B32C9" w:rsidP="001B32C9">
      <w:pPr>
        <w:spacing w:line="480" w:lineRule="auto"/>
        <w:ind w:hanging="480"/>
      </w:pPr>
      <w:r>
        <w:rPr>
          <w:b/>
        </w:rPr>
        <w:t xml:space="preserve">Source Two: </w:t>
      </w:r>
      <w:r w:rsidRPr="001B32C9">
        <w:t>Min, R. N. J.</w:t>
      </w:r>
      <w:r w:rsidR="003209E6">
        <w:t>, 2022</w:t>
      </w:r>
      <w:r w:rsidRPr="001B32C9">
        <w:t xml:space="preserve"> Heat, Health and Central Valley Agricultural Populations: Examining Farmworker Vulnerability to Emerging Health Threats of Global Warming.</w:t>
      </w:r>
      <w:r w:rsidR="003209E6" w:rsidRPr="003209E6">
        <w:t xml:space="preserve"> </w:t>
      </w:r>
      <w:r w:rsidR="003209E6" w:rsidRPr="006245F7">
        <w:rPr>
          <w:i/>
          <w:iCs/>
        </w:rPr>
        <w:t xml:space="preserve">Vulnerability to </w:t>
      </w:r>
      <w:r w:rsidR="006245F7">
        <w:rPr>
          <w:i/>
          <w:iCs/>
        </w:rPr>
        <w:t>E</w:t>
      </w:r>
      <w:r w:rsidR="003209E6" w:rsidRPr="006245F7">
        <w:rPr>
          <w:i/>
          <w:iCs/>
        </w:rPr>
        <w:t xml:space="preserve">merging </w:t>
      </w:r>
      <w:r w:rsidR="006245F7">
        <w:rPr>
          <w:i/>
          <w:iCs/>
        </w:rPr>
        <w:t>H</w:t>
      </w:r>
      <w:r w:rsidR="003209E6" w:rsidRPr="006245F7">
        <w:rPr>
          <w:i/>
          <w:iCs/>
        </w:rPr>
        <w:t xml:space="preserve">ealth </w:t>
      </w:r>
      <w:r w:rsidR="006245F7">
        <w:rPr>
          <w:i/>
          <w:iCs/>
        </w:rPr>
        <w:t>T</w:t>
      </w:r>
      <w:r w:rsidR="003209E6" w:rsidRPr="006245F7">
        <w:rPr>
          <w:i/>
          <w:iCs/>
        </w:rPr>
        <w:t xml:space="preserve">hreats of </w:t>
      </w:r>
      <w:r w:rsidR="006245F7">
        <w:rPr>
          <w:i/>
          <w:iCs/>
        </w:rPr>
        <w:t>G</w:t>
      </w:r>
      <w:r w:rsidR="003209E6" w:rsidRPr="006245F7">
        <w:rPr>
          <w:i/>
          <w:iCs/>
        </w:rPr>
        <w:t xml:space="preserve">lobal </w:t>
      </w:r>
      <w:r w:rsidR="006245F7">
        <w:rPr>
          <w:i/>
          <w:iCs/>
        </w:rPr>
        <w:t>W</w:t>
      </w:r>
      <w:r w:rsidR="003209E6" w:rsidRPr="006245F7">
        <w:rPr>
          <w:i/>
          <w:iCs/>
        </w:rPr>
        <w:t>arming</w:t>
      </w:r>
    </w:p>
    <w:p w14:paraId="58D2113B" w14:textId="77777777" w:rsidR="008B4880" w:rsidRDefault="008B4880" w:rsidP="00867B49">
      <w:pPr>
        <w:spacing w:line="480" w:lineRule="auto"/>
      </w:pPr>
    </w:p>
    <w:p w14:paraId="00000031" w14:textId="77777777" w:rsidR="00520992" w:rsidRDefault="00000000">
      <w:pPr>
        <w:spacing w:line="480" w:lineRule="auto"/>
        <w:ind w:left="720"/>
        <w:rPr>
          <w:b/>
        </w:rPr>
      </w:pPr>
      <w:r>
        <w:rPr>
          <w:b/>
        </w:rPr>
        <w:t>Comment 2:</w:t>
      </w:r>
    </w:p>
    <w:p w14:paraId="00000032" w14:textId="42910966" w:rsidR="00520992" w:rsidRDefault="00000000">
      <w:pPr>
        <w:spacing w:line="480" w:lineRule="auto"/>
        <w:ind w:left="1440"/>
        <w:rPr>
          <w:b/>
        </w:rPr>
      </w:pPr>
      <w:r>
        <w:rPr>
          <w:b/>
        </w:rPr>
        <w:t>Quote/Paraphrase</w:t>
      </w:r>
      <w:r w:rsidR="00EC73D1">
        <w:rPr>
          <w:b/>
        </w:rPr>
        <w:t>:</w:t>
      </w:r>
      <w:r w:rsidR="00F7753A">
        <w:rPr>
          <w:b/>
        </w:rPr>
        <w:t xml:space="preserve"> </w:t>
      </w:r>
      <w:r w:rsidR="00F7753A" w:rsidRPr="00727D0E">
        <w:rPr>
          <w:bCs/>
        </w:rPr>
        <w:t>“</w:t>
      </w:r>
      <w:r w:rsidR="001B32C9" w:rsidRPr="001B32C9">
        <w:rPr>
          <w:bCs/>
        </w:rPr>
        <w:t xml:space="preserve">To ensure the data is well suited for ANOVA testing, I also conducted a </w:t>
      </w:r>
      <w:bookmarkStart w:id="4" w:name="_Hlk176597679"/>
      <w:r w:rsidR="001B32C9" w:rsidRPr="001B32C9">
        <w:rPr>
          <w:bCs/>
        </w:rPr>
        <w:t>normality assumption test using the residuals and a probability plot</w:t>
      </w:r>
      <w:bookmarkEnd w:id="4"/>
      <w:r w:rsidR="001B32C9" w:rsidRPr="001B32C9">
        <w:rPr>
          <w:bCs/>
        </w:rPr>
        <w:t xml:space="preserve">. I used the probability plot (Chambers et al., 1983) as a graphical technique for assessing </w:t>
      </w:r>
      <w:proofErr w:type="gramStart"/>
      <w:r w:rsidR="001B32C9" w:rsidRPr="001B32C9">
        <w:rPr>
          <w:bCs/>
        </w:rPr>
        <w:t>whether or not</w:t>
      </w:r>
      <w:proofErr w:type="gramEnd"/>
      <w:r w:rsidR="001B32C9" w:rsidRPr="001B32C9">
        <w:rPr>
          <w:bCs/>
        </w:rPr>
        <w:t xml:space="preserve"> my data set follows a normal distribution. The data are plotted against a theoretical distribution in such a way that the points should form </w:t>
      </w:r>
      <w:r w:rsidR="001B32C9" w:rsidRPr="001B32C9">
        <w:rPr>
          <w:bCs/>
        </w:rPr>
        <w:lastRenderedPageBreak/>
        <w:t>approximately a straight line.  Departures from this straight line indicate departures from the specified distribution.</w:t>
      </w:r>
      <w:r w:rsidR="001B32C9">
        <w:rPr>
          <w:bCs/>
        </w:rPr>
        <w:t>”</w:t>
      </w:r>
      <w:r w:rsidR="001B32C9" w:rsidRPr="001B32C9">
        <w:rPr>
          <w:bCs/>
        </w:rPr>
        <w:t xml:space="preserve"> </w:t>
      </w:r>
      <w:r w:rsidR="0032433D" w:rsidRPr="0032433D">
        <w:rPr>
          <w:bCs/>
        </w:rPr>
        <w:t>(</w:t>
      </w:r>
      <w:r w:rsidR="001B32C9">
        <w:rPr>
          <w:bCs/>
        </w:rPr>
        <w:t>Min</w:t>
      </w:r>
      <w:r w:rsidR="0032433D" w:rsidRPr="0032433D">
        <w:rPr>
          <w:bCs/>
        </w:rPr>
        <w:t>, 202</w:t>
      </w:r>
      <w:r w:rsidR="001B32C9">
        <w:rPr>
          <w:bCs/>
        </w:rPr>
        <w:t>2</w:t>
      </w:r>
      <w:r w:rsidR="0032433D" w:rsidRPr="0032433D">
        <w:rPr>
          <w:bCs/>
        </w:rPr>
        <w:t xml:space="preserve">, p. </w:t>
      </w:r>
      <w:r w:rsidR="001B32C9">
        <w:rPr>
          <w:bCs/>
        </w:rPr>
        <w:t>15</w:t>
      </w:r>
      <w:r w:rsidR="0032433D" w:rsidRPr="0032433D">
        <w:rPr>
          <w:bCs/>
        </w:rPr>
        <w:t xml:space="preserve">)  </w:t>
      </w:r>
    </w:p>
    <w:p w14:paraId="035A2316" w14:textId="77777777" w:rsidR="0032433D" w:rsidRDefault="0032433D" w:rsidP="006C10F2">
      <w:pPr>
        <w:spacing w:line="480" w:lineRule="auto"/>
      </w:pPr>
    </w:p>
    <w:p w14:paraId="00000034" w14:textId="36E984DC" w:rsidR="00520992" w:rsidRDefault="00000000">
      <w:pPr>
        <w:spacing w:line="480" w:lineRule="auto"/>
        <w:ind w:left="1440"/>
        <w:rPr>
          <w:b/>
        </w:rPr>
      </w:pPr>
      <w:r>
        <w:rPr>
          <w:b/>
        </w:rPr>
        <w:t>Essential Element:</w:t>
      </w:r>
      <w:r w:rsidR="00FA7259">
        <w:rPr>
          <w:b/>
        </w:rPr>
        <w:t xml:space="preserve"> </w:t>
      </w:r>
      <w:r w:rsidR="005A1C55" w:rsidRPr="005A1C55">
        <w:rPr>
          <w:bCs/>
        </w:rPr>
        <w:t>Assumptions testing</w:t>
      </w:r>
    </w:p>
    <w:p w14:paraId="00000035" w14:textId="77777777" w:rsidR="00520992" w:rsidRDefault="00520992">
      <w:pPr>
        <w:spacing w:line="480" w:lineRule="auto"/>
        <w:ind w:left="1440"/>
        <w:rPr>
          <w:b/>
        </w:rPr>
      </w:pPr>
    </w:p>
    <w:p w14:paraId="00000036" w14:textId="0721B92F" w:rsidR="00520992" w:rsidRPr="00A37E31" w:rsidRDefault="00000000">
      <w:pPr>
        <w:spacing w:line="480" w:lineRule="auto"/>
        <w:ind w:left="1440"/>
        <w:rPr>
          <w:bCs/>
        </w:rPr>
      </w:pPr>
      <w:r>
        <w:rPr>
          <w:b/>
        </w:rPr>
        <w:t>Additive/Variant Analysis:</w:t>
      </w:r>
      <w:r w:rsidR="00A37E31">
        <w:rPr>
          <w:b/>
        </w:rPr>
        <w:t xml:space="preserve"> </w:t>
      </w:r>
      <w:r w:rsidR="00A37E31">
        <w:rPr>
          <w:bCs/>
        </w:rPr>
        <w:t>T</w:t>
      </w:r>
      <w:r w:rsidR="00B30E6A">
        <w:rPr>
          <w:bCs/>
        </w:rPr>
        <w:t>he concept of using assumption testing for examining the assumptions about the data and</w:t>
      </w:r>
      <w:r w:rsidR="006245F7">
        <w:rPr>
          <w:bCs/>
        </w:rPr>
        <w:t>, in this case,</w:t>
      </w:r>
      <w:r w:rsidR="00B30E6A">
        <w:rPr>
          <w:bCs/>
        </w:rPr>
        <w:t xml:space="preserve"> the normality of the data is additive to my understanding of assumption testing.</w:t>
      </w:r>
    </w:p>
    <w:p w14:paraId="00000037" w14:textId="77777777" w:rsidR="00520992" w:rsidRDefault="00520992">
      <w:pPr>
        <w:spacing w:line="480" w:lineRule="auto"/>
        <w:ind w:left="1440"/>
      </w:pPr>
    </w:p>
    <w:p w14:paraId="00000038" w14:textId="50B705B2" w:rsidR="00520992" w:rsidRPr="00F32C6F" w:rsidRDefault="00000000">
      <w:pPr>
        <w:spacing w:line="480" w:lineRule="auto"/>
        <w:ind w:left="1440"/>
        <w:rPr>
          <w:bCs/>
        </w:rPr>
      </w:pPr>
      <w:r>
        <w:rPr>
          <w:b/>
        </w:rPr>
        <w:t xml:space="preserve">Contextualization: </w:t>
      </w:r>
      <w:r w:rsidR="00B30E6A">
        <w:rPr>
          <w:bCs/>
        </w:rPr>
        <w:t xml:space="preserve">The researcher intended to perform an ANOVA (Analysis of Variance) to test the hypothesis </w:t>
      </w:r>
      <w:r w:rsidR="006245F7">
        <w:rPr>
          <w:bCs/>
        </w:rPr>
        <w:t>using</w:t>
      </w:r>
      <w:r w:rsidR="003209E6">
        <w:rPr>
          <w:bCs/>
        </w:rPr>
        <w:t xml:space="preserve"> </w:t>
      </w:r>
      <w:r w:rsidR="003209E6" w:rsidRPr="003209E6">
        <w:rPr>
          <w:bCs/>
        </w:rPr>
        <w:t xml:space="preserve">residuals and a probability plot </w:t>
      </w:r>
      <w:r w:rsidR="003209E6">
        <w:rPr>
          <w:bCs/>
        </w:rPr>
        <w:t xml:space="preserve">to test the </w:t>
      </w:r>
      <w:r w:rsidR="003209E6" w:rsidRPr="003209E6">
        <w:rPr>
          <w:bCs/>
        </w:rPr>
        <w:t xml:space="preserve">normality assumption </w:t>
      </w:r>
      <w:r w:rsidR="003209E6">
        <w:rPr>
          <w:bCs/>
        </w:rPr>
        <w:t xml:space="preserve">of the data. </w:t>
      </w:r>
      <w:r w:rsidR="006245F7">
        <w:rPr>
          <w:bCs/>
        </w:rPr>
        <w:t>A residual probability plot, also known as a normal probability plot of residuals, is a visual display of error terms (residuals) from the predicted equation line. If the residual plots fall approximately linear to the equation line,</w:t>
      </w:r>
      <w:r w:rsidR="00ED0D19">
        <w:rPr>
          <w:bCs/>
        </w:rPr>
        <w:t xml:space="preserve"> then it </w:t>
      </w:r>
      <w:r w:rsidR="00C65F88" w:rsidRPr="00C65F88">
        <w:rPr>
          <w:bCs/>
        </w:rPr>
        <w:t>support</w:t>
      </w:r>
      <w:r w:rsidR="00ED0D19">
        <w:rPr>
          <w:bCs/>
        </w:rPr>
        <w:t xml:space="preserve">s that the </w:t>
      </w:r>
      <w:r w:rsidR="00C65F88" w:rsidRPr="00C65F88">
        <w:rPr>
          <w:bCs/>
        </w:rPr>
        <w:t>error terms are normally distributed</w:t>
      </w:r>
      <w:r w:rsidR="00ED0D19">
        <w:rPr>
          <w:bCs/>
        </w:rPr>
        <w:t>.</w:t>
      </w:r>
      <w:r w:rsidR="006245F7">
        <w:rPr>
          <w:bCs/>
        </w:rPr>
        <w:t xml:space="preserve"> The ANOVA is used to examine the variation between groups</w:t>
      </w:r>
      <w:r w:rsidR="00302468">
        <w:rPr>
          <w:bCs/>
        </w:rPr>
        <w:t>. Thus,</w:t>
      </w:r>
      <w:r w:rsidR="006245F7">
        <w:rPr>
          <w:bCs/>
        </w:rPr>
        <w:t xml:space="preserve"> </w:t>
      </w:r>
      <w:r w:rsidR="00B10EB3">
        <w:rPr>
          <w:bCs/>
        </w:rPr>
        <w:t>using</w:t>
      </w:r>
      <w:r w:rsidR="006245F7">
        <w:rPr>
          <w:bCs/>
        </w:rPr>
        <w:t xml:space="preserve"> residual plots is a good way to </w:t>
      </w:r>
      <w:r w:rsidR="00302468">
        <w:rPr>
          <w:bCs/>
        </w:rPr>
        <w:t>test the normality of the variation.</w:t>
      </w:r>
      <w:r w:rsidR="006245F7">
        <w:rPr>
          <w:bCs/>
        </w:rPr>
        <w:t xml:space="preserve"> </w:t>
      </w:r>
    </w:p>
    <w:p w14:paraId="2C7252C3" w14:textId="77777777" w:rsidR="00F32C6F" w:rsidRDefault="00F32C6F">
      <w:pPr>
        <w:spacing w:line="480" w:lineRule="auto"/>
        <w:ind w:left="1440"/>
        <w:rPr>
          <w:b/>
        </w:rPr>
      </w:pPr>
    </w:p>
    <w:p w14:paraId="0AD54084" w14:textId="4D69AAE5" w:rsidR="006E2E54" w:rsidRPr="006E2E54" w:rsidRDefault="001B32C9" w:rsidP="006E2E54">
      <w:pPr>
        <w:spacing w:line="480" w:lineRule="auto"/>
        <w:ind w:hanging="480"/>
      </w:pPr>
      <w:bookmarkStart w:id="5" w:name="_heading=h.30j0zll" w:colFirst="0" w:colLast="0"/>
      <w:bookmarkEnd w:id="5"/>
      <w:r>
        <w:rPr>
          <w:b/>
        </w:rPr>
        <w:t xml:space="preserve">Source Three: </w:t>
      </w:r>
      <w:bookmarkStart w:id="6" w:name="_Hlk176541638"/>
      <w:r w:rsidR="006E2E54" w:rsidRPr="006E2E54">
        <w:t>López-Gálvez</w:t>
      </w:r>
      <w:bookmarkEnd w:id="6"/>
      <w:r w:rsidR="006E2E54" w:rsidRPr="006E2E54">
        <w:t xml:space="preserve">, N., Wagoner, R., Canales, R. A., Ernst, K., Burgess, J. L., De Zapien, J., Rosales, C., &amp; Beamer, P. (2021). Longitudinal </w:t>
      </w:r>
      <w:r w:rsidR="00BF2B61">
        <w:t>A</w:t>
      </w:r>
      <w:r w:rsidR="006E2E54" w:rsidRPr="006E2E54">
        <w:t xml:space="preserve">ssessment of </w:t>
      </w:r>
      <w:r w:rsidR="00BF2B61">
        <w:t>K</w:t>
      </w:r>
      <w:r w:rsidR="006E2E54" w:rsidRPr="006E2E54">
        <w:t xml:space="preserve">idney </w:t>
      </w:r>
      <w:r w:rsidR="00BF2B61">
        <w:t>F</w:t>
      </w:r>
      <w:r w:rsidR="006E2E54" w:rsidRPr="006E2E54">
        <w:t xml:space="preserve">unction in </w:t>
      </w:r>
      <w:r w:rsidR="00BF2B61">
        <w:t>M</w:t>
      </w:r>
      <w:r w:rsidR="006E2E54" w:rsidRPr="006E2E54">
        <w:t xml:space="preserve">igrant </w:t>
      </w:r>
      <w:r w:rsidR="00BF2B61">
        <w:t>F</w:t>
      </w:r>
      <w:r w:rsidR="006E2E54" w:rsidRPr="006E2E54">
        <w:t xml:space="preserve">arm </w:t>
      </w:r>
      <w:r w:rsidR="00BF2B61">
        <w:t>W</w:t>
      </w:r>
      <w:r w:rsidR="006E2E54" w:rsidRPr="006E2E54">
        <w:t xml:space="preserve">orkers. </w:t>
      </w:r>
      <w:r w:rsidR="006E2E54" w:rsidRPr="006E2E54">
        <w:rPr>
          <w:i/>
          <w:iCs/>
        </w:rPr>
        <w:t>Environmental Research</w:t>
      </w:r>
      <w:r w:rsidR="006E2E54" w:rsidRPr="006E2E54">
        <w:t xml:space="preserve">, </w:t>
      </w:r>
      <w:r w:rsidR="006E2E54" w:rsidRPr="006E2E54">
        <w:rPr>
          <w:i/>
          <w:iCs/>
        </w:rPr>
        <w:t>202</w:t>
      </w:r>
      <w:r w:rsidR="006E2E54" w:rsidRPr="006E2E54">
        <w:t xml:space="preserve">, 111686. </w:t>
      </w:r>
      <w:hyperlink r:id="rId10" w:history="1">
        <w:r w:rsidR="006E2E54" w:rsidRPr="006E2E54">
          <w:rPr>
            <w:color w:val="0000FF"/>
            <w:u w:val="single"/>
          </w:rPr>
          <w:t>https://doi.org/10.1016/j.envres.2021.111686</w:t>
        </w:r>
      </w:hyperlink>
    </w:p>
    <w:p w14:paraId="1C81EF7E" w14:textId="3218C35F" w:rsidR="001B32C9" w:rsidRPr="00556234" w:rsidRDefault="001B32C9" w:rsidP="001B32C9">
      <w:pPr>
        <w:spacing w:line="480" w:lineRule="auto"/>
        <w:ind w:hanging="480"/>
      </w:pPr>
    </w:p>
    <w:p w14:paraId="0000003B" w14:textId="77777777" w:rsidR="00520992" w:rsidRDefault="00000000">
      <w:pPr>
        <w:spacing w:line="480" w:lineRule="auto"/>
        <w:ind w:left="720"/>
      </w:pPr>
      <w:r>
        <w:rPr>
          <w:b/>
        </w:rPr>
        <w:lastRenderedPageBreak/>
        <w:t>Comment 3:</w:t>
      </w:r>
      <w:r>
        <w:rPr>
          <w:b/>
          <w:color w:val="FF0000"/>
        </w:rPr>
        <w:t xml:space="preserve">  </w:t>
      </w:r>
    </w:p>
    <w:p w14:paraId="0000003C" w14:textId="664023AD" w:rsidR="00520992" w:rsidRPr="00BB46B7" w:rsidRDefault="00000000" w:rsidP="006E2E54">
      <w:pPr>
        <w:spacing w:line="480" w:lineRule="auto"/>
        <w:ind w:left="1440"/>
        <w:rPr>
          <w:bCs/>
        </w:rPr>
      </w:pPr>
      <w:r>
        <w:rPr>
          <w:b/>
        </w:rPr>
        <w:t>Quote/Paraphrase</w:t>
      </w:r>
      <w:r w:rsidR="00950B88">
        <w:rPr>
          <w:b/>
        </w:rPr>
        <w:t>:</w:t>
      </w:r>
      <w:r w:rsidR="00A2072B">
        <w:rPr>
          <w:b/>
        </w:rPr>
        <w:t xml:space="preserve"> </w:t>
      </w:r>
      <w:r w:rsidR="00BB46B7">
        <w:rPr>
          <w:bCs/>
        </w:rPr>
        <w:t>“</w:t>
      </w:r>
      <w:r w:rsidR="006E2E54" w:rsidRPr="006E2E54">
        <w:rPr>
          <w:bCs/>
        </w:rPr>
        <w:t>Variable distribution was examined using histogram and summary statistics. Variables with a lognormal distribution were log-transformed prior to analyses</w:t>
      </w:r>
      <w:r w:rsidR="00E8396E" w:rsidRPr="00E8396E">
        <w:rPr>
          <w:bCs/>
        </w:rPr>
        <w:t>.</w:t>
      </w:r>
      <w:r w:rsidR="00E8396E">
        <w:rPr>
          <w:bCs/>
        </w:rPr>
        <w:t>”</w:t>
      </w:r>
      <w:bookmarkStart w:id="7" w:name="_Hlk171700621"/>
      <w:r w:rsidR="006E2E54">
        <w:rPr>
          <w:bCs/>
        </w:rPr>
        <w:t xml:space="preserve"> </w:t>
      </w:r>
      <w:r w:rsidR="00435EBA">
        <w:rPr>
          <w:bCs/>
        </w:rPr>
        <w:fldChar w:fldCharType="begin"/>
      </w:r>
      <w:r w:rsidR="007B09CE">
        <w:rPr>
          <w:bCs/>
        </w:rPr>
        <w:instrText xml:space="preserve"> ADDIN ZOTERO_ITEM CSL_CITATION {"citationID":"JNOj2LNt","properties":{"formattedCitation":"(Curl et al., 2020)","plainCitation":"(Curl et al., 2020)","dontUpdate":true,"noteIndex":0},"citationItems":[{"id":"S51N5ARd/4seQ8ssI","uris":["http://zotero.org/users/local/Prr5sh2G/items/G8F2APKM"],"itemData":{"id":485,"type":"article-journal","abstract":"The aim of this study was to identify social, cultural and workplace-related risk factors affecting well-being among Latina farmworkers in rural Idaho. We recruited 70 Latina farmworkers from southwestern Idaho in 2019. We employed an inter-disciplinary, mixed-methods approach—including surveys, focus groups, interviews, and pesticide biomonitoring—to characterize multiple domains that inﬂuence well-being, including food security and access, housing conditions, social supports, access to medical care, and workplace safety. Six major themes emerged as primary challenges to Latina farmworkers’ well-being. In the public sphere, study participants identiﬁed these challenges as long working hours, concerns regarding pesticide exposure, and lack of enforcement of regulatory protections. Participants’ concerns regarding pesticide exposure were underscored by biological sampling results; multiple biomarkers of pesticide exposure were detected in all samples, with the highest concentrations measured in samples collected from women who reported mixing, loading or applying pesticides. Within the private sphere, food security and provisioning, childcare responsibilities, and social isolation were identiﬁed as signiﬁcant challenges to well-being. Gender, ethnicity, and geography emerged as important, intersecting statuses that shaped the life experiences of these agricultural workers. Our ﬁndings suggest that gender may play a particularly critical role in the unique challenges facing Latina farmworkers. As a result, the services and regulations needed to support well-being in this population may be highly speciﬁc, and almost certainly include attention to work–family dynamics, pesticide exposure, and social connections.","container-title":"International Journal of Environmental Research and Public Health","DOI":"10.3390/ijerph18010169","ISSN":"1660-4601","issue":"1","journalAbbreviation":"IJERPH","language":"en","license":"https://creativecommons.org/licenses/by/4.0/","page":"169","source":"DOI.org (Crossref)","title":"Understanding Challenges to Well-Being among Latina FarmWorkers in Rural Idaho Using in an Interdisciplinary, Mixed-Methods Approach","volume":"18","author":[{"family":"Curl","given":"Cynthia L."},{"family":"Meierotto","given":"Lisa"},{"family":"Som Castellano","given":"Rebecca L."}],"issued":{"date-parts":[["2020",12,29]]}}}],"schema":"https://github.com/citation-style-language/schema/raw/master/csl-citation.json"} </w:instrText>
      </w:r>
      <w:r w:rsidR="00435EBA">
        <w:rPr>
          <w:bCs/>
        </w:rPr>
        <w:fldChar w:fldCharType="separate"/>
      </w:r>
      <w:r w:rsidR="00E8396E" w:rsidRPr="00E8396E">
        <w:t>(</w:t>
      </w:r>
      <w:r w:rsidR="006E2E54" w:rsidRPr="006E2E54">
        <w:t xml:space="preserve"> López-Gálvez</w:t>
      </w:r>
      <w:r w:rsidR="00E8396E" w:rsidRPr="00E8396E">
        <w:t xml:space="preserve"> et al., 202</w:t>
      </w:r>
      <w:r w:rsidR="006E2E54">
        <w:t>1</w:t>
      </w:r>
      <w:r w:rsidR="00E8396E">
        <w:t>, p.</w:t>
      </w:r>
      <w:r w:rsidR="006E2E54">
        <w:t>4</w:t>
      </w:r>
      <w:r w:rsidR="00E8396E" w:rsidRPr="00E8396E">
        <w:t>)</w:t>
      </w:r>
      <w:r w:rsidR="00435EBA">
        <w:rPr>
          <w:bCs/>
        </w:rPr>
        <w:fldChar w:fldCharType="end"/>
      </w:r>
    </w:p>
    <w:bookmarkEnd w:id="7"/>
    <w:p w14:paraId="0000003D" w14:textId="77777777" w:rsidR="00520992" w:rsidRDefault="00520992">
      <w:pPr>
        <w:spacing w:line="480" w:lineRule="auto"/>
        <w:ind w:left="1440"/>
      </w:pPr>
    </w:p>
    <w:p w14:paraId="0000003E" w14:textId="786636BB" w:rsidR="00520992" w:rsidRPr="001452D1" w:rsidRDefault="00000000">
      <w:pPr>
        <w:spacing w:line="480" w:lineRule="auto"/>
        <w:ind w:left="1440"/>
        <w:rPr>
          <w:bCs/>
        </w:rPr>
      </w:pPr>
      <w:r>
        <w:rPr>
          <w:b/>
        </w:rPr>
        <w:t>Essential Element:</w:t>
      </w:r>
      <w:r w:rsidR="001452D1">
        <w:rPr>
          <w:b/>
        </w:rPr>
        <w:t xml:space="preserve"> </w:t>
      </w:r>
      <w:r w:rsidR="00D67D15" w:rsidRPr="00D67D15">
        <w:rPr>
          <w:bCs/>
        </w:rPr>
        <w:t>Assumptions testing</w:t>
      </w:r>
    </w:p>
    <w:p w14:paraId="0000003F" w14:textId="77777777" w:rsidR="00520992" w:rsidRDefault="00520992">
      <w:pPr>
        <w:spacing w:line="480" w:lineRule="auto"/>
        <w:ind w:left="1440"/>
        <w:rPr>
          <w:b/>
        </w:rPr>
      </w:pPr>
    </w:p>
    <w:p w14:paraId="00000040" w14:textId="2F063505" w:rsidR="00520992" w:rsidRPr="00D21742" w:rsidRDefault="00000000">
      <w:pPr>
        <w:spacing w:line="480" w:lineRule="auto"/>
        <w:ind w:left="1440"/>
        <w:rPr>
          <w:bCs/>
        </w:rPr>
      </w:pPr>
      <w:r>
        <w:rPr>
          <w:b/>
        </w:rPr>
        <w:t>Additive/Variant Analysis:</w:t>
      </w:r>
      <w:r w:rsidR="00D21742">
        <w:rPr>
          <w:b/>
        </w:rPr>
        <w:t xml:space="preserve"> </w:t>
      </w:r>
      <w:r w:rsidR="00D21742">
        <w:rPr>
          <w:bCs/>
        </w:rPr>
        <w:t>Th</w:t>
      </w:r>
      <w:r w:rsidR="00D67D15">
        <w:rPr>
          <w:bCs/>
        </w:rPr>
        <w:t xml:space="preserve">e use of histograms in determining the normal distribution assumptions </w:t>
      </w:r>
      <w:r w:rsidR="008145E6">
        <w:rPr>
          <w:bCs/>
        </w:rPr>
        <w:t xml:space="preserve">is additive to my understanding of examining the </w:t>
      </w:r>
      <w:r w:rsidR="00D0015A">
        <w:rPr>
          <w:bCs/>
        </w:rPr>
        <w:t>normal distribution of data.</w:t>
      </w:r>
    </w:p>
    <w:p w14:paraId="00000041" w14:textId="77777777" w:rsidR="00520992" w:rsidRDefault="00520992">
      <w:pPr>
        <w:spacing w:line="480" w:lineRule="auto"/>
        <w:ind w:left="1440"/>
      </w:pPr>
    </w:p>
    <w:p w14:paraId="56FF8235" w14:textId="20E17133" w:rsidR="005F2D8B" w:rsidRPr="006C10F2" w:rsidRDefault="00000000" w:rsidP="006C10F2">
      <w:pPr>
        <w:spacing w:line="480" w:lineRule="auto"/>
        <w:ind w:left="1440"/>
        <w:rPr>
          <w:bCs/>
        </w:rPr>
      </w:pPr>
      <w:r>
        <w:rPr>
          <w:b/>
        </w:rPr>
        <w:t>Contextualization:</w:t>
      </w:r>
      <w:r w:rsidR="00D21742">
        <w:rPr>
          <w:b/>
        </w:rPr>
        <w:t xml:space="preserve"> </w:t>
      </w:r>
      <w:r w:rsidR="009017CE">
        <w:rPr>
          <w:b/>
        </w:rPr>
        <w:t xml:space="preserve"> </w:t>
      </w:r>
      <w:r w:rsidR="00D0015A">
        <w:rPr>
          <w:bCs/>
        </w:rPr>
        <w:t>Using histograms to examine the distributions of the data is a common way researchers identify if the data follows an approximately normal distribution.</w:t>
      </w:r>
      <w:r w:rsidR="00F82EA0">
        <w:rPr>
          <w:bCs/>
        </w:rPr>
        <w:t xml:space="preserve"> Histograms are a visual tool that data within bins along the x-axis and the quantity within the bins on the y-axis</w:t>
      </w:r>
      <w:r w:rsidR="008145E6">
        <w:rPr>
          <w:bCs/>
        </w:rPr>
        <w:t>, as well as a curve,</w:t>
      </w:r>
      <w:r w:rsidR="00F82EA0">
        <w:rPr>
          <w:bCs/>
        </w:rPr>
        <w:t xml:space="preserve"> </w:t>
      </w:r>
      <w:r w:rsidR="008145E6">
        <w:rPr>
          <w:bCs/>
        </w:rPr>
        <w:t>maybe</w:t>
      </w:r>
      <w:r w:rsidR="00F82EA0">
        <w:rPr>
          <w:bCs/>
        </w:rPr>
        <w:t xml:space="preserve"> overlayed to display a bell curve.  Many statistics are based on the normal distribution</w:t>
      </w:r>
      <w:r w:rsidR="008145E6">
        <w:rPr>
          <w:bCs/>
        </w:rPr>
        <w:t xml:space="preserve">. Thus, it is important to see if the data meets the normal distribution assumption so one can know if they can perform parametric statistical tests and operations. Histograms are a </w:t>
      </w:r>
      <w:r w:rsidR="00BF2B61">
        <w:rPr>
          <w:bCs/>
        </w:rPr>
        <w:t>standard</w:t>
      </w:r>
      <w:r w:rsidR="008145E6">
        <w:rPr>
          <w:bCs/>
        </w:rPr>
        <w:t xml:space="preserve"> graphical tool to see if the data is normally </w:t>
      </w:r>
      <w:r w:rsidR="00BF2B61">
        <w:rPr>
          <w:bCs/>
        </w:rPr>
        <w:t>distributed</w:t>
      </w:r>
      <w:r w:rsidR="008145E6">
        <w:rPr>
          <w:bCs/>
        </w:rPr>
        <w:t>.</w:t>
      </w:r>
    </w:p>
    <w:p w14:paraId="09ECEA01" w14:textId="77777777" w:rsidR="00883A3C" w:rsidRDefault="00883A3C">
      <w:pPr>
        <w:spacing w:line="480" w:lineRule="auto"/>
        <w:ind w:left="1440"/>
      </w:pPr>
    </w:p>
    <w:p w14:paraId="00000043" w14:textId="77777777" w:rsidR="00520992" w:rsidRDefault="00000000">
      <w:pPr>
        <w:spacing w:line="480" w:lineRule="auto"/>
        <w:ind w:left="720"/>
      </w:pPr>
      <w:r>
        <w:rPr>
          <w:b/>
        </w:rPr>
        <w:t>Comment 4:</w:t>
      </w:r>
    </w:p>
    <w:p w14:paraId="00000044" w14:textId="6A0C633B" w:rsidR="00520992" w:rsidRPr="009210F3" w:rsidRDefault="00000000">
      <w:pPr>
        <w:spacing w:line="480" w:lineRule="auto"/>
        <w:ind w:left="1440"/>
        <w:rPr>
          <w:bCs/>
        </w:rPr>
      </w:pPr>
      <w:r>
        <w:rPr>
          <w:b/>
        </w:rPr>
        <w:lastRenderedPageBreak/>
        <w:t>Quote/Paraphrase</w:t>
      </w:r>
      <w:r w:rsidR="00950B88">
        <w:rPr>
          <w:b/>
        </w:rPr>
        <w:t>:</w:t>
      </w:r>
      <w:r w:rsidR="009210F3">
        <w:rPr>
          <w:b/>
        </w:rPr>
        <w:t xml:space="preserve"> </w:t>
      </w:r>
      <w:r w:rsidR="009210F3">
        <w:rPr>
          <w:bCs/>
        </w:rPr>
        <w:t>“</w:t>
      </w:r>
      <w:r w:rsidR="00EB60F9" w:rsidRPr="006E2E54">
        <w:rPr>
          <w:bCs/>
        </w:rPr>
        <w:t xml:space="preserve">Differences between MSFWs and office workers at pre-harvest were assessed using a t-test for continuous variables and </w:t>
      </w:r>
      <w:r w:rsidR="008145E6">
        <w:rPr>
          <w:bCs/>
        </w:rPr>
        <w:t>a chi-square</w:t>
      </w:r>
      <w:r w:rsidR="00EB60F9" w:rsidRPr="006E2E54">
        <w:rPr>
          <w:bCs/>
        </w:rPr>
        <w:t xml:space="preserve"> test for categorical variables.</w:t>
      </w:r>
      <w:r w:rsidR="00EB60F9">
        <w:rPr>
          <w:bCs/>
        </w:rPr>
        <w:t xml:space="preserve">” </w:t>
      </w:r>
      <w:r w:rsidR="00EB60F9">
        <w:rPr>
          <w:bCs/>
        </w:rPr>
        <w:fldChar w:fldCharType="begin"/>
      </w:r>
      <w:r w:rsidR="00EB60F9">
        <w:rPr>
          <w:bCs/>
        </w:rPr>
        <w:instrText xml:space="preserve"> ADDIN ZOTERO_ITEM CSL_CITATION {"citationID":"JNOj2LNt","properties":{"formattedCitation":"(Curl et al., 2020)","plainCitation":"(Curl et al., 2020)","dontUpdate":true,"noteIndex":0},"citationItems":[{"id":"S51N5ARd/4seQ8ssI","uris":["http://zotero.org/users/local/Prr5sh2G/items/G8F2APKM"],"itemData":{"id":485,"type":"article-journal","abstract":"The aim of this study was to identify social, cultural and workplace-related risk factors affecting well-being among Latina farmworkers in rural Idaho. We recruited 70 Latina farmworkers from southwestern Idaho in 2019. We employed an inter-disciplinary, mixed-methods approach—including surveys, focus groups, interviews, and pesticide biomonitoring—to characterize multiple domains that inﬂuence well-being, including food security and access, housing conditions, social supports, access to medical care, and workplace safety. Six major themes emerged as primary challenges to Latina farmworkers’ well-being. In the public sphere, study participants identiﬁed these challenges as long working hours, concerns regarding pesticide exposure, and lack of enforcement of regulatory protections. Participants’ concerns regarding pesticide exposure were underscored by biological sampling results; multiple biomarkers of pesticide exposure were detected in all samples, with the highest concentrations measured in samples collected from women who reported mixing, loading or applying pesticides. Within the private sphere, food security and provisioning, childcare responsibilities, and social isolation were identiﬁed as signiﬁcant challenges to well-being. Gender, ethnicity, and geography emerged as important, intersecting statuses that shaped the life experiences of these agricultural workers. Our ﬁndings suggest that gender may play a particularly critical role in the unique challenges facing Latina farmworkers. As a result, the services and regulations needed to support well-being in this population may be highly speciﬁc, and almost certainly include attention to work–family dynamics, pesticide exposure, and social connections.","container-title":"International Journal of Environmental Research and Public Health","DOI":"10.3390/ijerph18010169","ISSN":"1660-4601","issue":"1","journalAbbreviation":"IJERPH","language":"en","license":"https://creativecommons.org/licenses/by/4.0/","page":"169","source":"DOI.org (Crossref)","title":"Understanding Challenges to Well-Being among Latina FarmWorkers in Rural Idaho Using in an Interdisciplinary, Mixed-Methods Approach","volume":"18","author":[{"family":"Curl","given":"Cynthia L."},{"family":"Meierotto","given":"Lisa"},{"family":"Som Castellano","given":"Rebecca L."}],"issued":{"date-parts":[["2020",12,29]]}}}],"schema":"https://github.com/citation-style-language/schema/raw/master/csl-citation.json"} </w:instrText>
      </w:r>
      <w:r w:rsidR="00EB60F9">
        <w:rPr>
          <w:bCs/>
        </w:rPr>
        <w:fldChar w:fldCharType="separate"/>
      </w:r>
      <w:r w:rsidR="00EB60F9" w:rsidRPr="00E8396E">
        <w:t>(</w:t>
      </w:r>
      <w:r w:rsidR="00EB60F9" w:rsidRPr="006E2E54">
        <w:t>López-Gálvez</w:t>
      </w:r>
      <w:r w:rsidR="00EB60F9" w:rsidRPr="00E8396E">
        <w:t xml:space="preserve"> et al., 202</w:t>
      </w:r>
      <w:r w:rsidR="00EB60F9">
        <w:t>1, p.4</w:t>
      </w:r>
      <w:r w:rsidR="00EB60F9" w:rsidRPr="00E8396E">
        <w:t>)</w:t>
      </w:r>
      <w:r w:rsidR="00EB60F9">
        <w:rPr>
          <w:bCs/>
        </w:rPr>
        <w:fldChar w:fldCharType="end"/>
      </w:r>
    </w:p>
    <w:p w14:paraId="00000045" w14:textId="77777777" w:rsidR="00520992" w:rsidRDefault="00520992">
      <w:pPr>
        <w:spacing w:line="480" w:lineRule="auto"/>
        <w:ind w:left="1440"/>
      </w:pPr>
    </w:p>
    <w:p w14:paraId="00000046" w14:textId="095D2B2A" w:rsidR="00520992" w:rsidRDefault="00000000">
      <w:pPr>
        <w:spacing w:line="480" w:lineRule="auto"/>
        <w:ind w:left="1440"/>
        <w:rPr>
          <w:b/>
        </w:rPr>
      </w:pPr>
      <w:bookmarkStart w:id="8" w:name="_Hlk171700661"/>
      <w:r>
        <w:rPr>
          <w:b/>
        </w:rPr>
        <w:t>Essential Element:</w:t>
      </w:r>
      <w:r w:rsidR="001452D1">
        <w:rPr>
          <w:b/>
        </w:rPr>
        <w:t xml:space="preserve"> </w:t>
      </w:r>
      <w:r w:rsidR="00F82EA0" w:rsidRPr="00F82EA0">
        <w:rPr>
          <w:bCs/>
        </w:rPr>
        <w:t>T-test and Pearson’s r</w:t>
      </w:r>
    </w:p>
    <w:p w14:paraId="00000047" w14:textId="77777777" w:rsidR="00520992" w:rsidRDefault="00520992">
      <w:pPr>
        <w:spacing w:line="480" w:lineRule="auto"/>
        <w:ind w:left="1440"/>
        <w:rPr>
          <w:b/>
        </w:rPr>
      </w:pPr>
    </w:p>
    <w:p w14:paraId="00000048" w14:textId="00A3CE58" w:rsidR="00520992" w:rsidRPr="0010468B" w:rsidRDefault="00000000">
      <w:pPr>
        <w:spacing w:line="480" w:lineRule="auto"/>
        <w:ind w:left="1440"/>
        <w:rPr>
          <w:bCs/>
        </w:rPr>
      </w:pPr>
      <w:r>
        <w:rPr>
          <w:b/>
        </w:rPr>
        <w:t>Additive/Variant Analysis:</w:t>
      </w:r>
      <w:r w:rsidR="0010468B">
        <w:rPr>
          <w:b/>
        </w:rPr>
        <w:t xml:space="preserve"> </w:t>
      </w:r>
      <w:r w:rsidR="0010468B">
        <w:rPr>
          <w:bCs/>
        </w:rPr>
        <w:t xml:space="preserve">This is additive </w:t>
      </w:r>
      <w:r w:rsidR="00F82EA0">
        <w:rPr>
          <w:bCs/>
        </w:rPr>
        <w:t xml:space="preserve">to my understanding of the use of t-test to </w:t>
      </w:r>
      <w:r w:rsidR="008145E6">
        <w:rPr>
          <w:bCs/>
        </w:rPr>
        <w:t>examine if there is a statistically significant</w:t>
      </w:r>
      <w:r w:rsidR="00F82EA0">
        <w:rPr>
          <w:bCs/>
        </w:rPr>
        <w:t xml:space="preserve"> difference in the means of two data sets</w:t>
      </w:r>
      <w:r w:rsidR="00D27D16">
        <w:rPr>
          <w:bCs/>
        </w:rPr>
        <w:t>.</w:t>
      </w:r>
    </w:p>
    <w:p w14:paraId="00000049" w14:textId="77777777" w:rsidR="00520992" w:rsidRDefault="00520992">
      <w:pPr>
        <w:spacing w:line="480" w:lineRule="auto"/>
        <w:ind w:left="1440"/>
      </w:pPr>
    </w:p>
    <w:p w14:paraId="0000004A" w14:textId="54ACA369" w:rsidR="00520992" w:rsidRDefault="00000000">
      <w:pPr>
        <w:spacing w:line="480" w:lineRule="auto"/>
        <w:ind w:left="1440"/>
        <w:rPr>
          <w:bCs/>
        </w:rPr>
      </w:pPr>
      <w:r>
        <w:rPr>
          <w:b/>
        </w:rPr>
        <w:t>Contextualization:</w:t>
      </w:r>
      <w:r w:rsidR="00F321AB">
        <w:rPr>
          <w:b/>
        </w:rPr>
        <w:t xml:space="preserve"> </w:t>
      </w:r>
      <w:r w:rsidR="00D27D16">
        <w:rPr>
          <w:bCs/>
        </w:rPr>
        <w:t xml:space="preserve"> The t-tests </w:t>
      </w:r>
      <w:r w:rsidR="000E34BB">
        <w:rPr>
          <w:bCs/>
        </w:rPr>
        <w:t xml:space="preserve">are a parametric statistic used </w:t>
      </w:r>
      <w:r w:rsidR="00E92298">
        <w:rPr>
          <w:bCs/>
        </w:rPr>
        <w:t xml:space="preserve">for continuous variables </w:t>
      </w:r>
      <w:r w:rsidR="000E34BB">
        <w:rPr>
          <w:bCs/>
        </w:rPr>
        <w:t>when the data is normally distributed to examine if there is a statistically significant difference between two</w:t>
      </w:r>
      <w:r w:rsidR="003C2913">
        <w:rPr>
          <w:bCs/>
        </w:rPr>
        <w:t xml:space="preserve"> </w:t>
      </w:r>
      <w:r w:rsidR="008145E6">
        <w:rPr>
          <w:bCs/>
        </w:rPr>
        <w:t xml:space="preserve">the </w:t>
      </w:r>
      <w:r w:rsidR="003C2913">
        <w:rPr>
          <w:bCs/>
        </w:rPr>
        <w:t>means of two</w:t>
      </w:r>
      <w:r w:rsidR="000E34BB">
        <w:rPr>
          <w:bCs/>
        </w:rPr>
        <w:t xml:space="preserve"> groups. </w:t>
      </w:r>
      <w:r w:rsidR="003C2913">
        <w:rPr>
          <w:bCs/>
        </w:rPr>
        <w:t xml:space="preserve"> The researchers</w:t>
      </w:r>
      <w:r w:rsidR="00E92298">
        <w:rPr>
          <w:bCs/>
        </w:rPr>
        <w:t xml:space="preserve"> </w:t>
      </w:r>
      <w:proofErr w:type="gramStart"/>
      <w:r w:rsidR="00E92298">
        <w:rPr>
          <w:bCs/>
        </w:rPr>
        <w:t>used to test</w:t>
      </w:r>
      <w:proofErr w:type="gramEnd"/>
      <w:r w:rsidR="00E92298">
        <w:rPr>
          <w:bCs/>
        </w:rPr>
        <w:t xml:space="preserve"> the diffidence between migrant/seasonal </w:t>
      </w:r>
      <w:r w:rsidR="004322CC">
        <w:rPr>
          <w:bCs/>
        </w:rPr>
        <w:t>farm workers</w:t>
      </w:r>
      <w:r w:rsidR="00E92298">
        <w:rPr>
          <w:bCs/>
        </w:rPr>
        <w:t xml:space="preserve"> and office staff</w:t>
      </w:r>
      <w:r w:rsidR="004322CC">
        <w:rPr>
          <w:bCs/>
        </w:rPr>
        <w:t xml:space="preserve"> workers. </w:t>
      </w:r>
      <w:r w:rsidR="008145E6">
        <w:rPr>
          <w:bCs/>
        </w:rPr>
        <w:t xml:space="preserve"> For a researcher to examine the differences between two groups within the same sample</w:t>
      </w:r>
      <w:r w:rsidR="00B10EB3">
        <w:rPr>
          <w:bCs/>
        </w:rPr>
        <w:t>,</w:t>
      </w:r>
      <w:r w:rsidR="008145E6">
        <w:rPr>
          <w:bCs/>
        </w:rPr>
        <w:t xml:space="preserve"> the t-test is commonly used to test the hypothesis of differences. A t-test could be used to test if there is a difference between the seasonal and migrant farmworkers' rate of heat-related illnesses and the rate of heat-related illnesses of non-seasonal and migrant farmworkers.</w:t>
      </w:r>
    </w:p>
    <w:bookmarkEnd w:id="8"/>
    <w:p w14:paraId="7F452658" w14:textId="77777777" w:rsidR="00E8396E" w:rsidRPr="00F321AB" w:rsidRDefault="00E8396E">
      <w:pPr>
        <w:spacing w:line="480" w:lineRule="auto"/>
        <w:ind w:left="1440"/>
        <w:rPr>
          <w:bCs/>
        </w:rPr>
      </w:pPr>
    </w:p>
    <w:p w14:paraId="4A5FAC88" w14:textId="4AFB2551" w:rsidR="00EB60F9" w:rsidRPr="00EB60F9" w:rsidRDefault="00EB60F9" w:rsidP="00EB60F9">
      <w:pPr>
        <w:spacing w:line="480" w:lineRule="auto"/>
        <w:ind w:hanging="480"/>
      </w:pPr>
      <w:r>
        <w:rPr>
          <w:b/>
        </w:rPr>
        <w:t xml:space="preserve">Source Four: </w:t>
      </w:r>
      <w:r w:rsidRPr="00EB60F9">
        <w:t xml:space="preserve">Curl, C. L., Meierotto, L., Castellano, R. L. S., Spivak, M. R., &amp; Kannan, K. (2021). Measurement of </w:t>
      </w:r>
      <w:r w:rsidR="00FC4CE6">
        <w:t>U</w:t>
      </w:r>
      <w:r w:rsidRPr="00EB60F9">
        <w:t xml:space="preserve">rinary </w:t>
      </w:r>
      <w:r w:rsidR="00FC4CE6">
        <w:t>P</w:t>
      </w:r>
      <w:r w:rsidRPr="00EB60F9">
        <w:t xml:space="preserve">esticide </w:t>
      </w:r>
      <w:r w:rsidR="00FC4CE6">
        <w:t>B</w:t>
      </w:r>
      <w:r w:rsidRPr="00EB60F9">
        <w:t xml:space="preserve">iomarkers </w:t>
      </w:r>
      <w:r w:rsidR="00FC4CE6">
        <w:t>A</w:t>
      </w:r>
      <w:r w:rsidRPr="00EB60F9">
        <w:t xml:space="preserve">mong Latina </w:t>
      </w:r>
      <w:r w:rsidR="00FC4CE6">
        <w:t>F</w:t>
      </w:r>
      <w:r w:rsidRPr="00EB60F9">
        <w:t xml:space="preserve">armworkers in </w:t>
      </w:r>
      <w:r w:rsidR="00FC4CE6">
        <w:t>S</w:t>
      </w:r>
      <w:r w:rsidRPr="00EB60F9">
        <w:t xml:space="preserve">outhwestern </w:t>
      </w:r>
      <w:r w:rsidRPr="00EB60F9">
        <w:lastRenderedPageBreak/>
        <w:t xml:space="preserve">Idaho. </w:t>
      </w:r>
      <w:r w:rsidRPr="00EB60F9">
        <w:rPr>
          <w:i/>
          <w:iCs/>
        </w:rPr>
        <w:t>Journal of Exposure Science &amp; Environmental Epidemiology</w:t>
      </w:r>
      <w:r w:rsidRPr="00EB60F9">
        <w:t xml:space="preserve">, </w:t>
      </w:r>
      <w:r w:rsidRPr="00EB60F9">
        <w:rPr>
          <w:i/>
          <w:iCs/>
        </w:rPr>
        <w:t>31</w:t>
      </w:r>
      <w:r w:rsidRPr="00EB60F9">
        <w:t xml:space="preserve">(3), 538–548. </w:t>
      </w:r>
      <w:hyperlink r:id="rId11" w:history="1">
        <w:r w:rsidRPr="00EB60F9">
          <w:rPr>
            <w:color w:val="0000FF"/>
            <w:u w:val="single"/>
          </w:rPr>
          <w:t>https://doi.org/10.1038/s41370-020-00285-2</w:t>
        </w:r>
      </w:hyperlink>
    </w:p>
    <w:p w14:paraId="03AA3C42" w14:textId="77777777" w:rsidR="00EB60F9" w:rsidRDefault="00EB60F9" w:rsidP="00FC4CE6">
      <w:pPr>
        <w:spacing w:line="480" w:lineRule="auto"/>
        <w:rPr>
          <w:b/>
        </w:rPr>
      </w:pPr>
    </w:p>
    <w:p w14:paraId="27BD9C39" w14:textId="1FCEE986" w:rsidR="00E8396E" w:rsidRDefault="00E8396E" w:rsidP="00E8396E">
      <w:pPr>
        <w:spacing w:line="480" w:lineRule="auto"/>
        <w:ind w:left="720"/>
      </w:pPr>
      <w:r>
        <w:rPr>
          <w:b/>
        </w:rPr>
        <w:t xml:space="preserve">Comment </w:t>
      </w:r>
      <w:r w:rsidR="00EB60F9">
        <w:rPr>
          <w:b/>
        </w:rPr>
        <w:t>5</w:t>
      </w:r>
      <w:r>
        <w:rPr>
          <w:b/>
        </w:rPr>
        <w:t>:</w:t>
      </w:r>
    </w:p>
    <w:p w14:paraId="2E636C1A" w14:textId="36C19A5C" w:rsidR="00E8396E" w:rsidRDefault="00E8396E" w:rsidP="00E8396E">
      <w:pPr>
        <w:spacing w:line="480" w:lineRule="auto"/>
        <w:ind w:left="720" w:firstLine="720"/>
        <w:rPr>
          <w:bCs/>
        </w:rPr>
      </w:pPr>
      <w:r>
        <w:rPr>
          <w:b/>
        </w:rPr>
        <w:t xml:space="preserve">Quote/Paraphrase: </w:t>
      </w:r>
      <w:r>
        <w:rPr>
          <w:bCs/>
        </w:rPr>
        <w:t>“</w:t>
      </w:r>
      <w:r w:rsidR="00EB60F9" w:rsidRPr="00EB60F9">
        <w:rPr>
          <w:bCs/>
        </w:rPr>
        <w:t xml:space="preserve">The data were not normally distributed, and we therefore employed the nonparametric Mann–Whitney U test to compare pesticide exposure between samples collected during the </w:t>
      </w:r>
      <w:proofErr w:type="spellStart"/>
      <w:r w:rsidR="00EB60F9" w:rsidRPr="00EB60F9">
        <w:rPr>
          <w:bCs/>
        </w:rPr>
        <w:t>nonspray</w:t>
      </w:r>
      <w:proofErr w:type="spellEnd"/>
      <w:r w:rsidR="00EB60F9" w:rsidRPr="00EB60F9">
        <w:rPr>
          <w:bCs/>
        </w:rPr>
        <w:t xml:space="preserve"> season and the spray season.</w:t>
      </w:r>
      <w:r w:rsidR="00EB60F9">
        <w:rPr>
          <w:bCs/>
        </w:rPr>
        <w:t xml:space="preserve"> </w:t>
      </w:r>
      <w:r w:rsidR="000329A5">
        <w:rPr>
          <w:bCs/>
        </w:rPr>
        <w:fldChar w:fldCharType="begin"/>
      </w:r>
      <w:r w:rsidR="007B09CE">
        <w:rPr>
          <w:bCs/>
        </w:rPr>
        <w:instrText xml:space="preserve"> ADDIN ZOTERO_ITEM CSL_CITATION {"citationID":"zgTIKjNG","properties":{"formattedCitation":"(Hyland et al., 2024)","plainCitation":"(Hyland et al., 2024)","dontUpdate":true,"noteIndex":0},"citationItems":[{"id":"S51N5ARd/D1zSeMnU","uris":["http://zotero.org/users/local/Prr5sh2G/items/CCDEMIL5"],"itemData":{"id":487,"type":"article-journal","abstract":"Introduction: Farmworkers are one of the populations most vulnerable to climate change. In addition to disproportionate exposure to climate-intensiﬁed hazards such as extreme heat and wildﬁre smoke, many farmworkers face situational and psychosocial stressors that also impact their health.","container-title":"The Journal of Climate Change and Health","DOI":"10.1016/j.joclim.2024.100300","ISSN":"26672782","journalAbbreviation":"The Journal of Climate Change and Health","language":"en","page":"100300","source":"DOI.org (Crossref)","title":"“No matter how hot it is, you just have to do the work”: Examining farmworkers’ experiences with heat and climate change in Idaho","title-short":"“No matter how hot it is, you just have to do the work”","volume":"16","author":[{"family":"Hyland","given":"Carly"},{"family":"Flores","given":"Delmy"},{"family":"Augusto","given":"Grace"},{"family":"Ruiz","given":"Irene"},{"family":"Vega","given":"Marielena"},{"family":"Wood","given":"Rulon"}],"issued":{"date-parts":[["2024",3]]}}}],"schema":"https://github.com/citation-style-language/schema/raw/master/csl-citation.json"} </w:instrText>
      </w:r>
      <w:r w:rsidR="000329A5">
        <w:rPr>
          <w:bCs/>
        </w:rPr>
        <w:fldChar w:fldCharType="separate"/>
      </w:r>
      <w:r w:rsidR="000329A5" w:rsidRPr="000329A5">
        <w:t>(</w:t>
      </w:r>
      <w:r w:rsidR="00EB60F9">
        <w:t>Curl</w:t>
      </w:r>
      <w:r w:rsidR="000329A5" w:rsidRPr="000329A5">
        <w:t xml:space="preserve"> et al., 202</w:t>
      </w:r>
      <w:r w:rsidR="00EB60F9">
        <w:t>1</w:t>
      </w:r>
      <w:r w:rsidR="000329A5">
        <w:t xml:space="preserve">, p. </w:t>
      </w:r>
      <w:r w:rsidR="00EB60F9">
        <w:t>541</w:t>
      </w:r>
      <w:r w:rsidR="000329A5" w:rsidRPr="000329A5">
        <w:t>)</w:t>
      </w:r>
      <w:r w:rsidR="000329A5">
        <w:rPr>
          <w:bCs/>
        </w:rPr>
        <w:fldChar w:fldCharType="end"/>
      </w:r>
    </w:p>
    <w:p w14:paraId="4998D5CD" w14:textId="77777777" w:rsidR="0084609D" w:rsidRDefault="0084609D" w:rsidP="00E8396E">
      <w:pPr>
        <w:spacing w:line="480" w:lineRule="auto"/>
        <w:ind w:left="720" w:firstLine="720"/>
        <w:rPr>
          <w:color w:val="0000FF"/>
          <w:u w:val="single"/>
        </w:rPr>
      </w:pPr>
    </w:p>
    <w:p w14:paraId="25119AE7" w14:textId="7B83165E" w:rsidR="00E8396E" w:rsidRDefault="00E8396E" w:rsidP="00E8396E">
      <w:pPr>
        <w:spacing w:line="480" w:lineRule="auto"/>
        <w:ind w:left="1440"/>
        <w:rPr>
          <w:b/>
        </w:rPr>
      </w:pPr>
      <w:r>
        <w:rPr>
          <w:b/>
        </w:rPr>
        <w:t xml:space="preserve">Essential Element: </w:t>
      </w:r>
      <w:r w:rsidR="00533E05" w:rsidRPr="00533E05">
        <w:rPr>
          <w:bCs/>
        </w:rPr>
        <w:t>Nonparametric Statistics</w:t>
      </w:r>
    </w:p>
    <w:p w14:paraId="2F705A40" w14:textId="77777777" w:rsidR="00E8396E" w:rsidRDefault="00E8396E" w:rsidP="00E8396E">
      <w:pPr>
        <w:spacing w:line="480" w:lineRule="auto"/>
        <w:ind w:left="1440"/>
        <w:rPr>
          <w:b/>
        </w:rPr>
      </w:pPr>
    </w:p>
    <w:p w14:paraId="044303EC" w14:textId="763218AD" w:rsidR="00E8396E" w:rsidRPr="0010468B" w:rsidRDefault="00E8396E" w:rsidP="00E8396E">
      <w:pPr>
        <w:spacing w:line="480" w:lineRule="auto"/>
        <w:ind w:left="1440"/>
        <w:rPr>
          <w:bCs/>
        </w:rPr>
      </w:pPr>
      <w:r>
        <w:rPr>
          <w:b/>
        </w:rPr>
        <w:t xml:space="preserve">Additive/Variant Analysis: </w:t>
      </w:r>
      <w:r>
        <w:rPr>
          <w:bCs/>
        </w:rPr>
        <w:t>Th</w:t>
      </w:r>
      <w:r w:rsidR="00533E05">
        <w:rPr>
          <w:bCs/>
        </w:rPr>
        <w:t xml:space="preserve">e use of Mann-Whitney U test for nonparametric </w:t>
      </w:r>
      <w:r w:rsidR="00F70364">
        <w:rPr>
          <w:bCs/>
        </w:rPr>
        <w:t xml:space="preserve">data </w:t>
      </w:r>
      <w:proofErr w:type="gramStart"/>
      <w:r w:rsidR="00F70364">
        <w:rPr>
          <w:bCs/>
        </w:rPr>
        <w:t>in order to</w:t>
      </w:r>
      <w:proofErr w:type="gramEnd"/>
      <w:r w:rsidR="00F70364">
        <w:rPr>
          <w:bCs/>
        </w:rPr>
        <w:t xml:space="preserve"> see if there is a significant difference between means of groups is additive to my understanding.</w:t>
      </w:r>
    </w:p>
    <w:p w14:paraId="19FA30D4" w14:textId="77777777" w:rsidR="00E8396E" w:rsidRDefault="00E8396E" w:rsidP="00E8396E">
      <w:pPr>
        <w:spacing w:line="480" w:lineRule="auto"/>
        <w:ind w:left="1440"/>
      </w:pPr>
    </w:p>
    <w:p w14:paraId="0000004B" w14:textId="579B9BE6" w:rsidR="00520992" w:rsidRDefault="00E8396E" w:rsidP="003474C2">
      <w:pPr>
        <w:spacing w:line="480" w:lineRule="auto"/>
        <w:ind w:left="1440"/>
        <w:rPr>
          <w:bCs/>
        </w:rPr>
      </w:pPr>
      <w:r>
        <w:rPr>
          <w:b/>
        </w:rPr>
        <w:t xml:space="preserve">Contextualization: </w:t>
      </w:r>
      <w:r w:rsidR="00CB15AC">
        <w:rPr>
          <w:bCs/>
        </w:rPr>
        <w:t xml:space="preserve">The above quote </w:t>
      </w:r>
      <w:r w:rsidR="00A65C40">
        <w:rPr>
          <w:bCs/>
        </w:rPr>
        <w:t>identifies from normality tests that the data was not normally distributed</w:t>
      </w:r>
      <w:r w:rsidR="00FC4CE6">
        <w:rPr>
          <w:bCs/>
        </w:rPr>
        <w:t xml:space="preserve">. </w:t>
      </w:r>
      <w:r w:rsidR="00783458">
        <w:rPr>
          <w:bCs/>
        </w:rPr>
        <w:t>Thus,</w:t>
      </w:r>
      <w:r w:rsidR="00FC4CE6">
        <w:rPr>
          <w:bCs/>
        </w:rPr>
        <w:t xml:space="preserve"> the researchers used the nonparametric alternative test to the independent sample t-test to test the mean difference between two groups, the non-spray season and the spray season; they</w:t>
      </w:r>
      <w:r w:rsidR="00A65C40">
        <w:rPr>
          <w:bCs/>
        </w:rPr>
        <w:t xml:space="preserve"> used the Mann-Whitney U test</w:t>
      </w:r>
      <w:r w:rsidR="00FC4CE6">
        <w:rPr>
          <w:bCs/>
        </w:rPr>
        <w:t xml:space="preserve"> which is </w:t>
      </w:r>
      <w:proofErr w:type="gramStart"/>
      <w:r w:rsidR="00FC4CE6">
        <w:rPr>
          <w:bCs/>
        </w:rPr>
        <w:t>similar to</w:t>
      </w:r>
      <w:proofErr w:type="gramEnd"/>
      <w:r w:rsidR="00FC4CE6">
        <w:rPr>
          <w:bCs/>
        </w:rPr>
        <w:t xml:space="preserve"> the t-test of parametric data, it measures the difference between the means of two groups within the same sample.</w:t>
      </w:r>
    </w:p>
    <w:p w14:paraId="5D1880A3" w14:textId="77777777" w:rsidR="00A65C40" w:rsidRDefault="00A65C40" w:rsidP="003474C2">
      <w:pPr>
        <w:spacing w:line="480" w:lineRule="auto"/>
        <w:ind w:left="1440"/>
        <w:rPr>
          <w:bCs/>
        </w:rPr>
      </w:pPr>
    </w:p>
    <w:p w14:paraId="5E023391" w14:textId="77777777" w:rsidR="00EB60F9" w:rsidRPr="00EB60F9" w:rsidRDefault="00EB60F9" w:rsidP="00EB60F9">
      <w:pPr>
        <w:spacing w:line="480" w:lineRule="auto"/>
        <w:ind w:hanging="480"/>
      </w:pPr>
      <w:r>
        <w:rPr>
          <w:b/>
        </w:rPr>
        <w:lastRenderedPageBreak/>
        <w:t xml:space="preserve">Source Five: </w:t>
      </w:r>
      <w:r w:rsidRPr="00EB60F9">
        <w:t xml:space="preserve">Mizelle, E., Larson, K. L., Bolin, L. P., &amp; Kearney, G. D. (2022). Fluid Intake and Hydration Status Among North Carolina Farmworkers: A Mixed Methods Study. </w:t>
      </w:r>
      <w:r w:rsidRPr="00EB60F9">
        <w:rPr>
          <w:i/>
          <w:iCs/>
        </w:rPr>
        <w:t>Workplace Health &amp; Safety</w:t>
      </w:r>
      <w:r w:rsidRPr="00EB60F9">
        <w:t xml:space="preserve">, </w:t>
      </w:r>
      <w:r w:rsidRPr="00EB60F9">
        <w:rPr>
          <w:i/>
          <w:iCs/>
        </w:rPr>
        <w:t>70</w:t>
      </w:r>
      <w:r w:rsidRPr="00EB60F9">
        <w:t xml:space="preserve">(12), 532–541. </w:t>
      </w:r>
      <w:hyperlink r:id="rId12" w:history="1">
        <w:r w:rsidRPr="00EB60F9">
          <w:rPr>
            <w:color w:val="0000FF"/>
            <w:u w:val="single"/>
          </w:rPr>
          <w:t>https://doi.org/10.1177/21650799221117273</w:t>
        </w:r>
      </w:hyperlink>
    </w:p>
    <w:p w14:paraId="5925BEB5" w14:textId="77777777" w:rsidR="00BC5D3A" w:rsidRDefault="00BC5D3A" w:rsidP="00455145">
      <w:pPr>
        <w:spacing w:line="480" w:lineRule="auto"/>
        <w:rPr>
          <w:b/>
        </w:rPr>
      </w:pPr>
    </w:p>
    <w:p w14:paraId="0000004C" w14:textId="3782415A" w:rsidR="00520992" w:rsidRDefault="00000000">
      <w:pPr>
        <w:spacing w:line="480" w:lineRule="auto"/>
        <w:ind w:left="720"/>
      </w:pPr>
      <w:r>
        <w:rPr>
          <w:b/>
        </w:rPr>
        <w:t xml:space="preserve">Comment </w:t>
      </w:r>
      <w:r w:rsidR="00EB60F9">
        <w:rPr>
          <w:b/>
        </w:rPr>
        <w:t>6</w:t>
      </w:r>
      <w:r>
        <w:rPr>
          <w:b/>
        </w:rPr>
        <w:t>:</w:t>
      </w:r>
    </w:p>
    <w:p w14:paraId="0000004D" w14:textId="760FFE8E" w:rsidR="00520992" w:rsidRPr="00964044" w:rsidRDefault="00000000">
      <w:pPr>
        <w:spacing w:line="480" w:lineRule="auto"/>
        <w:ind w:left="1440"/>
        <w:rPr>
          <w:bCs/>
        </w:rPr>
      </w:pPr>
      <w:r>
        <w:rPr>
          <w:b/>
        </w:rPr>
        <w:t>Quote/Paraphrase</w:t>
      </w:r>
      <w:r w:rsidR="00950B88">
        <w:rPr>
          <w:b/>
        </w:rPr>
        <w:t>:</w:t>
      </w:r>
      <w:r w:rsidR="00964044">
        <w:rPr>
          <w:b/>
        </w:rPr>
        <w:t xml:space="preserve"> </w:t>
      </w:r>
      <w:r w:rsidR="002146AC" w:rsidRPr="00920F45">
        <w:rPr>
          <w:bCs/>
        </w:rPr>
        <w:t>“</w:t>
      </w:r>
      <w:r w:rsidR="001F4B29" w:rsidRPr="001F4B29">
        <w:rPr>
          <w:bCs/>
        </w:rPr>
        <w:t>Parametric analyses were done using SPSS v.27 (IBM Corp., 2020). Descriptive statistics were calculated. Pearson’s product correlation coefficient was used, using Cohen’s guidelines, to examine the associations between cultural and place factors, beverage intake, WBGT with the dependent variable of</w:t>
      </w:r>
      <w:bookmarkStart w:id="9" w:name="_Hlk176622847"/>
      <w:r w:rsidR="001F4B29" w:rsidRPr="001F4B29">
        <w:rPr>
          <w:bCs/>
        </w:rPr>
        <w:t xml:space="preserve"> USG</w:t>
      </w:r>
      <w:bookmarkEnd w:id="9"/>
      <w:r w:rsidR="001F4B29">
        <w:rPr>
          <w:bCs/>
        </w:rPr>
        <w:t xml:space="preserve">.” </w:t>
      </w:r>
      <w:r w:rsidR="000329A5">
        <w:rPr>
          <w:bCs/>
        </w:rPr>
        <w:fldChar w:fldCharType="begin"/>
      </w:r>
      <w:r w:rsidR="007B09CE">
        <w:rPr>
          <w:bCs/>
        </w:rPr>
        <w:instrText xml:space="preserve"> ADDIN ZOTERO_ITEM CSL_CITATION {"citationID":"RDmWwHcp","properties":{"formattedCitation":"(Hyland et al., 2024)","plainCitation":"(Hyland et al., 2024)","dontUpdate":true,"noteIndex":0},"citationItems":[{"id":"S51N5ARd/D1zSeMnU","uris":["http://zotero.org/users/local/Prr5sh2G/items/CCDEMIL5"],"itemData":{"id":487,"type":"article-journal","abstract":"Introduction: Farmworkers are one of the populations most vulnerable to climate change. In addition to disproportionate exposure to climate-intensiﬁed hazards such as extreme heat and wildﬁre smoke, many farmworkers face situational and psychosocial stressors that also impact their health.","container-title":"The Journal of Climate Change and Health","DOI":"10.1016/j.joclim.2024.100300","ISSN":"26672782","journalAbbreviation":"The Journal of Climate Change and Health","language":"en","page":"100300","source":"DOI.org (Crossref)","title":"“No matter how hot it is, you just have to do the work”: Examining farmworkers’ experiences with heat and climate change in Idaho","title-short":"“No matter how hot it is, you just have to do the work”","volume":"16","author":[{"family":"Hyland","given":"Carly"},{"family":"Flores","given":"Delmy"},{"family":"Augusto","given":"Grace"},{"family":"Ruiz","given":"Irene"},{"family":"Vega","given":"Marielena"},{"family":"Wood","given":"Rulon"}],"issued":{"date-parts":[["2024",3]]}}}],"schema":"https://github.com/citation-style-language/schema/raw/master/csl-citation.json"} </w:instrText>
      </w:r>
      <w:r w:rsidR="000329A5">
        <w:rPr>
          <w:bCs/>
        </w:rPr>
        <w:fldChar w:fldCharType="separate"/>
      </w:r>
      <w:r w:rsidR="000329A5" w:rsidRPr="000329A5">
        <w:t>(</w:t>
      </w:r>
      <w:r w:rsidR="001F4B29">
        <w:t>Mizelle</w:t>
      </w:r>
      <w:r w:rsidR="000329A5" w:rsidRPr="000329A5">
        <w:t xml:space="preserve"> et al., 202</w:t>
      </w:r>
      <w:r w:rsidR="001F4B29">
        <w:t>2</w:t>
      </w:r>
      <w:r w:rsidR="000329A5">
        <w:t xml:space="preserve">, p. </w:t>
      </w:r>
      <w:r w:rsidR="001F4B29">
        <w:t>535</w:t>
      </w:r>
      <w:r w:rsidR="000329A5" w:rsidRPr="000329A5">
        <w:t>)</w:t>
      </w:r>
      <w:r w:rsidR="000329A5">
        <w:rPr>
          <w:bCs/>
        </w:rPr>
        <w:fldChar w:fldCharType="end"/>
      </w:r>
      <w:r w:rsidR="00E759D2">
        <w:rPr>
          <w:bCs/>
        </w:rPr>
        <w:fldChar w:fldCharType="begin"/>
      </w:r>
      <w:r w:rsidR="007B09CE">
        <w:rPr>
          <w:bCs/>
        </w:rPr>
        <w:instrText xml:space="preserve"> ADDIN ZOTERO_ITEM CSL_CITATION {"citationID":"mLFyx0HQ","properties":{"formattedCitation":"(Nundy et al., 2022)","plainCitation":"(Nundy et al., 2022)","dontUpdate":true,"noteIndex":0},"citationItems":[{"id":"S51N5ARd/ZHF9o3CF","uris":["http://zotero.org/users/local/Prr5sh2G/items/B5SU57ZY"],"itemData":{"id":476,"type":"article-journal","container-title":"JAMA","DOI":"10.1001/jama.2021.25181","ISSN":"0098-7484","issue":"6","journalAbbreviation":"JAMA","language":"en","page":"521","source":"DOI.org (Crossref)","title":"The Quintuple Aim for Health Care Improvement: A New Imperative to Advance Health Equity","title-short":"The Quintuple Aim for Health Care Improvement","volume":"327","author":[{"family":"Nundy","given":"Shantanu"},{"family":"Cooper","given":"Lisa A."},{"family":"Mate","given":"Kedar S."}],"issued":{"date-parts":[["2022",2,8]]}}}],"schema":"https://github.com/citation-style-language/schema/raw/master/csl-citation.json"} </w:instrText>
      </w:r>
      <w:r>
        <w:rPr>
          <w:bCs/>
        </w:rPr>
        <w:fldChar w:fldCharType="separate"/>
      </w:r>
      <w:r w:rsidR="00E759D2">
        <w:rPr>
          <w:bCs/>
        </w:rPr>
        <w:fldChar w:fldCharType="end"/>
      </w:r>
    </w:p>
    <w:p w14:paraId="0000004E" w14:textId="77777777" w:rsidR="00520992" w:rsidRDefault="00520992">
      <w:pPr>
        <w:spacing w:line="480" w:lineRule="auto"/>
        <w:ind w:left="1440"/>
      </w:pPr>
    </w:p>
    <w:p w14:paraId="0000004F" w14:textId="59BBBF1A" w:rsidR="00520992" w:rsidRPr="001452D1" w:rsidRDefault="00000000">
      <w:pPr>
        <w:spacing w:line="480" w:lineRule="auto"/>
        <w:ind w:left="1440"/>
        <w:rPr>
          <w:bCs/>
        </w:rPr>
      </w:pPr>
      <w:r>
        <w:rPr>
          <w:b/>
        </w:rPr>
        <w:t>Essential Element:</w:t>
      </w:r>
      <w:r w:rsidR="001452D1">
        <w:rPr>
          <w:b/>
        </w:rPr>
        <w:t xml:space="preserve"> </w:t>
      </w:r>
      <w:r w:rsidR="00A65C40" w:rsidRPr="00A65C40">
        <w:rPr>
          <w:bCs/>
        </w:rPr>
        <w:t>T-test and Pearson’s r</w:t>
      </w:r>
    </w:p>
    <w:p w14:paraId="00000050" w14:textId="77777777" w:rsidR="00520992" w:rsidRDefault="00520992">
      <w:pPr>
        <w:spacing w:line="480" w:lineRule="auto"/>
        <w:ind w:left="1440"/>
        <w:rPr>
          <w:b/>
        </w:rPr>
      </w:pPr>
    </w:p>
    <w:p w14:paraId="4EB4896F" w14:textId="0AAC71A4" w:rsidR="005D20E1" w:rsidRDefault="00000000" w:rsidP="005D20E1">
      <w:pPr>
        <w:spacing w:line="480" w:lineRule="auto"/>
        <w:ind w:left="1440"/>
        <w:rPr>
          <w:bCs/>
        </w:rPr>
      </w:pPr>
      <w:r>
        <w:rPr>
          <w:b/>
        </w:rPr>
        <w:t>Additive/Variant Analysis:</w:t>
      </w:r>
      <w:r w:rsidR="00BD0BF6">
        <w:rPr>
          <w:b/>
        </w:rPr>
        <w:t xml:space="preserve"> </w:t>
      </w:r>
      <w:r w:rsidR="00A65C40">
        <w:rPr>
          <w:bCs/>
        </w:rPr>
        <w:t xml:space="preserve">The use of the parametric correlation statistic of Pearson’s r to examine the </w:t>
      </w:r>
      <w:r w:rsidR="00A64C1D">
        <w:rPr>
          <w:bCs/>
        </w:rPr>
        <w:t xml:space="preserve">strength of an </w:t>
      </w:r>
      <w:r w:rsidR="00A65C40">
        <w:rPr>
          <w:bCs/>
        </w:rPr>
        <w:t>association between two variables is additive to my understanding.</w:t>
      </w:r>
      <w:r w:rsidR="0050548C">
        <w:rPr>
          <w:bCs/>
        </w:rPr>
        <w:t xml:space="preserve"> </w:t>
      </w:r>
    </w:p>
    <w:p w14:paraId="1807C5F6" w14:textId="77777777" w:rsidR="005D20E1" w:rsidRPr="005D20E1" w:rsidRDefault="005D20E1" w:rsidP="005D20E1">
      <w:pPr>
        <w:spacing w:line="480" w:lineRule="auto"/>
        <w:ind w:left="1440"/>
        <w:rPr>
          <w:bCs/>
        </w:rPr>
      </w:pPr>
    </w:p>
    <w:p w14:paraId="4DB4828A" w14:textId="2BA1A15E" w:rsidR="0056172F" w:rsidRDefault="00000000" w:rsidP="00DE6CB6">
      <w:pPr>
        <w:spacing w:line="480" w:lineRule="auto"/>
        <w:ind w:left="1440"/>
        <w:rPr>
          <w:bCs/>
        </w:rPr>
      </w:pPr>
      <w:r>
        <w:rPr>
          <w:b/>
        </w:rPr>
        <w:t>Contextualization:</w:t>
      </w:r>
      <w:r w:rsidR="005B482E">
        <w:rPr>
          <w:b/>
        </w:rPr>
        <w:t xml:space="preserve"> </w:t>
      </w:r>
      <w:r w:rsidR="00B733B9">
        <w:rPr>
          <w:bCs/>
        </w:rPr>
        <w:t>In doing correlational studies on parametric data</w:t>
      </w:r>
      <w:r w:rsidR="00783458">
        <w:rPr>
          <w:bCs/>
        </w:rPr>
        <w:t>, one uses Pearson’s r,</w:t>
      </w:r>
      <w:r w:rsidR="00B733B9">
        <w:rPr>
          <w:bCs/>
        </w:rPr>
        <w:t xml:space="preserve"> which measures the strength of association between two variables.</w:t>
      </w:r>
      <w:r w:rsidR="0050548C">
        <w:rPr>
          <w:bCs/>
        </w:rPr>
        <w:t xml:space="preserve"> In this research they wanted to fin</w:t>
      </w:r>
      <w:r w:rsidR="00A11F80">
        <w:rPr>
          <w:bCs/>
        </w:rPr>
        <w:t>d</w:t>
      </w:r>
      <w:r w:rsidR="0050548C">
        <w:rPr>
          <w:bCs/>
        </w:rPr>
        <w:t xml:space="preserve"> if there was an association </w:t>
      </w:r>
      <w:r w:rsidR="00783458">
        <w:rPr>
          <w:bCs/>
        </w:rPr>
        <w:t>between Wet</w:t>
      </w:r>
      <w:r w:rsidR="00A11F80" w:rsidRPr="00A11F80">
        <w:rPr>
          <w:bCs/>
        </w:rPr>
        <w:t xml:space="preserve"> bulb globe temperature </w:t>
      </w:r>
      <w:r w:rsidR="00A11F80">
        <w:rPr>
          <w:bCs/>
        </w:rPr>
        <w:t>(</w:t>
      </w:r>
      <w:r w:rsidR="00A11F80" w:rsidRPr="00A11F80">
        <w:rPr>
          <w:bCs/>
        </w:rPr>
        <w:t>WBGT</w:t>
      </w:r>
      <w:r w:rsidR="00A11F80">
        <w:rPr>
          <w:bCs/>
        </w:rPr>
        <w:t>) and</w:t>
      </w:r>
      <w:r w:rsidR="00A11F80" w:rsidRPr="00A11F80">
        <w:t xml:space="preserve"> </w:t>
      </w:r>
      <w:r w:rsidR="00A11F80" w:rsidRPr="00A11F80">
        <w:rPr>
          <w:bCs/>
        </w:rPr>
        <w:t>urine specific gravity</w:t>
      </w:r>
      <w:r w:rsidR="00A11F80">
        <w:rPr>
          <w:bCs/>
        </w:rPr>
        <w:t xml:space="preserve"> (</w:t>
      </w:r>
      <w:r w:rsidR="00A11F80" w:rsidRPr="00A11F80">
        <w:rPr>
          <w:bCs/>
        </w:rPr>
        <w:t>USG</w:t>
      </w:r>
      <w:r w:rsidR="00A11F80">
        <w:rPr>
          <w:bCs/>
        </w:rPr>
        <w:t xml:space="preserve">) </w:t>
      </w:r>
      <w:r w:rsidR="0050548C">
        <w:rPr>
          <w:bCs/>
        </w:rPr>
        <w:t>and what was the strength of the association</w:t>
      </w:r>
      <w:r w:rsidR="00A11F80">
        <w:rPr>
          <w:bCs/>
        </w:rPr>
        <w:t xml:space="preserve"> between this measure intake and hydration.</w:t>
      </w:r>
      <w:r w:rsidR="00783458">
        <w:rPr>
          <w:bCs/>
        </w:rPr>
        <w:t xml:space="preserve"> Correlation studies are informative in social science and healthcare research where the </w:t>
      </w:r>
      <w:r w:rsidR="00783458">
        <w:rPr>
          <w:bCs/>
        </w:rPr>
        <w:lastRenderedPageBreak/>
        <w:t>researchers could find associations between different variables</w:t>
      </w:r>
      <w:r w:rsidR="009076F1">
        <w:rPr>
          <w:bCs/>
        </w:rPr>
        <w:t>, this is not causation research but nonetheless is important to find out what factors are associated with given outcomes.</w:t>
      </w:r>
    </w:p>
    <w:p w14:paraId="00AA869D" w14:textId="77777777" w:rsidR="0050548C" w:rsidRDefault="0050548C" w:rsidP="00DE6CB6">
      <w:pPr>
        <w:spacing w:line="480" w:lineRule="auto"/>
        <w:ind w:left="1440"/>
        <w:rPr>
          <w:bCs/>
        </w:rPr>
      </w:pPr>
    </w:p>
    <w:p w14:paraId="73F77F10" w14:textId="77777777" w:rsidR="001F4B29" w:rsidRPr="005B482E" w:rsidRDefault="001F4B29" w:rsidP="00DE6CB6">
      <w:pPr>
        <w:spacing w:line="480" w:lineRule="auto"/>
        <w:ind w:left="1440"/>
        <w:rPr>
          <w:bCs/>
        </w:rPr>
      </w:pPr>
    </w:p>
    <w:p w14:paraId="3DC599BC" w14:textId="65B5B787" w:rsidR="001F4B29" w:rsidRPr="001F4B29" w:rsidRDefault="001F4B29" w:rsidP="001F4B29">
      <w:pPr>
        <w:spacing w:line="480" w:lineRule="auto"/>
        <w:ind w:hanging="480"/>
      </w:pPr>
      <w:r>
        <w:rPr>
          <w:b/>
        </w:rPr>
        <w:t xml:space="preserve">Source Six: </w:t>
      </w:r>
      <w:r w:rsidRPr="001F4B29">
        <w:t xml:space="preserve">Lee, S., McLaughlin, R., Harnly, M., </w:t>
      </w:r>
      <w:proofErr w:type="spellStart"/>
      <w:r w:rsidRPr="001F4B29">
        <w:t>Gunier</w:t>
      </w:r>
      <w:proofErr w:type="spellEnd"/>
      <w:r w:rsidRPr="001F4B29">
        <w:t xml:space="preserve">, R., &amp; Kreutzer, R. (2002). Community </w:t>
      </w:r>
      <w:r w:rsidR="009076F1">
        <w:t>E</w:t>
      </w:r>
      <w:r w:rsidRPr="001F4B29">
        <w:t xml:space="preserve">xposures to </w:t>
      </w:r>
      <w:r w:rsidR="009076F1">
        <w:t>A</w:t>
      </w:r>
      <w:r w:rsidRPr="001F4B29">
        <w:t xml:space="preserve">irborne </w:t>
      </w:r>
      <w:r w:rsidR="009076F1">
        <w:t>A</w:t>
      </w:r>
      <w:r w:rsidRPr="001F4B29">
        <w:t xml:space="preserve">gricultural </w:t>
      </w:r>
      <w:r w:rsidR="009076F1">
        <w:t>P</w:t>
      </w:r>
      <w:r w:rsidRPr="001F4B29">
        <w:t xml:space="preserve">esticides in California: Ranking of </w:t>
      </w:r>
      <w:r w:rsidR="009076F1">
        <w:t>I</w:t>
      </w:r>
      <w:r w:rsidRPr="001F4B29">
        <w:t xml:space="preserve">nhalation </w:t>
      </w:r>
      <w:r w:rsidR="009076F1">
        <w:t>R</w:t>
      </w:r>
      <w:r w:rsidRPr="001F4B29">
        <w:t xml:space="preserve">isks. </w:t>
      </w:r>
      <w:r w:rsidRPr="001F4B29">
        <w:rPr>
          <w:i/>
          <w:iCs/>
        </w:rPr>
        <w:t>Environmental Health Perspectives</w:t>
      </w:r>
      <w:r w:rsidRPr="001F4B29">
        <w:t xml:space="preserve">, </w:t>
      </w:r>
      <w:r w:rsidRPr="001F4B29">
        <w:rPr>
          <w:i/>
          <w:iCs/>
        </w:rPr>
        <w:t>110</w:t>
      </w:r>
      <w:r w:rsidRPr="001F4B29">
        <w:t xml:space="preserve">(12), 1175–1184. </w:t>
      </w:r>
      <w:hyperlink r:id="rId13" w:history="1">
        <w:r w:rsidRPr="001F4B29">
          <w:rPr>
            <w:color w:val="0000FF"/>
            <w:u w:val="single"/>
          </w:rPr>
          <w:t>https://doi.org/10.1289/ehp.021101175</w:t>
        </w:r>
      </w:hyperlink>
    </w:p>
    <w:p w14:paraId="4C8EA3FB" w14:textId="77777777" w:rsidR="00054DBB" w:rsidRDefault="00054DBB" w:rsidP="00556234">
      <w:pPr>
        <w:spacing w:line="480" w:lineRule="auto"/>
        <w:rPr>
          <w:b/>
        </w:rPr>
      </w:pPr>
    </w:p>
    <w:p w14:paraId="1735C52E" w14:textId="6EDAE492" w:rsidR="00054DBB" w:rsidRDefault="00054DBB" w:rsidP="00054DBB">
      <w:pPr>
        <w:spacing w:line="480" w:lineRule="auto"/>
        <w:ind w:left="720"/>
      </w:pPr>
      <w:r>
        <w:rPr>
          <w:b/>
        </w:rPr>
        <w:t xml:space="preserve">Comment </w:t>
      </w:r>
      <w:r w:rsidR="001F4B29">
        <w:rPr>
          <w:b/>
        </w:rPr>
        <w:t>7</w:t>
      </w:r>
      <w:r>
        <w:rPr>
          <w:b/>
        </w:rPr>
        <w:t>:</w:t>
      </w:r>
    </w:p>
    <w:p w14:paraId="0F5DF699" w14:textId="61461B6C" w:rsidR="001768C9" w:rsidRDefault="00054DBB" w:rsidP="00FF3A65">
      <w:pPr>
        <w:spacing w:line="480" w:lineRule="auto"/>
        <w:ind w:left="1440"/>
      </w:pPr>
      <w:r>
        <w:rPr>
          <w:b/>
        </w:rPr>
        <w:t>Quote/Paraphrase</w:t>
      </w:r>
      <w:r w:rsidR="00950B88">
        <w:rPr>
          <w:b/>
        </w:rPr>
        <w:t>:</w:t>
      </w:r>
      <w:r w:rsidR="002A7191">
        <w:rPr>
          <w:b/>
        </w:rPr>
        <w:t xml:space="preserve"> </w:t>
      </w:r>
      <w:r w:rsidR="001768C9">
        <w:t>“</w:t>
      </w:r>
      <w:r w:rsidR="001F4B29" w:rsidRPr="001F4B29">
        <w:t>We evaluated several predictors of the chronic inhalation risks estimated in this report, using Spearman rank correlation coefficients. The California ranking for potential pesticide toxic air contaminants (Table 1) was not significantly correlated with the child chronic risk ranking (r = 0.22, p = 0.43</w:t>
      </w:r>
      <w:proofErr w:type="gramStart"/>
      <w:r w:rsidR="001F4B29" w:rsidRPr="001F4B29">
        <w:t>).</w:t>
      </w:r>
      <w:r w:rsidR="001768C9" w:rsidRPr="001768C9">
        <w:t>.</w:t>
      </w:r>
      <w:proofErr w:type="gramEnd"/>
      <w:r w:rsidR="001768C9">
        <w:t>”</w:t>
      </w:r>
      <w:r w:rsidR="001768C9" w:rsidRPr="001768C9">
        <w:t xml:space="preserve"> (</w:t>
      </w:r>
      <w:r w:rsidR="001F4B29">
        <w:t>Lee</w:t>
      </w:r>
      <w:r w:rsidR="001768C9" w:rsidRPr="001768C9">
        <w:t xml:space="preserve"> et al., 20</w:t>
      </w:r>
      <w:r w:rsidR="00DF578A">
        <w:t>02</w:t>
      </w:r>
      <w:r w:rsidR="001768C9" w:rsidRPr="001768C9">
        <w:t xml:space="preserve">, p. </w:t>
      </w:r>
      <w:r w:rsidR="00DF578A">
        <w:t>1180</w:t>
      </w:r>
      <w:r w:rsidR="001768C9" w:rsidRPr="001768C9">
        <w:t>)</w:t>
      </w:r>
    </w:p>
    <w:p w14:paraId="6772A18C" w14:textId="77777777" w:rsidR="00FF3A65" w:rsidRDefault="00FF3A65" w:rsidP="00FF3A65">
      <w:pPr>
        <w:spacing w:line="480" w:lineRule="auto"/>
        <w:ind w:left="1440"/>
      </w:pPr>
    </w:p>
    <w:p w14:paraId="6C3D205F" w14:textId="6278DAA3" w:rsidR="00054DBB" w:rsidRPr="001F35D4" w:rsidRDefault="00054DBB" w:rsidP="00054DBB">
      <w:pPr>
        <w:spacing w:line="480" w:lineRule="auto"/>
        <w:ind w:left="1440"/>
        <w:rPr>
          <w:bCs/>
        </w:rPr>
      </w:pPr>
      <w:r>
        <w:rPr>
          <w:b/>
        </w:rPr>
        <w:t>Essential Element:</w:t>
      </w:r>
      <w:r w:rsidR="001F35D4">
        <w:rPr>
          <w:b/>
        </w:rPr>
        <w:t xml:space="preserve"> </w:t>
      </w:r>
      <w:r w:rsidR="009B237C" w:rsidRPr="009B237C">
        <w:rPr>
          <w:bCs/>
        </w:rPr>
        <w:t>Nonparametric Statistics</w:t>
      </w:r>
    </w:p>
    <w:p w14:paraId="000FC09F" w14:textId="77777777" w:rsidR="00054DBB" w:rsidRDefault="00054DBB" w:rsidP="00054DBB">
      <w:pPr>
        <w:spacing w:line="480" w:lineRule="auto"/>
        <w:ind w:left="1440"/>
        <w:rPr>
          <w:b/>
        </w:rPr>
      </w:pPr>
    </w:p>
    <w:p w14:paraId="775D3AA5" w14:textId="71CA4273" w:rsidR="00054DBB" w:rsidRDefault="00054DBB" w:rsidP="00054DBB">
      <w:pPr>
        <w:spacing w:line="480" w:lineRule="auto"/>
        <w:ind w:left="1440"/>
        <w:rPr>
          <w:b/>
        </w:rPr>
      </w:pPr>
      <w:r>
        <w:rPr>
          <w:b/>
        </w:rPr>
        <w:t>Additive/Variant Analysis:</w:t>
      </w:r>
      <w:r w:rsidR="00AE75F0">
        <w:rPr>
          <w:b/>
        </w:rPr>
        <w:t xml:space="preserve"> </w:t>
      </w:r>
      <w:r w:rsidR="00AE75F0" w:rsidRPr="00AE75F0">
        <w:rPr>
          <w:bCs/>
        </w:rPr>
        <w:t xml:space="preserve">The </w:t>
      </w:r>
      <w:r w:rsidR="00AE75F0">
        <w:rPr>
          <w:bCs/>
        </w:rPr>
        <w:t>con</w:t>
      </w:r>
      <w:r w:rsidR="009B237C">
        <w:rPr>
          <w:bCs/>
        </w:rPr>
        <w:t xml:space="preserve">cept of utilizing Spearman Rank for measuring the strength of association for nonparametric data is additive to my understanding. </w:t>
      </w:r>
    </w:p>
    <w:p w14:paraId="4E9FD68F" w14:textId="77777777" w:rsidR="00054DBB" w:rsidRDefault="00054DBB" w:rsidP="00054DBB">
      <w:pPr>
        <w:spacing w:line="480" w:lineRule="auto"/>
        <w:ind w:left="1440"/>
      </w:pPr>
    </w:p>
    <w:p w14:paraId="64F714EC" w14:textId="079D124F" w:rsidR="00054DBB" w:rsidRDefault="00054DBB" w:rsidP="00054DBB">
      <w:pPr>
        <w:spacing w:line="480" w:lineRule="auto"/>
        <w:ind w:left="1440"/>
        <w:rPr>
          <w:bCs/>
        </w:rPr>
      </w:pPr>
      <w:r>
        <w:rPr>
          <w:b/>
        </w:rPr>
        <w:lastRenderedPageBreak/>
        <w:t>Contextualization:</w:t>
      </w:r>
      <w:r w:rsidR="00553F1F">
        <w:rPr>
          <w:b/>
        </w:rPr>
        <w:t xml:space="preserve"> </w:t>
      </w:r>
      <w:r w:rsidR="00320853">
        <w:rPr>
          <w:bCs/>
        </w:rPr>
        <w:t xml:space="preserve"> </w:t>
      </w:r>
      <w:r w:rsidR="00110D1E">
        <w:rPr>
          <w:bCs/>
        </w:rPr>
        <w:t>In this research</w:t>
      </w:r>
      <w:r w:rsidR="00F3202A">
        <w:rPr>
          <w:bCs/>
        </w:rPr>
        <w:t>,</w:t>
      </w:r>
      <w:r w:rsidR="00110D1E">
        <w:rPr>
          <w:bCs/>
        </w:rPr>
        <w:t xml:space="preserve"> the researchers use </w:t>
      </w:r>
      <w:r w:rsidR="00536AC3">
        <w:rPr>
          <w:bCs/>
        </w:rPr>
        <w:t xml:space="preserve">the </w:t>
      </w:r>
      <w:r w:rsidR="00110D1E">
        <w:rPr>
          <w:bCs/>
        </w:rPr>
        <w:t xml:space="preserve">Spearman Rank for the nonparametric data </w:t>
      </w:r>
      <w:r w:rsidR="00F3202A">
        <w:rPr>
          <w:bCs/>
        </w:rPr>
        <w:t>to examine the strength of the association between chronic inhalation risk and potential pesticide toxic air contaminants.</w:t>
      </w:r>
      <w:r w:rsidR="00536AC3">
        <w:rPr>
          <w:bCs/>
        </w:rPr>
        <w:t xml:space="preserve"> Spearman Rank is </w:t>
      </w:r>
      <w:proofErr w:type="gramStart"/>
      <w:r w:rsidR="00536AC3">
        <w:rPr>
          <w:bCs/>
        </w:rPr>
        <w:t>similar to</w:t>
      </w:r>
      <w:proofErr w:type="gramEnd"/>
      <w:r w:rsidR="00536AC3">
        <w:rPr>
          <w:bCs/>
        </w:rPr>
        <w:t xml:space="preserve"> Pearson’s r where it measures the direction and strength of an association between two variables but is normally used for ordinal variables. </w:t>
      </w:r>
      <w:proofErr w:type="gramStart"/>
      <w:r w:rsidR="00536AC3">
        <w:rPr>
          <w:bCs/>
        </w:rPr>
        <w:t>As like</w:t>
      </w:r>
      <w:proofErr w:type="gramEnd"/>
      <w:r w:rsidR="00536AC3">
        <w:rPr>
          <w:bCs/>
        </w:rPr>
        <w:t xml:space="preserve"> the Pearson’s r</w:t>
      </w:r>
      <w:r w:rsidR="005B7F84">
        <w:rPr>
          <w:bCs/>
        </w:rPr>
        <w:t xml:space="preserve"> then Spearman Rank with a</w:t>
      </w:r>
      <w:r w:rsidR="00536AC3">
        <w:rPr>
          <w:bCs/>
        </w:rPr>
        <w:t xml:space="preserve"> close to a -1 is a strong negative correlation, close to a +1 is a strong positive association.</w:t>
      </w:r>
    </w:p>
    <w:p w14:paraId="2BD85440" w14:textId="77777777" w:rsidR="009B237C" w:rsidRDefault="009B237C" w:rsidP="00054DBB">
      <w:pPr>
        <w:spacing w:line="480" w:lineRule="auto"/>
        <w:ind w:left="1440"/>
        <w:rPr>
          <w:bCs/>
        </w:rPr>
      </w:pPr>
    </w:p>
    <w:p w14:paraId="1BED7023" w14:textId="77777777" w:rsidR="006B6088" w:rsidRDefault="00DF578A" w:rsidP="006B6088">
      <w:pPr>
        <w:spacing w:line="480" w:lineRule="auto"/>
        <w:ind w:hanging="480"/>
        <w:rPr>
          <w:bCs/>
        </w:rPr>
      </w:pPr>
      <w:bookmarkStart w:id="10" w:name="_Hlk158461497"/>
      <w:r>
        <w:rPr>
          <w:b/>
        </w:rPr>
        <w:t xml:space="preserve">Source Seven: </w:t>
      </w:r>
      <w:r w:rsidR="006B6088" w:rsidRPr="00B71078">
        <w:rPr>
          <w:bCs/>
        </w:rPr>
        <w:t>Terrell, S. R. (2021). </w:t>
      </w:r>
      <w:r w:rsidR="006B6088" w:rsidRPr="00B71078">
        <w:rPr>
          <w:bCs/>
          <w:i/>
          <w:iCs/>
        </w:rPr>
        <w:t xml:space="preserve">Statistics </w:t>
      </w:r>
      <w:r w:rsidR="006B6088">
        <w:rPr>
          <w:bCs/>
          <w:i/>
          <w:iCs/>
        </w:rPr>
        <w:t>T</w:t>
      </w:r>
      <w:r w:rsidR="006B6088" w:rsidRPr="00B71078">
        <w:rPr>
          <w:bCs/>
          <w:i/>
          <w:iCs/>
        </w:rPr>
        <w:t xml:space="preserve">ranslated: A </w:t>
      </w:r>
      <w:r w:rsidR="006B6088">
        <w:rPr>
          <w:bCs/>
          <w:i/>
          <w:iCs/>
        </w:rPr>
        <w:t>S</w:t>
      </w:r>
      <w:r w:rsidR="006B6088" w:rsidRPr="00B71078">
        <w:rPr>
          <w:bCs/>
          <w:i/>
          <w:iCs/>
        </w:rPr>
        <w:t>tep-by-</w:t>
      </w:r>
      <w:r w:rsidR="006B6088">
        <w:rPr>
          <w:bCs/>
          <w:i/>
          <w:iCs/>
        </w:rPr>
        <w:t>S</w:t>
      </w:r>
      <w:r w:rsidR="006B6088" w:rsidRPr="00B71078">
        <w:rPr>
          <w:bCs/>
          <w:i/>
          <w:iCs/>
        </w:rPr>
        <w:t xml:space="preserve">tep </w:t>
      </w:r>
      <w:r w:rsidR="006B6088">
        <w:rPr>
          <w:bCs/>
          <w:i/>
          <w:iCs/>
        </w:rPr>
        <w:t>G</w:t>
      </w:r>
      <w:r w:rsidR="006B6088" w:rsidRPr="00B71078">
        <w:rPr>
          <w:bCs/>
          <w:i/>
          <w:iCs/>
        </w:rPr>
        <w:t xml:space="preserve">uide to </w:t>
      </w:r>
      <w:r w:rsidR="006B6088">
        <w:rPr>
          <w:bCs/>
          <w:i/>
          <w:iCs/>
        </w:rPr>
        <w:t>A</w:t>
      </w:r>
      <w:r w:rsidR="006B6088" w:rsidRPr="00B71078">
        <w:rPr>
          <w:bCs/>
          <w:i/>
          <w:iCs/>
        </w:rPr>
        <w:t xml:space="preserve">nalyzing and </w:t>
      </w:r>
      <w:r w:rsidR="006B6088">
        <w:rPr>
          <w:bCs/>
          <w:i/>
          <w:iCs/>
        </w:rPr>
        <w:t>I</w:t>
      </w:r>
      <w:r w:rsidR="006B6088" w:rsidRPr="00B71078">
        <w:rPr>
          <w:bCs/>
          <w:i/>
          <w:iCs/>
        </w:rPr>
        <w:t xml:space="preserve">nterpreting </w:t>
      </w:r>
      <w:r w:rsidR="006B6088">
        <w:rPr>
          <w:bCs/>
          <w:i/>
          <w:iCs/>
        </w:rPr>
        <w:t>D</w:t>
      </w:r>
      <w:r w:rsidR="006B6088" w:rsidRPr="00B71078">
        <w:rPr>
          <w:bCs/>
          <w:i/>
          <w:iCs/>
        </w:rPr>
        <w:t>ata</w:t>
      </w:r>
      <w:r w:rsidR="006B6088" w:rsidRPr="00B71078">
        <w:rPr>
          <w:bCs/>
        </w:rPr>
        <w:t>. Guilford Publications.</w:t>
      </w:r>
    </w:p>
    <w:p w14:paraId="434758DD" w14:textId="77777777" w:rsidR="00054DBB" w:rsidRDefault="00054DBB" w:rsidP="002A5B58">
      <w:pPr>
        <w:spacing w:line="480" w:lineRule="auto"/>
        <w:rPr>
          <w:b/>
          <w:color w:val="FF0000"/>
        </w:rPr>
      </w:pPr>
    </w:p>
    <w:p w14:paraId="2C8C1870" w14:textId="3254CFE1" w:rsidR="00054DBB" w:rsidRDefault="00054DBB" w:rsidP="00054DBB">
      <w:pPr>
        <w:spacing w:line="480" w:lineRule="auto"/>
        <w:ind w:left="720"/>
      </w:pPr>
      <w:r>
        <w:rPr>
          <w:b/>
        </w:rPr>
        <w:t>Comment 8:</w:t>
      </w:r>
    </w:p>
    <w:p w14:paraId="15925968" w14:textId="0493C351" w:rsidR="00054DBB" w:rsidRDefault="00054DBB" w:rsidP="00054DBB">
      <w:pPr>
        <w:spacing w:line="480" w:lineRule="auto"/>
        <w:ind w:left="1440"/>
        <w:rPr>
          <w:b/>
        </w:rPr>
      </w:pPr>
      <w:r>
        <w:rPr>
          <w:b/>
        </w:rPr>
        <w:t>Quote/Paraphrase</w:t>
      </w:r>
      <w:r w:rsidR="00950B88">
        <w:rPr>
          <w:b/>
        </w:rPr>
        <w:t>:</w:t>
      </w:r>
      <w:r w:rsidR="00F70024" w:rsidRPr="00F70024">
        <w:rPr>
          <w:bCs/>
        </w:rPr>
        <w:t xml:space="preserve"> </w:t>
      </w:r>
      <w:r w:rsidR="00F70024">
        <w:rPr>
          <w:bCs/>
        </w:rPr>
        <w:t>“</w:t>
      </w:r>
      <w:bookmarkStart w:id="11" w:name="_Hlk159066722"/>
      <w:r w:rsidR="00322C41" w:rsidRPr="00322C41">
        <w:rPr>
          <w:bCs/>
        </w:rPr>
        <w:t>The</w:t>
      </w:r>
      <w:r w:rsidR="002A5B58">
        <w:rPr>
          <w:bCs/>
        </w:rPr>
        <w:t xml:space="preserve"> first thing the empirical rule tells us is, if the distribution is approximately normally distributed, at least 68% of the values in the dataset fall within ±1 standard deviation from the mean</w:t>
      </w:r>
      <w:r w:rsidR="00322C41" w:rsidRPr="00322C41">
        <w:rPr>
          <w:bCs/>
        </w:rPr>
        <w:t>.</w:t>
      </w:r>
      <w:r w:rsidR="00322C41">
        <w:rPr>
          <w:bCs/>
        </w:rPr>
        <w:t xml:space="preserve">” </w:t>
      </w:r>
      <w:r w:rsidR="00322C41">
        <w:rPr>
          <w:bCs/>
        </w:rPr>
        <w:fldChar w:fldCharType="begin"/>
      </w:r>
      <w:r w:rsidR="007B09CE">
        <w:rPr>
          <w:bCs/>
        </w:rPr>
        <w:instrText xml:space="preserve"> ADDIN ZOTERO_ITEM CSL_CITATION {"citationID":"SrpqOfsa","properties":{"formattedCitation":"(Langer et al., 2023)","plainCitation":"(Langer et al., 2023)","dontUpdate":true,"noteIndex":0},"citationItems":[{"id":"S51N5ARd/6JyR5rlG","uris":["http://zotero.org/users/local/Prr5sh2G/items/52FIA24I"],"itemData":{"id":491,"type":"article-journal","abstract":"Objective: Estimate the association between environmental temperature (wet bulb globe temperature [WBGT]) and work rate over the course of a workday. Methods: Repeated-measures regression was used to identify characteristics impacting work rate in a cross-sectional study of Latino farmworkers. Minute-by-minute work rate (measured by accelerometer) and WBGT were averaged over 15-minute intervals. Results: Work rate decreased by 4.34 (95% confidence interval [CI], −7.09 to −1.59) counts per minute per degree Celsius WBGT in the previous 15-minute interval. Cumulative quarter hours worked (2.13; 95% CI, 0.82 to 3.45), age (−3.64; 95% CI, −4.50 to −2.79), and dehydration at the end of workday (51.37; 95% CI, 19.24 to 83.50) were associated with counts per minute as were gender, pay type (piece rate vs hourly) and body mass index ≥25 kg/m2. The effects of pay type and body mass index were modified by gender. Conclusion: Increased temperature was associated with a decrease in work rate.","container-title":"Journal of Occupational &amp; Environmental Medicine","DOI":"10.1097/JOM.0000000000002853","ISSN":"1076-2752, 1536-5948","issue":"7","journalAbbreviation":"J Occup Environ Med","language":"en","license":"http://creativecommons.org/licenses/by-nc-nd/4.0/","page":"e458-e464","source":"DOI.org (Crossref)","title":"How Does Environmental Temperature Affect Farmworkers’ Work Rates in the California Heat Illness Prevention Study?","volume":"65","author":[{"family":"Langer","given":"Chelsea E."},{"family":"Armitage","given":"Tracey L."},{"family":"Beckman","given":"Stella"},{"family":"Tancredi","given":"Daniel J."},{"family":"Mitchell","given":"Diane C."},{"family":"Schenker","given":"Marc B."}],"issued":{"date-parts":[["2023",7]]}}}],"schema":"https://github.com/citation-style-language/schema/raw/master/csl-citation.json"} </w:instrText>
      </w:r>
      <w:r w:rsidR="00322C41">
        <w:rPr>
          <w:bCs/>
        </w:rPr>
        <w:fldChar w:fldCharType="separate"/>
      </w:r>
      <w:r w:rsidR="00322C41" w:rsidRPr="00A73938">
        <w:rPr>
          <w:bCs/>
        </w:rPr>
        <w:t>(</w:t>
      </w:r>
      <w:r w:rsidR="002A5B58">
        <w:rPr>
          <w:bCs/>
        </w:rPr>
        <w:t>Terrell</w:t>
      </w:r>
      <w:r w:rsidR="00322C41" w:rsidRPr="00A73938">
        <w:rPr>
          <w:bCs/>
        </w:rPr>
        <w:t>, 202</w:t>
      </w:r>
      <w:r w:rsidR="002A5B58">
        <w:rPr>
          <w:bCs/>
        </w:rPr>
        <w:t>1</w:t>
      </w:r>
      <w:r w:rsidR="00322C41">
        <w:rPr>
          <w:bCs/>
        </w:rPr>
        <w:t xml:space="preserve">, p. </w:t>
      </w:r>
      <w:r w:rsidR="002A5B58">
        <w:rPr>
          <w:bCs/>
        </w:rPr>
        <w:t>107</w:t>
      </w:r>
      <w:r w:rsidR="00322C41" w:rsidRPr="00A73938">
        <w:rPr>
          <w:bCs/>
        </w:rPr>
        <w:t>)</w:t>
      </w:r>
      <w:r w:rsidR="00322C41">
        <w:rPr>
          <w:bCs/>
        </w:rPr>
        <w:fldChar w:fldCharType="end"/>
      </w:r>
    </w:p>
    <w:bookmarkEnd w:id="11"/>
    <w:p w14:paraId="2A7CA0A8" w14:textId="77777777" w:rsidR="00054DBB" w:rsidRDefault="00054DBB" w:rsidP="00054DBB">
      <w:pPr>
        <w:spacing w:line="480" w:lineRule="auto"/>
        <w:ind w:left="1440"/>
      </w:pPr>
    </w:p>
    <w:p w14:paraId="588EC532" w14:textId="2C7DF3AB" w:rsidR="00054DBB" w:rsidRDefault="00054DBB" w:rsidP="00054DBB">
      <w:pPr>
        <w:spacing w:line="480" w:lineRule="auto"/>
        <w:ind w:left="1440"/>
        <w:rPr>
          <w:bCs/>
        </w:rPr>
      </w:pPr>
      <w:r>
        <w:rPr>
          <w:b/>
        </w:rPr>
        <w:t>Essential Element:</w:t>
      </w:r>
      <w:r w:rsidR="00E642F5">
        <w:rPr>
          <w:b/>
        </w:rPr>
        <w:t xml:space="preserve"> </w:t>
      </w:r>
      <w:r w:rsidR="00C66E29" w:rsidRPr="00C66E29">
        <w:rPr>
          <w:bCs/>
        </w:rPr>
        <w:t>Assumptions testing</w:t>
      </w:r>
      <w:r w:rsidR="00C66E29">
        <w:rPr>
          <w:bCs/>
        </w:rPr>
        <w:t xml:space="preserve">, </w:t>
      </w:r>
      <w:r w:rsidR="00C66E29" w:rsidRPr="00C66E29">
        <w:rPr>
          <w:bCs/>
        </w:rPr>
        <w:t>Parametric Statistics</w:t>
      </w:r>
    </w:p>
    <w:p w14:paraId="7A0BB381" w14:textId="77777777" w:rsidR="00EA3397" w:rsidRDefault="00EA3397" w:rsidP="00054DBB">
      <w:pPr>
        <w:spacing w:line="480" w:lineRule="auto"/>
        <w:ind w:left="1440"/>
        <w:rPr>
          <w:b/>
        </w:rPr>
      </w:pPr>
    </w:p>
    <w:p w14:paraId="782FE960" w14:textId="3FF4F3EB" w:rsidR="00054DBB" w:rsidRPr="00E642F5" w:rsidRDefault="00054DBB" w:rsidP="00054DBB">
      <w:pPr>
        <w:spacing w:line="480" w:lineRule="auto"/>
        <w:ind w:left="1440"/>
        <w:rPr>
          <w:bCs/>
        </w:rPr>
      </w:pPr>
      <w:r>
        <w:rPr>
          <w:b/>
        </w:rPr>
        <w:t>Additive/Variant Analysis:</w:t>
      </w:r>
      <w:r w:rsidR="00E642F5">
        <w:rPr>
          <w:b/>
        </w:rPr>
        <w:t xml:space="preserve"> </w:t>
      </w:r>
      <w:bookmarkStart w:id="12" w:name="_Hlk159073550"/>
      <w:r w:rsidR="00E642F5">
        <w:rPr>
          <w:bCs/>
        </w:rPr>
        <w:t>Th</w:t>
      </w:r>
      <w:bookmarkEnd w:id="12"/>
      <w:r w:rsidR="00C66E29">
        <w:rPr>
          <w:bCs/>
        </w:rPr>
        <w:t>ese facts about the normal distribution are additive to my understanding.</w:t>
      </w:r>
    </w:p>
    <w:p w14:paraId="6118FC63" w14:textId="77777777" w:rsidR="00054DBB" w:rsidRDefault="00054DBB" w:rsidP="00054DBB">
      <w:pPr>
        <w:spacing w:line="480" w:lineRule="auto"/>
        <w:ind w:left="1440"/>
      </w:pPr>
    </w:p>
    <w:p w14:paraId="32F966B9" w14:textId="2CD8E384" w:rsidR="00143B2C" w:rsidRDefault="00054DBB" w:rsidP="00F77CEF">
      <w:pPr>
        <w:spacing w:line="480" w:lineRule="auto"/>
        <w:ind w:left="1440"/>
        <w:rPr>
          <w:bCs/>
        </w:rPr>
      </w:pPr>
      <w:r>
        <w:rPr>
          <w:b/>
        </w:rPr>
        <w:lastRenderedPageBreak/>
        <w:t>Contextualization:</w:t>
      </w:r>
      <w:r w:rsidR="00E642F5">
        <w:rPr>
          <w:b/>
        </w:rPr>
        <w:t xml:space="preserve"> </w:t>
      </w:r>
      <w:r w:rsidR="00C66E29">
        <w:rPr>
          <w:bCs/>
        </w:rPr>
        <w:t xml:space="preserve">The normality of data is very powerful because of the shape and probability function of the normal curve. The empirical rule of the normal curve informs us that 68% of the data will fall within </w:t>
      </w:r>
      <w:r w:rsidR="00537E9C">
        <w:rPr>
          <w:bCs/>
        </w:rPr>
        <w:t>one standard deviation from the mean, 95% within two standard deviations, and 99.7% within 3 standard deviations. Given this probability function, we could infer much about the population from our sample given our sample distribution. We could utilize z scores to standardize our information. The normality of data gives us the opportunity to perform many statistical operations and allows us to infer the larger population through our sample given the sampling distribution.</w:t>
      </w:r>
    </w:p>
    <w:p w14:paraId="09FFD099" w14:textId="77777777" w:rsidR="003474C2" w:rsidRDefault="003474C2" w:rsidP="00F77CEF">
      <w:pPr>
        <w:spacing w:line="480" w:lineRule="auto"/>
        <w:ind w:left="1440"/>
        <w:rPr>
          <w:bCs/>
        </w:rPr>
      </w:pPr>
    </w:p>
    <w:p w14:paraId="27427EC5" w14:textId="77777777" w:rsidR="003474C2" w:rsidRPr="00F77CEF" w:rsidRDefault="003474C2" w:rsidP="00F77CEF">
      <w:pPr>
        <w:spacing w:line="480" w:lineRule="auto"/>
        <w:ind w:left="1440"/>
        <w:rPr>
          <w:bCs/>
        </w:rPr>
      </w:pPr>
    </w:p>
    <w:p w14:paraId="51DF90A6" w14:textId="77777777" w:rsidR="001209D7" w:rsidRDefault="001209D7" w:rsidP="001209D7">
      <w:pPr>
        <w:spacing w:line="480" w:lineRule="auto"/>
        <w:ind w:left="720"/>
      </w:pPr>
      <w:r>
        <w:rPr>
          <w:b/>
        </w:rPr>
        <w:t>Comment 9:</w:t>
      </w:r>
    </w:p>
    <w:p w14:paraId="270316B3" w14:textId="375EAFD2" w:rsidR="002A5B58" w:rsidRDefault="001209D7" w:rsidP="002A5B58">
      <w:pPr>
        <w:spacing w:line="480" w:lineRule="auto"/>
        <w:ind w:left="1440"/>
        <w:rPr>
          <w:b/>
        </w:rPr>
      </w:pPr>
      <w:r>
        <w:rPr>
          <w:b/>
        </w:rPr>
        <w:t>Quote/Paraphrase:</w:t>
      </w:r>
      <w:r w:rsidR="00043092">
        <w:rPr>
          <w:b/>
        </w:rPr>
        <w:t xml:space="preserve"> </w:t>
      </w:r>
      <w:r w:rsidR="00043092" w:rsidRPr="00043092">
        <w:rPr>
          <w:bCs/>
        </w:rPr>
        <w:t>“</w:t>
      </w:r>
      <w:r w:rsidR="002A5B58">
        <w:rPr>
          <w:bCs/>
        </w:rPr>
        <w:t xml:space="preserve">Setting up, running, and interpreting the output of the </w:t>
      </w:r>
      <w:r w:rsidR="0037252E">
        <w:rPr>
          <w:bCs/>
        </w:rPr>
        <w:t>Wilcoxon test is very similar to that of the dependent-sample t-test</w:t>
      </w:r>
      <w:r w:rsidR="006221D4" w:rsidRPr="006221D4">
        <w:rPr>
          <w:bCs/>
        </w:rPr>
        <w:t>.</w:t>
      </w:r>
      <w:r w:rsidR="005D7235">
        <w:rPr>
          <w:bCs/>
        </w:rPr>
        <w:t xml:space="preserve"> </w:t>
      </w:r>
      <w:r w:rsidR="0037252E">
        <w:rPr>
          <w:bCs/>
        </w:rPr>
        <w:t>Again, this is not something that happens often, and like the Mann-Whitney U test, this test is something you need to keep in the back of your mind for those rare instances.”</w:t>
      </w:r>
      <w:r w:rsidR="006221D4">
        <w:rPr>
          <w:bCs/>
        </w:rPr>
        <w:t xml:space="preserve"> </w:t>
      </w:r>
      <w:r w:rsidR="002A5B58">
        <w:rPr>
          <w:bCs/>
        </w:rPr>
        <w:fldChar w:fldCharType="begin"/>
      </w:r>
      <w:r w:rsidR="002A5B58">
        <w:rPr>
          <w:bCs/>
        </w:rPr>
        <w:instrText xml:space="preserve"> ADDIN ZOTERO_ITEM CSL_CITATION {"citationID":"SrpqOfsa","properties":{"formattedCitation":"(Langer et al., 2023)","plainCitation":"(Langer et al., 2023)","dontUpdate":true,"noteIndex":0},"citationItems":[{"id":"S51N5ARd/6JyR5rlG","uris":["http://zotero.org/users/local/Prr5sh2G/items/52FIA24I"],"itemData":{"id":491,"type":"article-journal","abstract":"Objective: Estimate the association between environmental temperature (wet bulb globe temperature [WBGT]) and work rate over the course of a workday. Methods: Repeated-measures regression was used to identify characteristics impacting work rate in a cross-sectional study of Latino farmworkers. Minute-by-minute work rate (measured by accelerometer) and WBGT were averaged over 15-minute intervals. Results: Work rate decreased by 4.34 (95% confidence interval [CI], −7.09 to −1.59) counts per minute per degree Celsius WBGT in the previous 15-minute interval. Cumulative quarter hours worked (2.13; 95% CI, 0.82 to 3.45), age (−3.64; 95% CI, −4.50 to −2.79), and dehydration at the end of workday (51.37; 95% CI, 19.24 to 83.50) were associated with counts per minute as were gender, pay type (piece rate vs hourly) and body mass index ≥25 kg/m2. The effects of pay type and body mass index were modified by gender. Conclusion: Increased temperature was associated with a decrease in work rate.","container-title":"Journal of Occupational &amp; Environmental Medicine","DOI":"10.1097/JOM.0000000000002853","ISSN":"1076-2752, 1536-5948","issue":"7","journalAbbreviation":"J Occup Environ Med","language":"en","license":"http://creativecommons.org/licenses/by-nc-nd/4.0/","page":"e458-e464","source":"DOI.org (Crossref)","title":"How Does Environmental Temperature Affect Farmworkers’ Work Rates in the California Heat Illness Prevention Study?","volume":"65","author":[{"family":"Langer","given":"Chelsea E."},{"family":"Armitage","given":"Tracey L."},{"family":"Beckman","given":"Stella"},{"family":"Tancredi","given":"Daniel J."},{"family":"Mitchell","given":"Diane C."},{"family":"Schenker","given":"Marc B."}],"issued":{"date-parts":[["2023",7]]}}}],"schema":"https://github.com/citation-style-language/schema/raw/master/csl-citation.json"} </w:instrText>
      </w:r>
      <w:r w:rsidR="002A5B58">
        <w:rPr>
          <w:bCs/>
        </w:rPr>
        <w:fldChar w:fldCharType="separate"/>
      </w:r>
      <w:r w:rsidR="002A5B58" w:rsidRPr="00A73938">
        <w:rPr>
          <w:bCs/>
        </w:rPr>
        <w:t>(</w:t>
      </w:r>
      <w:r w:rsidR="002A5B58">
        <w:rPr>
          <w:bCs/>
        </w:rPr>
        <w:t>Terrell</w:t>
      </w:r>
      <w:r w:rsidR="002A5B58" w:rsidRPr="00A73938">
        <w:rPr>
          <w:bCs/>
        </w:rPr>
        <w:t>, 202</w:t>
      </w:r>
      <w:r w:rsidR="002A5B58">
        <w:rPr>
          <w:bCs/>
        </w:rPr>
        <w:t>1, p. 237</w:t>
      </w:r>
      <w:r w:rsidR="002A5B58" w:rsidRPr="00A73938">
        <w:rPr>
          <w:bCs/>
        </w:rPr>
        <w:t>)</w:t>
      </w:r>
      <w:r w:rsidR="002A5B58">
        <w:rPr>
          <w:bCs/>
        </w:rPr>
        <w:fldChar w:fldCharType="end"/>
      </w:r>
    </w:p>
    <w:p w14:paraId="57325F80" w14:textId="77777777" w:rsidR="001209D7" w:rsidRDefault="001209D7" w:rsidP="00361324">
      <w:pPr>
        <w:spacing w:line="480" w:lineRule="auto"/>
      </w:pPr>
    </w:p>
    <w:p w14:paraId="42869741" w14:textId="34A5DBB1" w:rsidR="001209D7" w:rsidRDefault="001209D7" w:rsidP="001209D7">
      <w:pPr>
        <w:spacing w:line="480" w:lineRule="auto"/>
        <w:ind w:left="1440"/>
        <w:rPr>
          <w:b/>
        </w:rPr>
      </w:pPr>
      <w:r>
        <w:rPr>
          <w:b/>
        </w:rPr>
        <w:t>Essential Element:</w:t>
      </w:r>
      <w:r w:rsidR="00E642F5">
        <w:rPr>
          <w:b/>
        </w:rPr>
        <w:t xml:space="preserve"> </w:t>
      </w:r>
      <w:r w:rsidR="00361324" w:rsidRPr="00361324">
        <w:rPr>
          <w:bCs/>
        </w:rPr>
        <w:t>Nonparametric Statistics</w:t>
      </w:r>
    </w:p>
    <w:p w14:paraId="406565B7" w14:textId="77777777" w:rsidR="001209D7" w:rsidRDefault="001209D7" w:rsidP="001209D7">
      <w:pPr>
        <w:spacing w:line="480" w:lineRule="auto"/>
        <w:ind w:left="1440"/>
        <w:rPr>
          <w:b/>
        </w:rPr>
      </w:pPr>
    </w:p>
    <w:p w14:paraId="0CFBF3CD" w14:textId="023FAB10" w:rsidR="001209D7" w:rsidRDefault="001209D7" w:rsidP="001209D7">
      <w:pPr>
        <w:spacing w:line="480" w:lineRule="auto"/>
        <w:ind w:left="1440"/>
        <w:rPr>
          <w:b/>
        </w:rPr>
      </w:pPr>
      <w:r>
        <w:rPr>
          <w:b/>
        </w:rPr>
        <w:t>Additive/Variant Analysis:</w:t>
      </w:r>
      <w:r w:rsidR="00E642F5">
        <w:rPr>
          <w:b/>
        </w:rPr>
        <w:t xml:space="preserve"> </w:t>
      </w:r>
      <w:r w:rsidR="00E642F5">
        <w:rPr>
          <w:bCs/>
        </w:rPr>
        <w:t>This</w:t>
      </w:r>
      <w:r w:rsidR="001E490A">
        <w:rPr>
          <w:bCs/>
        </w:rPr>
        <w:t xml:space="preserve"> information about the nonparametric tests of Wilcoxon and Mann-Whitney U test is additive to my understanding of nonparametric means testing.</w:t>
      </w:r>
    </w:p>
    <w:p w14:paraId="38C4BC8A" w14:textId="77777777" w:rsidR="001209D7" w:rsidRDefault="001209D7" w:rsidP="001209D7">
      <w:pPr>
        <w:spacing w:line="480" w:lineRule="auto"/>
        <w:ind w:left="1440"/>
      </w:pPr>
    </w:p>
    <w:p w14:paraId="60903F56" w14:textId="31F911CB" w:rsidR="00A8469A" w:rsidRDefault="001209D7" w:rsidP="00AC037F">
      <w:pPr>
        <w:spacing w:line="480" w:lineRule="auto"/>
        <w:ind w:left="1440"/>
      </w:pPr>
      <w:r>
        <w:rPr>
          <w:b/>
        </w:rPr>
        <w:t>Contextualization:</w:t>
      </w:r>
      <w:r w:rsidR="00E642F5">
        <w:rPr>
          <w:b/>
        </w:rPr>
        <w:t xml:space="preserve"> </w:t>
      </w:r>
      <w:r w:rsidR="005D7235">
        <w:rPr>
          <w:bCs/>
        </w:rPr>
        <w:t xml:space="preserve">From this quote, it seems like the author assumes that much of the research data will follow an approximate normal distribution and would likely have a sufficient sample size thus the use for a t-test. But in some </w:t>
      </w:r>
      <w:proofErr w:type="gramStart"/>
      <w:r w:rsidR="005D7235">
        <w:rPr>
          <w:bCs/>
        </w:rPr>
        <w:t>cases</w:t>
      </w:r>
      <w:proofErr w:type="gramEnd"/>
      <w:r w:rsidR="005D7235">
        <w:rPr>
          <w:bCs/>
        </w:rPr>
        <w:t xml:space="preserve"> the data would not meet the assumptions of normality </w:t>
      </w:r>
      <w:r w:rsidR="00CC574E">
        <w:rPr>
          <w:bCs/>
        </w:rPr>
        <w:t>or would not have a large enough sample to move the distribution to an approximant normality, thus the need for nonparametric statistics such as the Wilcoxon and Mann-Whitney U tests. These nonparametric statistics are good to know what to use when the data does not meet the assumption of normality.</w:t>
      </w:r>
    </w:p>
    <w:p w14:paraId="0C62C640" w14:textId="77777777" w:rsidR="00AC037F" w:rsidRDefault="00AC037F" w:rsidP="00AC037F">
      <w:pPr>
        <w:spacing w:line="480" w:lineRule="auto"/>
        <w:ind w:left="1440"/>
      </w:pPr>
    </w:p>
    <w:p w14:paraId="44A5C090" w14:textId="34E528B9" w:rsidR="00E743E2" w:rsidRDefault="00E743E2" w:rsidP="00E743E2">
      <w:pPr>
        <w:spacing w:line="480" w:lineRule="auto"/>
        <w:ind w:hanging="480"/>
      </w:pPr>
      <w:r>
        <w:rPr>
          <w:b/>
        </w:rPr>
        <w:t xml:space="preserve">Source Eight: </w:t>
      </w:r>
      <w:proofErr w:type="spellStart"/>
      <w:r w:rsidR="006B6088" w:rsidRPr="006B6088">
        <w:t>Sheskin</w:t>
      </w:r>
      <w:proofErr w:type="spellEnd"/>
      <w:r w:rsidR="006B6088" w:rsidRPr="006B6088">
        <w:t>, D. J. (20</w:t>
      </w:r>
      <w:r w:rsidR="006B6088">
        <w:t>11</w:t>
      </w:r>
      <w:r w:rsidR="006B6088" w:rsidRPr="006B6088">
        <w:t xml:space="preserve">). </w:t>
      </w:r>
      <w:r w:rsidR="006B6088" w:rsidRPr="00A70C39">
        <w:rPr>
          <w:i/>
          <w:iCs/>
        </w:rPr>
        <w:t xml:space="preserve">Handbook of </w:t>
      </w:r>
      <w:r w:rsidR="00A70C39" w:rsidRPr="00A70C39">
        <w:rPr>
          <w:i/>
          <w:iCs/>
        </w:rPr>
        <w:t>P</w:t>
      </w:r>
      <w:r w:rsidR="006B6088" w:rsidRPr="00A70C39">
        <w:rPr>
          <w:i/>
          <w:iCs/>
        </w:rPr>
        <w:t xml:space="preserve">arametric and </w:t>
      </w:r>
      <w:r w:rsidR="00A70C39" w:rsidRPr="00A70C39">
        <w:rPr>
          <w:i/>
          <w:iCs/>
        </w:rPr>
        <w:t>N</w:t>
      </w:r>
      <w:r w:rsidR="006B6088" w:rsidRPr="00A70C39">
        <w:rPr>
          <w:i/>
          <w:iCs/>
        </w:rPr>
        <w:t xml:space="preserve">onparametric </w:t>
      </w:r>
      <w:r w:rsidR="00A70C39" w:rsidRPr="00A70C39">
        <w:rPr>
          <w:i/>
          <w:iCs/>
        </w:rPr>
        <w:t>S</w:t>
      </w:r>
      <w:r w:rsidR="006B6088" w:rsidRPr="00A70C39">
        <w:rPr>
          <w:i/>
          <w:iCs/>
        </w:rPr>
        <w:t xml:space="preserve">tatistical </w:t>
      </w:r>
      <w:r w:rsidR="00A70C39" w:rsidRPr="00A70C39">
        <w:rPr>
          <w:i/>
          <w:iCs/>
        </w:rPr>
        <w:t>P</w:t>
      </w:r>
      <w:r w:rsidR="006B6088" w:rsidRPr="00A70C39">
        <w:rPr>
          <w:i/>
          <w:iCs/>
        </w:rPr>
        <w:t>rocedures</w:t>
      </w:r>
      <w:r w:rsidR="006B6088" w:rsidRPr="006B6088">
        <w:t xml:space="preserve">. Chapman and </w:t>
      </w:r>
      <w:r w:rsidR="00A70C39">
        <w:t>Hall</w:t>
      </w:r>
      <w:r w:rsidR="006B6088" w:rsidRPr="006B6088">
        <w:t>/CRC.</w:t>
      </w:r>
    </w:p>
    <w:p w14:paraId="1FAB983F" w14:textId="77777777" w:rsidR="00AC037F" w:rsidRDefault="00AC037F" w:rsidP="00AC037F">
      <w:pPr>
        <w:spacing w:line="480" w:lineRule="auto"/>
        <w:ind w:left="1440"/>
      </w:pPr>
    </w:p>
    <w:p w14:paraId="46BD7441" w14:textId="77777777" w:rsidR="001209D7" w:rsidRDefault="001209D7" w:rsidP="001209D7">
      <w:pPr>
        <w:spacing w:line="480" w:lineRule="auto"/>
        <w:ind w:left="720"/>
      </w:pPr>
      <w:r>
        <w:rPr>
          <w:b/>
        </w:rPr>
        <w:t>Comment 10:</w:t>
      </w:r>
    </w:p>
    <w:p w14:paraId="6D21CDE2" w14:textId="4DA1FBBA" w:rsidR="001209D7" w:rsidRDefault="001209D7" w:rsidP="001209D7">
      <w:pPr>
        <w:spacing w:line="480" w:lineRule="auto"/>
        <w:ind w:left="1440"/>
        <w:rPr>
          <w:b/>
        </w:rPr>
      </w:pPr>
      <w:r>
        <w:rPr>
          <w:b/>
        </w:rPr>
        <w:t>Quote/Paraphrase:</w:t>
      </w:r>
      <w:r w:rsidR="00043092" w:rsidRPr="00043092">
        <w:t xml:space="preserve"> “</w:t>
      </w:r>
      <w:r w:rsidR="00AA06C7">
        <w:t xml:space="preserve">The discussion of correlational research in this section will be limited to the simplest type of correlation – specifically, </w:t>
      </w:r>
      <w:r w:rsidR="006B3758">
        <w:t>bivariate correlation, which is the use of correlation to measure the degree of association between two variables. It should be noted that correlational procedures can also be employed with more than two variables. The latter type of correlation is commonly discussed within the framework of multivariate analysis (e.g., multiple regression.</w:t>
      </w:r>
      <w:r w:rsidR="001A2280">
        <w:t>” (</w:t>
      </w:r>
      <w:r w:rsidR="0037252E">
        <w:t>Sheskin,2011</w:t>
      </w:r>
      <w:r w:rsidR="001A2280">
        <w:t xml:space="preserve">, p. </w:t>
      </w:r>
      <w:r w:rsidR="0037252E">
        <w:t>8</w:t>
      </w:r>
      <w:r w:rsidR="006B3758">
        <w:t>1</w:t>
      </w:r>
      <w:r w:rsidR="001A2280">
        <w:t>)</w:t>
      </w:r>
    </w:p>
    <w:p w14:paraId="44E44300" w14:textId="77777777" w:rsidR="001209D7" w:rsidRDefault="001209D7" w:rsidP="001209D7">
      <w:pPr>
        <w:spacing w:line="480" w:lineRule="auto"/>
        <w:ind w:left="1440"/>
      </w:pPr>
    </w:p>
    <w:p w14:paraId="03EB200F" w14:textId="7E0A5063" w:rsidR="001209D7" w:rsidRDefault="001209D7" w:rsidP="001209D7">
      <w:pPr>
        <w:spacing w:line="480" w:lineRule="auto"/>
        <w:ind w:left="1440"/>
        <w:rPr>
          <w:b/>
        </w:rPr>
      </w:pPr>
      <w:r>
        <w:rPr>
          <w:b/>
        </w:rPr>
        <w:t>Essential Element:</w:t>
      </w:r>
      <w:r w:rsidR="00E642F5">
        <w:rPr>
          <w:b/>
        </w:rPr>
        <w:t xml:space="preserve"> </w:t>
      </w:r>
      <w:r w:rsidR="00F921EB" w:rsidRPr="00F921EB">
        <w:rPr>
          <w:bCs/>
        </w:rPr>
        <w:t>T-test and Pearson’s r</w:t>
      </w:r>
    </w:p>
    <w:p w14:paraId="6E3996BE" w14:textId="77777777" w:rsidR="001209D7" w:rsidRDefault="001209D7" w:rsidP="001209D7">
      <w:pPr>
        <w:spacing w:line="480" w:lineRule="auto"/>
        <w:ind w:left="1440"/>
        <w:rPr>
          <w:b/>
        </w:rPr>
      </w:pPr>
    </w:p>
    <w:p w14:paraId="3258F92D" w14:textId="57EB102B" w:rsidR="001209D7" w:rsidRDefault="001209D7" w:rsidP="001209D7">
      <w:pPr>
        <w:spacing w:line="480" w:lineRule="auto"/>
        <w:ind w:left="1440"/>
        <w:rPr>
          <w:bCs/>
        </w:rPr>
      </w:pPr>
      <w:r>
        <w:rPr>
          <w:b/>
        </w:rPr>
        <w:t>Additive/Variant Analysis:</w:t>
      </w:r>
      <w:r w:rsidR="00E642F5">
        <w:rPr>
          <w:b/>
        </w:rPr>
        <w:t xml:space="preserve"> </w:t>
      </w:r>
      <w:r w:rsidR="00E642F5">
        <w:rPr>
          <w:bCs/>
        </w:rPr>
        <w:t xml:space="preserve">This </w:t>
      </w:r>
      <w:r w:rsidR="00AC037F">
        <w:rPr>
          <w:bCs/>
        </w:rPr>
        <w:t>quote is</w:t>
      </w:r>
      <w:r w:rsidR="00654298">
        <w:rPr>
          <w:bCs/>
        </w:rPr>
        <w:t xml:space="preserve"> about correlational research is additive to my understanding of research design.</w:t>
      </w:r>
    </w:p>
    <w:p w14:paraId="1A5BFA75" w14:textId="77777777" w:rsidR="001209D7" w:rsidRDefault="001209D7" w:rsidP="00D5669A">
      <w:pPr>
        <w:spacing w:line="480" w:lineRule="auto"/>
      </w:pPr>
    </w:p>
    <w:p w14:paraId="06656B07" w14:textId="32FE7B77" w:rsidR="00054DBB" w:rsidRDefault="001209D7" w:rsidP="00E642F5">
      <w:pPr>
        <w:spacing w:line="480" w:lineRule="auto"/>
        <w:ind w:left="1440"/>
        <w:rPr>
          <w:bCs/>
        </w:rPr>
      </w:pPr>
      <w:r>
        <w:rPr>
          <w:b/>
        </w:rPr>
        <w:t>Contextualization:</w:t>
      </w:r>
      <w:bookmarkEnd w:id="10"/>
      <w:r w:rsidR="00E642F5">
        <w:rPr>
          <w:b/>
        </w:rPr>
        <w:t xml:space="preserve"> </w:t>
      </w:r>
      <w:r w:rsidR="00C54644">
        <w:rPr>
          <w:bCs/>
        </w:rPr>
        <w:t>B</w:t>
      </w:r>
      <w:r w:rsidR="00C54644" w:rsidRPr="00C54644">
        <w:rPr>
          <w:bCs/>
        </w:rPr>
        <w:t>ivariate correlation</w:t>
      </w:r>
      <w:r w:rsidR="00C54644">
        <w:rPr>
          <w:bCs/>
        </w:rPr>
        <w:t xml:space="preserve"> is when researchers examine the relationship between two variables.  M</w:t>
      </w:r>
      <w:r w:rsidR="00C54644" w:rsidRPr="00C54644">
        <w:rPr>
          <w:bCs/>
        </w:rPr>
        <w:t>ultivariate</w:t>
      </w:r>
      <w:r w:rsidR="00C54644">
        <w:rPr>
          <w:bCs/>
        </w:rPr>
        <w:t xml:space="preserve"> correlation is where the researchers </w:t>
      </w:r>
      <w:r w:rsidR="009B36DB">
        <w:rPr>
          <w:bCs/>
        </w:rPr>
        <w:t>examine</w:t>
      </w:r>
      <w:r w:rsidR="00C54644">
        <w:rPr>
          <w:bCs/>
        </w:rPr>
        <w:t xml:space="preserve"> the relationship between multiple variables</w:t>
      </w:r>
      <w:r w:rsidR="009B36DB">
        <w:rPr>
          <w:bCs/>
        </w:rPr>
        <w:t xml:space="preserve"> and in the case of multiple regression,</w:t>
      </w:r>
      <w:r w:rsidR="00C54644">
        <w:rPr>
          <w:bCs/>
        </w:rPr>
        <w:t xml:space="preserve"> where there are multiple independent variables that</w:t>
      </w:r>
      <w:r w:rsidR="009B36DB">
        <w:rPr>
          <w:bCs/>
        </w:rPr>
        <w:t xml:space="preserve"> may have an association with one dependent variable. Regression analysis is a powerful tool in economics and social sciences. However, there are assumptions that must be met </w:t>
      </w:r>
      <w:proofErr w:type="gramStart"/>
      <w:r w:rsidR="009B36DB">
        <w:rPr>
          <w:bCs/>
        </w:rPr>
        <w:t>in order to</w:t>
      </w:r>
      <w:proofErr w:type="gramEnd"/>
      <w:r w:rsidR="009B36DB">
        <w:rPr>
          <w:bCs/>
        </w:rPr>
        <w:t xml:space="preserve"> utilize regression analysis where there is much statistical logic built around the normal distribution.</w:t>
      </w:r>
    </w:p>
    <w:p w14:paraId="60AF2244" w14:textId="77777777" w:rsidR="000139D0" w:rsidRDefault="000139D0" w:rsidP="00E642F5">
      <w:pPr>
        <w:spacing w:line="480" w:lineRule="auto"/>
        <w:ind w:left="1440"/>
        <w:rPr>
          <w:bCs/>
        </w:rPr>
      </w:pPr>
    </w:p>
    <w:p w14:paraId="44CF278E" w14:textId="77777777" w:rsidR="00E743E2" w:rsidRDefault="00E743E2" w:rsidP="00E743E2">
      <w:pPr>
        <w:spacing w:line="480" w:lineRule="auto"/>
        <w:ind w:left="1440"/>
      </w:pPr>
    </w:p>
    <w:p w14:paraId="5A2D5EDB" w14:textId="7042DAD9" w:rsidR="00E743E2" w:rsidRDefault="00E743E2" w:rsidP="00E743E2">
      <w:pPr>
        <w:spacing w:line="480" w:lineRule="auto"/>
        <w:ind w:left="720"/>
      </w:pPr>
      <w:r>
        <w:rPr>
          <w:b/>
        </w:rPr>
        <w:t>Comment 11:</w:t>
      </w:r>
    </w:p>
    <w:p w14:paraId="199CE375" w14:textId="50055381" w:rsidR="00E743E2" w:rsidRDefault="00E743E2" w:rsidP="00E743E2">
      <w:pPr>
        <w:spacing w:line="480" w:lineRule="auto"/>
        <w:ind w:left="1440"/>
        <w:rPr>
          <w:b/>
        </w:rPr>
      </w:pPr>
      <w:r>
        <w:rPr>
          <w:b/>
        </w:rPr>
        <w:t>Quote/Paraphrase:</w:t>
      </w:r>
      <w:r w:rsidRPr="00043092">
        <w:t xml:space="preserve"> “</w:t>
      </w:r>
      <w:r w:rsidR="004A501C">
        <w:t xml:space="preserve">The inferential statistical procedures discussed in this book have been categorized as being parametric versus nonparametric tests. Some sources distinguish between parametric and nonparametric tests on the basis that parametric tests make specific assumptions </w:t>
      </w:r>
      <w:proofErr w:type="gramStart"/>
      <w:r w:rsidR="004A501C">
        <w:t>with regard to</w:t>
      </w:r>
      <w:proofErr w:type="gramEnd"/>
      <w:r w:rsidR="004A501C">
        <w:t xml:space="preserve"> one or more of the population parameters that characterize the underlying distribution(s) for which the test is employed. These same sources describe</w:t>
      </w:r>
      <w:r w:rsidR="004A501C" w:rsidRPr="004A501C">
        <w:t xml:space="preserve"> nonparametric</w:t>
      </w:r>
      <w:r w:rsidR="004A501C">
        <w:t xml:space="preserve"> tests (also referred to in some sources as distribution-free or assumption-free tests) as making no such assu</w:t>
      </w:r>
      <w:r w:rsidR="009B7838">
        <w:t xml:space="preserve">mptions about </w:t>
      </w:r>
      <w:r w:rsidR="00214EA0">
        <w:t>population</w:t>
      </w:r>
      <w:r w:rsidR="009B7838">
        <w:t xml:space="preserve"> parameters. In truth, nonparametric </w:t>
      </w:r>
      <w:r w:rsidR="009B7838">
        <w:lastRenderedPageBreak/>
        <w:t xml:space="preserve">tests are </w:t>
      </w:r>
      <w:proofErr w:type="gramStart"/>
      <w:r w:rsidR="009B7838">
        <w:t>really not</w:t>
      </w:r>
      <w:proofErr w:type="gramEnd"/>
      <w:r w:rsidR="009B7838">
        <w:t xml:space="preserve"> assumption free, and, in view of this, </w:t>
      </w:r>
      <w:proofErr w:type="spellStart"/>
      <w:r w:rsidR="009B7838">
        <w:t>Marascuilo</w:t>
      </w:r>
      <w:proofErr w:type="spellEnd"/>
      <w:r w:rsidR="009B7838">
        <w:t xml:space="preserve"> and McSweeney (1977) suggest that it might be more appropriate to employ the term “assumption </w:t>
      </w:r>
      <w:proofErr w:type="spellStart"/>
      <w:r w:rsidR="009B7838">
        <w:t>freeer</w:t>
      </w:r>
      <w:proofErr w:type="spellEnd"/>
      <w:r w:rsidR="009B7838">
        <w:t>” rather than nonparametric in relation to no such tests.</w:t>
      </w:r>
      <w:r>
        <w:t xml:space="preserve">” </w:t>
      </w:r>
      <w:r w:rsidR="004A501C">
        <w:t xml:space="preserve">(Sheskin,2011, p. </w:t>
      </w:r>
      <w:r w:rsidR="009B7838">
        <w:t>109</w:t>
      </w:r>
      <w:r w:rsidR="004A501C">
        <w:t>)</w:t>
      </w:r>
    </w:p>
    <w:p w14:paraId="32CEC88F" w14:textId="77777777" w:rsidR="00E743E2" w:rsidRDefault="00E743E2" w:rsidP="00E743E2">
      <w:pPr>
        <w:spacing w:line="480" w:lineRule="auto"/>
        <w:ind w:left="1440"/>
      </w:pPr>
    </w:p>
    <w:p w14:paraId="41F0F39C" w14:textId="58B910AF" w:rsidR="00E743E2" w:rsidRDefault="00E743E2" w:rsidP="00E743E2">
      <w:pPr>
        <w:spacing w:line="480" w:lineRule="auto"/>
        <w:ind w:left="1440"/>
        <w:rPr>
          <w:b/>
        </w:rPr>
      </w:pPr>
      <w:r>
        <w:rPr>
          <w:b/>
        </w:rPr>
        <w:t xml:space="preserve">Essential Element: </w:t>
      </w:r>
      <w:r w:rsidR="00F921EB" w:rsidRPr="00F921EB">
        <w:rPr>
          <w:bCs/>
        </w:rPr>
        <w:t>Parametric Statistics</w:t>
      </w:r>
      <w:r w:rsidR="00F921EB">
        <w:rPr>
          <w:bCs/>
        </w:rPr>
        <w:t xml:space="preserve">, </w:t>
      </w:r>
      <w:r w:rsidR="00654298" w:rsidRPr="00654298">
        <w:rPr>
          <w:bCs/>
        </w:rPr>
        <w:t>Nonparametric Statistics</w:t>
      </w:r>
    </w:p>
    <w:p w14:paraId="53BE8375" w14:textId="77777777" w:rsidR="00E743E2" w:rsidRDefault="00E743E2" w:rsidP="00E743E2">
      <w:pPr>
        <w:spacing w:line="480" w:lineRule="auto"/>
        <w:ind w:left="1440"/>
        <w:rPr>
          <w:b/>
        </w:rPr>
      </w:pPr>
    </w:p>
    <w:p w14:paraId="4EC60CE6" w14:textId="3CA935EE" w:rsidR="00E743E2" w:rsidRDefault="00E743E2" w:rsidP="00E743E2">
      <w:pPr>
        <w:spacing w:line="480" w:lineRule="auto"/>
        <w:ind w:left="1440"/>
        <w:rPr>
          <w:bCs/>
        </w:rPr>
      </w:pPr>
      <w:r>
        <w:rPr>
          <w:b/>
        </w:rPr>
        <w:t xml:space="preserve">Additive/Variant Analysis: </w:t>
      </w:r>
      <w:r>
        <w:rPr>
          <w:bCs/>
        </w:rPr>
        <w:t xml:space="preserve">This </w:t>
      </w:r>
      <w:r w:rsidR="00BF6E45">
        <w:rPr>
          <w:bCs/>
        </w:rPr>
        <w:t>quote addresses the different assumptions between parametric and nonparametric tests, which is additive to my understanding of parametric and nonparametric statistics.</w:t>
      </w:r>
    </w:p>
    <w:p w14:paraId="1EE9B4E4" w14:textId="77777777" w:rsidR="00E743E2" w:rsidRDefault="00E743E2" w:rsidP="00E743E2">
      <w:pPr>
        <w:spacing w:line="480" w:lineRule="auto"/>
      </w:pPr>
    </w:p>
    <w:p w14:paraId="06CD406F" w14:textId="76799B7D" w:rsidR="00E743E2" w:rsidRDefault="00E743E2" w:rsidP="00E743E2">
      <w:pPr>
        <w:spacing w:line="480" w:lineRule="auto"/>
        <w:ind w:left="1440"/>
        <w:rPr>
          <w:bCs/>
        </w:rPr>
      </w:pPr>
      <w:r>
        <w:rPr>
          <w:b/>
        </w:rPr>
        <w:t xml:space="preserve">Contextualization: </w:t>
      </w:r>
      <w:r w:rsidR="00B23396">
        <w:rPr>
          <w:bCs/>
        </w:rPr>
        <w:t xml:space="preserve">This is an informative section within the text, where the author discusses that nonparametric </w:t>
      </w:r>
      <w:r w:rsidR="00A63D43">
        <w:rPr>
          <w:bCs/>
        </w:rPr>
        <w:t>test</w:t>
      </w:r>
      <w:r w:rsidR="00B23396">
        <w:rPr>
          <w:bCs/>
        </w:rPr>
        <w:t xml:space="preserve"> statistics are not totally free from assumptions about the data but are rather “assumption free” than parametric statistics</w:t>
      </w:r>
      <w:r>
        <w:rPr>
          <w:bCs/>
        </w:rPr>
        <w:t>.</w:t>
      </w:r>
      <w:r w:rsidR="00A63D43">
        <w:rPr>
          <w:bCs/>
        </w:rPr>
        <w:t xml:space="preserve"> This is important to keep in mind to ensure that the appropriate statistics are being used for the appropriate circumstances. We as researchers need to ensure we understand the statistics we intend to use and to know about any short comings surrounding the statistics we use. </w:t>
      </w:r>
    </w:p>
    <w:p w14:paraId="756C2E11" w14:textId="77777777" w:rsidR="000139D0" w:rsidRDefault="000139D0" w:rsidP="00E642F5">
      <w:pPr>
        <w:spacing w:line="480" w:lineRule="auto"/>
        <w:ind w:left="1440"/>
        <w:rPr>
          <w:bCs/>
        </w:rPr>
      </w:pPr>
    </w:p>
    <w:p w14:paraId="4A94CE9D" w14:textId="377E7E8B" w:rsidR="00E743E2" w:rsidRDefault="00E743E2" w:rsidP="00E743E2">
      <w:pPr>
        <w:spacing w:line="480" w:lineRule="auto"/>
        <w:ind w:left="720"/>
      </w:pPr>
      <w:r>
        <w:rPr>
          <w:b/>
        </w:rPr>
        <w:t>Comment 12:</w:t>
      </w:r>
    </w:p>
    <w:p w14:paraId="49C74CC1" w14:textId="406CEC6A" w:rsidR="00E743E2" w:rsidRDefault="00E743E2" w:rsidP="00E743E2">
      <w:pPr>
        <w:spacing w:line="480" w:lineRule="auto"/>
        <w:ind w:left="1440"/>
        <w:rPr>
          <w:b/>
        </w:rPr>
      </w:pPr>
      <w:r>
        <w:rPr>
          <w:b/>
        </w:rPr>
        <w:t>Quote/Paraphrase:</w:t>
      </w:r>
      <w:r w:rsidRPr="00043092">
        <w:t xml:space="preserve"> “</w:t>
      </w:r>
      <w:r w:rsidR="002E4C4F">
        <w:t xml:space="preserve">Quasi-experimental designs Since they do not rule out the possible influence of all extraneous variables, quasi-experimental designs are also subject to confounding, and thus may lack internal validity. </w:t>
      </w:r>
      <w:r w:rsidR="002E4C4F" w:rsidRPr="002E4C4F">
        <w:t xml:space="preserve">Quasi-experimental </w:t>
      </w:r>
      <w:r w:rsidR="002E4C4F" w:rsidRPr="002E4C4F">
        <w:lastRenderedPageBreak/>
        <w:t>designs</w:t>
      </w:r>
      <w:r w:rsidR="002E4C4F">
        <w:t xml:space="preserve">, however, rule out more extraneous variables than pre-experimental designs. Because of the </w:t>
      </w:r>
      <w:proofErr w:type="gramStart"/>
      <w:r w:rsidR="002E4C4F">
        <w:t>later</w:t>
      </w:r>
      <w:proofErr w:type="gramEnd"/>
      <w:r w:rsidR="002E4C4F">
        <w:t>, q</w:t>
      </w:r>
      <w:r w:rsidR="002E4C4F" w:rsidRPr="002E4C4F">
        <w:t>uasi-experimental designs</w:t>
      </w:r>
      <w:r w:rsidR="002E4C4F">
        <w:t xml:space="preserve"> are preferable to employ when practical and/or ethical considerations do not permit a researcher to evaluate a hypothesis through use of a true experimental design. In most instances, lack of random assignment of subjects is responsible for compromising the internal validity of a </w:t>
      </w:r>
      <w:r w:rsidR="002E4C4F" w:rsidRPr="002E4C4F">
        <w:t>quasi-experimental designs</w:t>
      </w:r>
      <w:r w:rsidR="002E4C4F">
        <w:t xml:space="preserve">.” </w:t>
      </w:r>
      <w:r w:rsidR="004A501C" w:rsidRPr="004A501C">
        <w:t>(Sheskin,2011, p. 8</w:t>
      </w:r>
      <w:r w:rsidR="002E4C4F">
        <w:t>9</w:t>
      </w:r>
      <w:r w:rsidR="004A501C" w:rsidRPr="004A501C">
        <w:t>)</w:t>
      </w:r>
    </w:p>
    <w:p w14:paraId="7DD85B48" w14:textId="77777777" w:rsidR="00E743E2" w:rsidRDefault="00E743E2" w:rsidP="00E743E2">
      <w:pPr>
        <w:spacing w:line="480" w:lineRule="auto"/>
        <w:ind w:left="1440"/>
      </w:pPr>
    </w:p>
    <w:p w14:paraId="7032CAD2" w14:textId="7281A9C7" w:rsidR="00E743E2" w:rsidRDefault="00E743E2" w:rsidP="00E743E2">
      <w:pPr>
        <w:spacing w:line="480" w:lineRule="auto"/>
        <w:ind w:left="1440"/>
        <w:rPr>
          <w:b/>
        </w:rPr>
      </w:pPr>
      <w:r>
        <w:rPr>
          <w:b/>
        </w:rPr>
        <w:t xml:space="preserve">Essential Element: </w:t>
      </w:r>
      <w:r w:rsidR="00654298" w:rsidRPr="00654298">
        <w:rPr>
          <w:bCs/>
        </w:rPr>
        <w:t>Parametric Statistics, Nonparametric Statistics</w:t>
      </w:r>
    </w:p>
    <w:p w14:paraId="679BC941" w14:textId="77777777" w:rsidR="00E743E2" w:rsidRDefault="00E743E2" w:rsidP="00E743E2">
      <w:pPr>
        <w:spacing w:line="480" w:lineRule="auto"/>
        <w:ind w:left="1440"/>
        <w:rPr>
          <w:b/>
        </w:rPr>
      </w:pPr>
    </w:p>
    <w:p w14:paraId="5E84C343" w14:textId="5AB69F0B" w:rsidR="00E743E2" w:rsidRDefault="00E743E2" w:rsidP="00E743E2">
      <w:pPr>
        <w:spacing w:line="480" w:lineRule="auto"/>
        <w:ind w:left="1440"/>
        <w:rPr>
          <w:bCs/>
        </w:rPr>
      </w:pPr>
      <w:r>
        <w:rPr>
          <w:b/>
        </w:rPr>
        <w:t xml:space="preserve">Additive/Variant Analysis: </w:t>
      </w:r>
      <w:r>
        <w:rPr>
          <w:bCs/>
        </w:rPr>
        <w:t xml:space="preserve">This quote </w:t>
      </w:r>
      <w:r w:rsidR="00CC5DCF">
        <w:rPr>
          <w:bCs/>
        </w:rPr>
        <w:t xml:space="preserve">informs us of the distinctions between true experimental design and quasi-experimental design namely random assignment of participants to different groups and the use of control groups. This is additive to my understanding of </w:t>
      </w:r>
      <w:r w:rsidR="00CC5DCF" w:rsidRPr="00CC5DCF">
        <w:rPr>
          <w:bCs/>
        </w:rPr>
        <w:t>true experimental design and quasi-experimental design</w:t>
      </w:r>
      <w:r w:rsidR="00CC5DCF">
        <w:rPr>
          <w:bCs/>
        </w:rPr>
        <w:t>.</w:t>
      </w:r>
    </w:p>
    <w:p w14:paraId="2643DCD3" w14:textId="77777777" w:rsidR="00E743E2" w:rsidRDefault="00E743E2" w:rsidP="00E743E2">
      <w:pPr>
        <w:spacing w:line="480" w:lineRule="auto"/>
      </w:pPr>
    </w:p>
    <w:p w14:paraId="147B4B52" w14:textId="569EB5F8" w:rsidR="00E743E2" w:rsidRDefault="00E743E2" w:rsidP="00E743E2">
      <w:pPr>
        <w:spacing w:line="480" w:lineRule="auto"/>
        <w:ind w:left="1440"/>
        <w:rPr>
          <w:bCs/>
        </w:rPr>
      </w:pPr>
      <w:r>
        <w:rPr>
          <w:b/>
        </w:rPr>
        <w:t xml:space="preserve">Contextualization: </w:t>
      </w:r>
      <w:r>
        <w:rPr>
          <w:bCs/>
        </w:rPr>
        <w:t>I</w:t>
      </w:r>
      <w:r w:rsidR="00846E06">
        <w:rPr>
          <w:bCs/>
        </w:rPr>
        <w:t xml:space="preserve"> know it is a gold standard in research to have true </w:t>
      </w:r>
      <w:r w:rsidR="00846E06" w:rsidRPr="00846E06">
        <w:rPr>
          <w:bCs/>
        </w:rPr>
        <w:t>experimental design</w:t>
      </w:r>
      <w:r w:rsidR="00151236">
        <w:rPr>
          <w:bCs/>
        </w:rPr>
        <w:t xml:space="preserve">, however in social science research, I do not find that we should want a true experimental design, because what it entails is that we manipulate the social setting to where it no longer represents social reality in order to have ‘valid’ results that are not valid because we are no longer measure the social phenomena, but a synthetic construction of a real social phenomena. As social science researchers, we should be seeking natural experiments that are </w:t>
      </w:r>
      <w:r w:rsidR="00151236">
        <w:rPr>
          <w:bCs/>
        </w:rPr>
        <w:lastRenderedPageBreak/>
        <w:t>taking place in the real world. Admittedly, these natural experiments are challenging to find because we don’t typically think in such ways.</w:t>
      </w:r>
    </w:p>
    <w:p w14:paraId="3207C275" w14:textId="77777777" w:rsidR="00C445C9" w:rsidRDefault="00C445C9" w:rsidP="00AF4008">
      <w:pPr>
        <w:spacing w:line="480" w:lineRule="auto"/>
        <w:ind w:left="1440"/>
        <w:rPr>
          <w:bCs/>
        </w:rPr>
      </w:pPr>
    </w:p>
    <w:p w14:paraId="20F3A8D6" w14:textId="77777777" w:rsidR="00592470" w:rsidRDefault="00592470" w:rsidP="00C445C9">
      <w:pPr>
        <w:spacing w:line="480" w:lineRule="auto"/>
        <w:ind w:left="1440"/>
        <w:rPr>
          <w:bCs/>
        </w:rPr>
      </w:pPr>
    </w:p>
    <w:p w14:paraId="3A60A9D8" w14:textId="77777777" w:rsidR="00592470" w:rsidRDefault="00592470" w:rsidP="00C445C9">
      <w:pPr>
        <w:spacing w:line="480" w:lineRule="auto"/>
        <w:ind w:left="1440"/>
        <w:rPr>
          <w:bCs/>
        </w:rPr>
      </w:pPr>
    </w:p>
    <w:p w14:paraId="78B985CD" w14:textId="77777777" w:rsidR="00592470" w:rsidRDefault="00592470" w:rsidP="00C445C9">
      <w:pPr>
        <w:spacing w:line="480" w:lineRule="auto"/>
        <w:ind w:left="1440"/>
        <w:rPr>
          <w:bCs/>
        </w:rPr>
      </w:pPr>
    </w:p>
    <w:p w14:paraId="72F9862E" w14:textId="77777777" w:rsidR="00592470" w:rsidRDefault="00592470" w:rsidP="00C445C9">
      <w:pPr>
        <w:spacing w:line="480" w:lineRule="auto"/>
        <w:ind w:left="1440"/>
        <w:rPr>
          <w:bCs/>
        </w:rPr>
      </w:pPr>
    </w:p>
    <w:p w14:paraId="592EC833" w14:textId="77777777" w:rsidR="00592470" w:rsidRDefault="00592470" w:rsidP="00C445C9">
      <w:pPr>
        <w:spacing w:line="480" w:lineRule="auto"/>
        <w:ind w:left="1440"/>
        <w:rPr>
          <w:bCs/>
        </w:rPr>
      </w:pPr>
    </w:p>
    <w:p w14:paraId="45ABFE6A" w14:textId="77777777" w:rsidR="00592470" w:rsidRDefault="00592470" w:rsidP="00C445C9">
      <w:pPr>
        <w:spacing w:line="480" w:lineRule="auto"/>
        <w:ind w:left="1440"/>
        <w:rPr>
          <w:bCs/>
        </w:rPr>
      </w:pPr>
    </w:p>
    <w:p w14:paraId="66680001" w14:textId="77777777" w:rsidR="00592470" w:rsidRDefault="00592470" w:rsidP="00C445C9">
      <w:pPr>
        <w:spacing w:line="480" w:lineRule="auto"/>
        <w:ind w:left="1440"/>
        <w:rPr>
          <w:bCs/>
        </w:rPr>
      </w:pPr>
    </w:p>
    <w:p w14:paraId="11B6E00B" w14:textId="77777777" w:rsidR="00592470" w:rsidRDefault="00592470" w:rsidP="00C445C9">
      <w:pPr>
        <w:spacing w:line="480" w:lineRule="auto"/>
        <w:ind w:left="1440"/>
        <w:rPr>
          <w:bCs/>
        </w:rPr>
      </w:pPr>
    </w:p>
    <w:p w14:paraId="1ADD7B83" w14:textId="77777777" w:rsidR="00592470" w:rsidRDefault="00592470" w:rsidP="00C445C9">
      <w:pPr>
        <w:spacing w:line="480" w:lineRule="auto"/>
        <w:ind w:left="1440"/>
        <w:rPr>
          <w:bCs/>
        </w:rPr>
      </w:pPr>
    </w:p>
    <w:p w14:paraId="26015D34" w14:textId="2FBDAE89" w:rsidR="00C445C9" w:rsidRDefault="00592470" w:rsidP="00C445C9">
      <w:pPr>
        <w:spacing w:line="480" w:lineRule="auto"/>
        <w:ind w:left="1440"/>
        <w:rPr>
          <w:bCs/>
        </w:rPr>
      </w:pPr>
      <w:r>
        <w:rPr>
          <w:bCs/>
        </w:rPr>
        <w:t xml:space="preserve"> </w:t>
      </w:r>
    </w:p>
    <w:p w14:paraId="0D2D8F18" w14:textId="77777777" w:rsidR="001D5609" w:rsidRDefault="001D5609" w:rsidP="00AF4008">
      <w:pPr>
        <w:spacing w:line="480" w:lineRule="auto"/>
        <w:ind w:left="1440"/>
        <w:rPr>
          <w:b/>
        </w:rPr>
      </w:pPr>
    </w:p>
    <w:p w14:paraId="4CA9C065" w14:textId="77777777" w:rsidR="00151236" w:rsidRDefault="00151236" w:rsidP="00AF4008">
      <w:pPr>
        <w:spacing w:line="480" w:lineRule="auto"/>
        <w:ind w:left="1440"/>
        <w:rPr>
          <w:b/>
        </w:rPr>
      </w:pPr>
    </w:p>
    <w:p w14:paraId="5EDE376C" w14:textId="77777777" w:rsidR="00151236" w:rsidRDefault="00151236" w:rsidP="00AF4008">
      <w:pPr>
        <w:spacing w:line="480" w:lineRule="auto"/>
        <w:ind w:left="1440"/>
        <w:rPr>
          <w:b/>
        </w:rPr>
      </w:pPr>
    </w:p>
    <w:p w14:paraId="58CC75A6" w14:textId="77777777" w:rsidR="00151236" w:rsidRDefault="00151236" w:rsidP="00AF4008">
      <w:pPr>
        <w:spacing w:line="480" w:lineRule="auto"/>
        <w:ind w:left="1440"/>
        <w:rPr>
          <w:b/>
        </w:rPr>
      </w:pPr>
    </w:p>
    <w:p w14:paraId="0A9BC5F7" w14:textId="77777777" w:rsidR="00151236" w:rsidRDefault="00151236" w:rsidP="00AF4008">
      <w:pPr>
        <w:spacing w:line="480" w:lineRule="auto"/>
        <w:ind w:left="1440"/>
        <w:rPr>
          <w:b/>
        </w:rPr>
      </w:pPr>
    </w:p>
    <w:p w14:paraId="2EC4B724" w14:textId="77777777" w:rsidR="00151236" w:rsidRDefault="00151236" w:rsidP="00AF4008">
      <w:pPr>
        <w:spacing w:line="480" w:lineRule="auto"/>
        <w:ind w:left="1440"/>
        <w:rPr>
          <w:b/>
        </w:rPr>
      </w:pPr>
    </w:p>
    <w:p w14:paraId="2000FBA9" w14:textId="77777777" w:rsidR="00151236" w:rsidRDefault="00151236" w:rsidP="00AF4008">
      <w:pPr>
        <w:spacing w:line="480" w:lineRule="auto"/>
        <w:ind w:left="1440"/>
        <w:rPr>
          <w:b/>
        </w:rPr>
      </w:pPr>
    </w:p>
    <w:p w14:paraId="3F57B6C2" w14:textId="77777777" w:rsidR="00151236" w:rsidRDefault="00151236" w:rsidP="00AF4008">
      <w:pPr>
        <w:spacing w:line="480" w:lineRule="auto"/>
        <w:ind w:left="1440"/>
        <w:rPr>
          <w:b/>
        </w:rPr>
      </w:pPr>
    </w:p>
    <w:p w14:paraId="779ACDFC" w14:textId="77777777" w:rsidR="00151236" w:rsidRDefault="00151236" w:rsidP="00AF4008">
      <w:pPr>
        <w:spacing w:line="480" w:lineRule="auto"/>
        <w:ind w:left="1440"/>
        <w:rPr>
          <w:b/>
        </w:rPr>
      </w:pPr>
    </w:p>
    <w:p w14:paraId="2A73434B" w14:textId="77777777" w:rsidR="00151236" w:rsidRPr="00AF4008" w:rsidRDefault="00151236" w:rsidP="00AF4008">
      <w:pPr>
        <w:spacing w:line="480" w:lineRule="auto"/>
        <w:ind w:left="1440"/>
        <w:rPr>
          <w:b/>
        </w:rPr>
      </w:pPr>
    </w:p>
    <w:p w14:paraId="63A1E6C3" w14:textId="76987C5E" w:rsidR="0069055E" w:rsidRDefault="00000000" w:rsidP="0069055E">
      <w:pPr>
        <w:spacing w:line="480" w:lineRule="auto"/>
        <w:jc w:val="center"/>
        <w:rPr>
          <w:b/>
        </w:rPr>
      </w:pPr>
      <w:r>
        <w:rPr>
          <w:b/>
        </w:rPr>
        <w:lastRenderedPageBreak/>
        <w:t>Works Cited</w:t>
      </w:r>
    </w:p>
    <w:p w14:paraId="2342F1E2" w14:textId="77777777" w:rsidR="0069055E" w:rsidRDefault="0069055E" w:rsidP="0069055E">
      <w:pPr>
        <w:spacing w:line="480" w:lineRule="auto"/>
        <w:ind w:hanging="480"/>
        <w:rPr>
          <w:color w:val="0000FF"/>
          <w:u w:val="single"/>
        </w:rPr>
      </w:pPr>
      <w:bookmarkStart w:id="13" w:name="_Hlk165119832"/>
      <w:r w:rsidRPr="00EB60F9">
        <w:t xml:space="preserve">Curl, C. L., Meierotto, L., Castellano, R. L. S., Spivak, M. R., &amp; Kannan, K. (2021). Measurement of </w:t>
      </w:r>
      <w:r>
        <w:t>U</w:t>
      </w:r>
      <w:r w:rsidRPr="00EB60F9">
        <w:t xml:space="preserve">rinary </w:t>
      </w:r>
      <w:r>
        <w:t>P</w:t>
      </w:r>
      <w:r w:rsidRPr="00EB60F9">
        <w:t xml:space="preserve">esticide </w:t>
      </w:r>
      <w:r>
        <w:t>B</w:t>
      </w:r>
      <w:r w:rsidRPr="00EB60F9">
        <w:t xml:space="preserve">iomarkers </w:t>
      </w:r>
      <w:r>
        <w:t>A</w:t>
      </w:r>
      <w:r w:rsidRPr="00EB60F9">
        <w:t xml:space="preserve">mong Latina </w:t>
      </w:r>
      <w:r>
        <w:t>F</w:t>
      </w:r>
      <w:r w:rsidRPr="00EB60F9">
        <w:t xml:space="preserve">armworkers in </w:t>
      </w:r>
      <w:r>
        <w:t>S</w:t>
      </w:r>
      <w:r w:rsidRPr="00EB60F9">
        <w:t xml:space="preserve">outhwestern Idaho. </w:t>
      </w:r>
      <w:r w:rsidRPr="00EB60F9">
        <w:rPr>
          <w:i/>
          <w:iCs/>
        </w:rPr>
        <w:t>Journal of Exposure Science &amp; Environmental Epidemiology</w:t>
      </w:r>
      <w:r w:rsidRPr="00EB60F9">
        <w:t xml:space="preserve">, </w:t>
      </w:r>
      <w:r w:rsidRPr="00EB60F9">
        <w:rPr>
          <w:i/>
          <w:iCs/>
        </w:rPr>
        <w:t>31</w:t>
      </w:r>
      <w:r w:rsidRPr="00EB60F9">
        <w:t xml:space="preserve">(3), 538–548. </w:t>
      </w:r>
      <w:hyperlink r:id="rId14" w:history="1">
        <w:r w:rsidRPr="00EB60F9">
          <w:rPr>
            <w:color w:val="0000FF"/>
            <w:u w:val="single"/>
          </w:rPr>
          <w:t>https://doi.org/10.1038/s41370-020-00285-2</w:t>
        </w:r>
      </w:hyperlink>
    </w:p>
    <w:p w14:paraId="16757F1B" w14:textId="77777777" w:rsidR="0069055E" w:rsidRDefault="0069055E" w:rsidP="0069055E">
      <w:pPr>
        <w:spacing w:line="480" w:lineRule="auto"/>
        <w:ind w:hanging="480"/>
        <w:rPr>
          <w:color w:val="0000FF"/>
          <w:u w:val="single"/>
        </w:rPr>
      </w:pPr>
      <w:r w:rsidRPr="001F4B29">
        <w:t xml:space="preserve">Lee, S., McLaughlin, R., Harnly, M., </w:t>
      </w:r>
      <w:proofErr w:type="spellStart"/>
      <w:r w:rsidRPr="001F4B29">
        <w:t>Gunier</w:t>
      </w:r>
      <w:proofErr w:type="spellEnd"/>
      <w:r w:rsidRPr="001F4B29">
        <w:t xml:space="preserve">, R., &amp; Kreutzer, R. (2002). Community </w:t>
      </w:r>
      <w:r>
        <w:t>E</w:t>
      </w:r>
      <w:r w:rsidRPr="001F4B29">
        <w:t xml:space="preserve">xposures to </w:t>
      </w:r>
      <w:r>
        <w:t>A</w:t>
      </w:r>
      <w:r w:rsidRPr="001F4B29">
        <w:t xml:space="preserve">irborne </w:t>
      </w:r>
      <w:r>
        <w:t>A</w:t>
      </w:r>
      <w:r w:rsidRPr="001F4B29">
        <w:t xml:space="preserve">gricultural </w:t>
      </w:r>
      <w:r>
        <w:t>P</w:t>
      </w:r>
      <w:r w:rsidRPr="001F4B29">
        <w:t xml:space="preserve">esticides in California: Ranking of </w:t>
      </w:r>
      <w:r>
        <w:t>I</w:t>
      </w:r>
      <w:r w:rsidRPr="001F4B29">
        <w:t xml:space="preserve">nhalation </w:t>
      </w:r>
      <w:r>
        <w:t>R</w:t>
      </w:r>
      <w:r w:rsidRPr="001F4B29">
        <w:t xml:space="preserve">isks. </w:t>
      </w:r>
      <w:r w:rsidRPr="001F4B29">
        <w:rPr>
          <w:i/>
          <w:iCs/>
        </w:rPr>
        <w:t>Environmental Health Perspectives</w:t>
      </w:r>
      <w:r w:rsidRPr="001F4B29">
        <w:t xml:space="preserve">, </w:t>
      </w:r>
      <w:r w:rsidRPr="001F4B29">
        <w:rPr>
          <w:i/>
          <w:iCs/>
        </w:rPr>
        <w:t>110</w:t>
      </w:r>
      <w:r w:rsidRPr="001F4B29">
        <w:t xml:space="preserve">(12), 1175–1184. </w:t>
      </w:r>
      <w:hyperlink r:id="rId15" w:history="1">
        <w:r w:rsidRPr="001F4B29">
          <w:rPr>
            <w:color w:val="0000FF"/>
            <w:u w:val="single"/>
          </w:rPr>
          <w:t>https://doi.org/10.1289/ehp.021101175</w:t>
        </w:r>
      </w:hyperlink>
    </w:p>
    <w:p w14:paraId="1573E8F4" w14:textId="51351DF1" w:rsidR="0069055E" w:rsidRDefault="0069055E" w:rsidP="0069055E">
      <w:pPr>
        <w:spacing w:line="480" w:lineRule="auto"/>
        <w:ind w:hanging="480"/>
        <w:rPr>
          <w:color w:val="0000FF"/>
          <w:u w:val="single"/>
        </w:rPr>
      </w:pPr>
      <w:r w:rsidRPr="006E2E54">
        <w:t xml:space="preserve">López-Gálvez, N., Wagoner, R., Canales, R. A., Ernst, K., Burgess, J. L., De Zapien, J., Rosales, C., &amp; Beamer, P. (2021). Longitudinal </w:t>
      </w:r>
      <w:r>
        <w:t>A</w:t>
      </w:r>
      <w:r w:rsidRPr="006E2E54">
        <w:t xml:space="preserve">ssessment of </w:t>
      </w:r>
      <w:r>
        <w:t>K</w:t>
      </w:r>
      <w:r w:rsidRPr="006E2E54">
        <w:t xml:space="preserve">idney </w:t>
      </w:r>
      <w:r>
        <w:t>F</w:t>
      </w:r>
      <w:r w:rsidRPr="006E2E54">
        <w:t xml:space="preserve">unction in </w:t>
      </w:r>
      <w:r>
        <w:t>M</w:t>
      </w:r>
      <w:r w:rsidRPr="006E2E54">
        <w:t xml:space="preserve">igrant </w:t>
      </w:r>
      <w:r>
        <w:t>F</w:t>
      </w:r>
      <w:r w:rsidRPr="006E2E54">
        <w:t xml:space="preserve">arm </w:t>
      </w:r>
      <w:r>
        <w:t>W</w:t>
      </w:r>
      <w:r w:rsidRPr="006E2E54">
        <w:t xml:space="preserve">orkers. </w:t>
      </w:r>
      <w:r w:rsidRPr="006E2E54">
        <w:rPr>
          <w:i/>
          <w:iCs/>
        </w:rPr>
        <w:t>Environmental Research</w:t>
      </w:r>
      <w:r w:rsidRPr="006E2E54">
        <w:t xml:space="preserve">, </w:t>
      </w:r>
      <w:r w:rsidRPr="006E2E54">
        <w:rPr>
          <w:i/>
          <w:iCs/>
        </w:rPr>
        <w:t>202</w:t>
      </w:r>
      <w:r w:rsidRPr="006E2E54">
        <w:t xml:space="preserve">, 111686. </w:t>
      </w:r>
      <w:hyperlink r:id="rId16" w:history="1">
        <w:r w:rsidRPr="006E2E54">
          <w:rPr>
            <w:color w:val="0000FF"/>
            <w:u w:val="single"/>
          </w:rPr>
          <w:t>https://doi.org/10.1016/j.envres.2021.111686</w:t>
        </w:r>
      </w:hyperlink>
    </w:p>
    <w:p w14:paraId="4CD8B090" w14:textId="794FE5D5" w:rsidR="00BF2B61" w:rsidRDefault="00BF2B61" w:rsidP="00AF793F">
      <w:pPr>
        <w:spacing w:line="480" w:lineRule="auto"/>
        <w:ind w:hanging="480"/>
        <w:rPr>
          <w:i/>
          <w:iCs/>
        </w:rPr>
      </w:pPr>
      <w:r w:rsidRPr="001B32C9">
        <w:t>Min, R. N. J.</w:t>
      </w:r>
      <w:r>
        <w:t>, 2022</w:t>
      </w:r>
      <w:r w:rsidRPr="001B32C9">
        <w:t xml:space="preserve"> Heat, Health and Central Valley Agricultural Populations: Examining Farmworker Vulnerability to Emerging Health Threats of Global Warming.</w:t>
      </w:r>
      <w:r w:rsidRPr="003209E6">
        <w:t xml:space="preserve"> </w:t>
      </w:r>
      <w:r w:rsidRPr="006245F7">
        <w:rPr>
          <w:i/>
          <w:iCs/>
        </w:rPr>
        <w:t xml:space="preserve">Vulnerability to </w:t>
      </w:r>
      <w:r>
        <w:rPr>
          <w:i/>
          <w:iCs/>
        </w:rPr>
        <w:t>E</w:t>
      </w:r>
      <w:r w:rsidRPr="006245F7">
        <w:rPr>
          <w:i/>
          <w:iCs/>
        </w:rPr>
        <w:t xml:space="preserve">merging </w:t>
      </w:r>
      <w:r>
        <w:rPr>
          <w:i/>
          <w:iCs/>
        </w:rPr>
        <w:t>H</w:t>
      </w:r>
      <w:r w:rsidRPr="006245F7">
        <w:rPr>
          <w:i/>
          <w:iCs/>
        </w:rPr>
        <w:t xml:space="preserve">ealth </w:t>
      </w:r>
      <w:r>
        <w:rPr>
          <w:i/>
          <w:iCs/>
        </w:rPr>
        <w:t>T</w:t>
      </w:r>
      <w:r w:rsidRPr="006245F7">
        <w:rPr>
          <w:i/>
          <w:iCs/>
        </w:rPr>
        <w:t xml:space="preserve">hreats of </w:t>
      </w:r>
      <w:r>
        <w:rPr>
          <w:i/>
          <w:iCs/>
        </w:rPr>
        <w:t>G</w:t>
      </w:r>
      <w:r w:rsidRPr="006245F7">
        <w:rPr>
          <w:i/>
          <w:iCs/>
        </w:rPr>
        <w:t xml:space="preserve">lobal </w:t>
      </w:r>
      <w:r>
        <w:rPr>
          <w:i/>
          <w:iCs/>
        </w:rPr>
        <w:t>W</w:t>
      </w:r>
      <w:r w:rsidRPr="006245F7">
        <w:rPr>
          <w:i/>
          <w:iCs/>
        </w:rPr>
        <w:t>arming</w:t>
      </w:r>
    </w:p>
    <w:p w14:paraId="354422BD" w14:textId="160A556A" w:rsidR="00FC27C4" w:rsidRDefault="00A70C39" w:rsidP="006D2A8B">
      <w:pPr>
        <w:spacing w:line="480" w:lineRule="auto"/>
        <w:ind w:hanging="480"/>
        <w:rPr>
          <w:color w:val="0000FF"/>
          <w:u w:val="single"/>
        </w:rPr>
      </w:pPr>
      <w:r w:rsidRPr="00EB60F9">
        <w:t xml:space="preserve">Mizelle, E., Larson, K. L., Bolin, L. P., &amp; Kearney, G. D. (2022). Fluid Intake and Hydration Status Among North Carolina Farmworkers: A Mixed Methods Study. </w:t>
      </w:r>
      <w:r w:rsidRPr="00EB60F9">
        <w:rPr>
          <w:i/>
          <w:iCs/>
        </w:rPr>
        <w:t>Workplace Health &amp; Safety</w:t>
      </w:r>
      <w:r w:rsidRPr="00EB60F9">
        <w:t xml:space="preserve">, </w:t>
      </w:r>
      <w:r w:rsidRPr="00EB60F9">
        <w:rPr>
          <w:i/>
          <w:iCs/>
        </w:rPr>
        <w:t>70</w:t>
      </w:r>
      <w:r w:rsidRPr="00EB60F9">
        <w:t xml:space="preserve">(12), 532–541. </w:t>
      </w:r>
      <w:hyperlink r:id="rId17" w:history="1">
        <w:r w:rsidRPr="00EB60F9">
          <w:rPr>
            <w:color w:val="0000FF"/>
            <w:u w:val="single"/>
          </w:rPr>
          <w:t>https://doi.org/10.1177/21650799221117273</w:t>
        </w:r>
      </w:hyperlink>
    </w:p>
    <w:p w14:paraId="2B68DC4D" w14:textId="4D73949C" w:rsidR="00A70C39" w:rsidRPr="0069055E" w:rsidRDefault="0069055E" w:rsidP="0069055E">
      <w:pPr>
        <w:spacing w:line="480" w:lineRule="auto"/>
        <w:ind w:hanging="480"/>
        <w:rPr>
          <w:color w:val="0000FF"/>
          <w:u w:val="single"/>
        </w:rPr>
      </w:pPr>
      <w:r w:rsidRPr="007B09CE">
        <w:t>Shepherd-Banigan, M., Ulrich, A., &amp; Thompson, B. (2014). Macro-</w:t>
      </w:r>
      <w:r>
        <w:t>A</w:t>
      </w:r>
      <w:r w:rsidRPr="007B09CE">
        <w:t xml:space="preserve">ctivity </w:t>
      </w:r>
      <w:r>
        <w:t>P</w:t>
      </w:r>
      <w:r w:rsidRPr="007B09CE">
        <w:t xml:space="preserve">atterns of </w:t>
      </w:r>
      <w:r>
        <w:t>F</w:t>
      </w:r>
      <w:r w:rsidRPr="007B09CE">
        <w:t xml:space="preserve">armworker and </w:t>
      </w:r>
      <w:r>
        <w:t>N</w:t>
      </w:r>
      <w:r w:rsidRPr="007B09CE">
        <w:t>on-</w:t>
      </w:r>
      <w:r>
        <w:t>F</w:t>
      </w:r>
      <w:r w:rsidRPr="007B09CE">
        <w:t xml:space="preserve">armworker </w:t>
      </w:r>
      <w:r>
        <w:t>C</w:t>
      </w:r>
      <w:r w:rsidRPr="007B09CE">
        <w:t xml:space="preserve">hildren </w:t>
      </w:r>
      <w:r>
        <w:t>L</w:t>
      </w:r>
      <w:r w:rsidRPr="007B09CE">
        <w:t xml:space="preserve">iving in an </w:t>
      </w:r>
      <w:r>
        <w:t>A</w:t>
      </w:r>
      <w:r w:rsidRPr="007B09CE">
        <w:t xml:space="preserve">gricultural </w:t>
      </w:r>
      <w:r>
        <w:t>C</w:t>
      </w:r>
      <w:r w:rsidRPr="007B09CE">
        <w:t xml:space="preserve">ommunity. </w:t>
      </w:r>
      <w:r w:rsidRPr="007B09CE">
        <w:rPr>
          <w:i/>
          <w:iCs/>
        </w:rPr>
        <w:t>Environmental Research</w:t>
      </w:r>
      <w:r w:rsidRPr="007B09CE">
        <w:t xml:space="preserve">, </w:t>
      </w:r>
      <w:r w:rsidRPr="007B09CE">
        <w:rPr>
          <w:i/>
          <w:iCs/>
        </w:rPr>
        <w:t>132</w:t>
      </w:r>
      <w:r w:rsidRPr="007B09CE">
        <w:t xml:space="preserve">, 176–181. </w:t>
      </w:r>
      <w:hyperlink r:id="rId18" w:history="1">
        <w:r w:rsidRPr="007B09CE">
          <w:rPr>
            <w:color w:val="0000FF"/>
            <w:u w:val="single"/>
          </w:rPr>
          <w:t>https://doi.org/10.1016/j.envres.2014.04.001</w:t>
        </w:r>
      </w:hyperlink>
    </w:p>
    <w:p w14:paraId="50D8E3CF" w14:textId="0B311FAA" w:rsidR="00A70C39" w:rsidRDefault="00A70C39" w:rsidP="006D2A8B">
      <w:pPr>
        <w:spacing w:line="480" w:lineRule="auto"/>
        <w:ind w:hanging="480"/>
        <w:rPr>
          <w:color w:val="0000FF"/>
          <w:u w:val="single"/>
        </w:rPr>
      </w:pPr>
      <w:proofErr w:type="spellStart"/>
      <w:r w:rsidRPr="006B6088">
        <w:t>Sheskin</w:t>
      </w:r>
      <w:proofErr w:type="spellEnd"/>
      <w:r w:rsidR="0069055E">
        <w:t>,</w:t>
      </w:r>
      <w:r w:rsidRPr="006B6088">
        <w:t xml:space="preserve"> D. J. (20</w:t>
      </w:r>
      <w:r>
        <w:t>11</w:t>
      </w:r>
      <w:r w:rsidRPr="006B6088">
        <w:t xml:space="preserve">). </w:t>
      </w:r>
      <w:r w:rsidRPr="00A70C39">
        <w:rPr>
          <w:i/>
          <w:iCs/>
        </w:rPr>
        <w:t>Handbook of Parametric and Nonparametric Statistical Procedures</w:t>
      </w:r>
      <w:r w:rsidRPr="006B6088">
        <w:t xml:space="preserve">. Chapman and </w:t>
      </w:r>
      <w:r>
        <w:t>Hall</w:t>
      </w:r>
      <w:r w:rsidRPr="006B6088">
        <w:t>/CRC.</w:t>
      </w:r>
    </w:p>
    <w:p w14:paraId="00DE9C88" w14:textId="4722421C" w:rsidR="00A70C39" w:rsidRDefault="0069055E" w:rsidP="006D2A8B">
      <w:pPr>
        <w:spacing w:line="480" w:lineRule="auto"/>
        <w:ind w:hanging="480"/>
      </w:pPr>
      <w:r w:rsidRPr="00B71078">
        <w:rPr>
          <w:bCs/>
        </w:rPr>
        <w:lastRenderedPageBreak/>
        <w:t>Terrell, S. R. (2021). </w:t>
      </w:r>
      <w:r w:rsidRPr="00B71078">
        <w:rPr>
          <w:bCs/>
          <w:i/>
          <w:iCs/>
        </w:rPr>
        <w:t xml:space="preserve">Statistics </w:t>
      </w:r>
      <w:r>
        <w:rPr>
          <w:bCs/>
          <w:i/>
          <w:iCs/>
        </w:rPr>
        <w:t>T</w:t>
      </w:r>
      <w:r w:rsidRPr="00B71078">
        <w:rPr>
          <w:bCs/>
          <w:i/>
          <w:iCs/>
        </w:rPr>
        <w:t xml:space="preserve">ranslated: A </w:t>
      </w:r>
      <w:r>
        <w:rPr>
          <w:bCs/>
          <w:i/>
          <w:iCs/>
        </w:rPr>
        <w:t>S</w:t>
      </w:r>
      <w:r w:rsidRPr="00B71078">
        <w:rPr>
          <w:bCs/>
          <w:i/>
          <w:iCs/>
        </w:rPr>
        <w:t>tep-by-</w:t>
      </w:r>
      <w:r>
        <w:rPr>
          <w:bCs/>
          <w:i/>
          <w:iCs/>
        </w:rPr>
        <w:t>S</w:t>
      </w:r>
      <w:r w:rsidRPr="00B71078">
        <w:rPr>
          <w:bCs/>
          <w:i/>
          <w:iCs/>
        </w:rPr>
        <w:t xml:space="preserve">tep </w:t>
      </w:r>
      <w:r>
        <w:rPr>
          <w:bCs/>
          <w:i/>
          <w:iCs/>
        </w:rPr>
        <w:t>G</w:t>
      </w:r>
      <w:r w:rsidRPr="00B71078">
        <w:rPr>
          <w:bCs/>
          <w:i/>
          <w:iCs/>
        </w:rPr>
        <w:t xml:space="preserve">uide to </w:t>
      </w:r>
      <w:r>
        <w:rPr>
          <w:bCs/>
          <w:i/>
          <w:iCs/>
        </w:rPr>
        <w:t>A</w:t>
      </w:r>
      <w:r w:rsidRPr="00B71078">
        <w:rPr>
          <w:bCs/>
          <w:i/>
          <w:iCs/>
        </w:rPr>
        <w:t xml:space="preserve">nalyzing and </w:t>
      </w:r>
      <w:r>
        <w:rPr>
          <w:bCs/>
          <w:i/>
          <w:iCs/>
        </w:rPr>
        <w:t>I</w:t>
      </w:r>
      <w:r w:rsidRPr="00B71078">
        <w:rPr>
          <w:bCs/>
          <w:i/>
          <w:iCs/>
        </w:rPr>
        <w:t xml:space="preserve">nterpreting </w:t>
      </w:r>
      <w:r>
        <w:rPr>
          <w:bCs/>
          <w:i/>
          <w:iCs/>
        </w:rPr>
        <w:t>D</w:t>
      </w:r>
      <w:r w:rsidRPr="00B71078">
        <w:rPr>
          <w:bCs/>
          <w:i/>
          <w:iCs/>
        </w:rPr>
        <w:t>ata</w:t>
      </w:r>
      <w:r w:rsidRPr="00B71078">
        <w:rPr>
          <w:bCs/>
        </w:rPr>
        <w:t>. Guilford Publications</w:t>
      </w:r>
    </w:p>
    <w:bookmarkEnd w:id="13"/>
    <w:p w14:paraId="1541C490" w14:textId="77777777" w:rsidR="00375E89" w:rsidRDefault="00375E89" w:rsidP="00375E89">
      <w:pPr>
        <w:spacing w:line="480" w:lineRule="auto"/>
        <w:rPr>
          <w:b/>
        </w:rPr>
      </w:pPr>
    </w:p>
    <w:sectPr w:rsidR="00375E89">
      <w:headerReference w:type="default" r:id="rId19"/>
      <w:footerReference w:type="default" r:id="rId2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CC32B7" w14:textId="77777777" w:rsidR="00B95291" w:rsidRDefault="00B95291">
      <w:r>
        <w:separator/>
      </w:r>
    </w:p>
  </w:endnote>
  <w:endnote w:type="continuationSeparator" w:id="0">
    <w:p w14:paraId="66343B4F" w14:textId="77777777" w:rsidR="00B95291" w:rsidRDefault="00B952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59" w14:textId="77777777" w:rsidR="00520992" w:rsidRDefault="00520992">
    <w:pPr>
      <w:spacing w:line="48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C5B445" w14:textId="77777777" w:rsidR="00B95291" w:rsidRDefault="00B95291">
      <w:r>
        <w:separator/>
      </w:r>
    </w:p>
  </w:footnote>
  <w:footnote w:type="continuationSeparator" w:id="0">
    <w:p w14:paraId="48C63ADC" w14:textId="77777777" w:rsidR="00B95291" w:rsidRDefault="00B952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58" w14:textId="636B0AB4" w:rsidR="00520992" w:rsidRDefault="008377D1">
    <w:pPr>
      <w:pBdr>
        <w:top w:val="nil"/>
        <w:left w:val="nil"/>
        <w:bottom w:val="nil"/>
        <w:right w:val="nil"/>
        <w:between w:val="nil"/>
      </w:pBdr>
      <w:tabs>
        <w:tab w:val="center" w:pos="4680"/>
        <w:tab w:val="right" w:pos="9360"/>
      </w:tabs>
      <w:rPr>
        <w:rFonts w:ascii="Arial" w:eastAsia="Arial" w:hAnsi="Arial" w:cs="Arial"/>
        <w:color w:val="000000"/>
        <w:sz w:val="16"/>
        <w:szCs w:val="16"/>
      </w:rPr>
    </w:pPr>
    <w:r>
      <w:rPr>
        <w:rFonts w:ascii="Arial" w:eastAsia="Arial" w:hAnsi="Arial" w:cs="Arial"/>
        <w:color w:val="000000"/>
        <w:sz w:val="16"/>
        <w:szCs w:val="16"/>
      </w:rPr>
      <w:t>Derrick Snow</w:t>
    </w:r>
    <w:r>
      <w:rPr>
        <w:rFonts w:ascii="Arial" w:eastAsia="Arial" w:hAnsi="Arial" w:cs="Arial"/>
        <w:sz w:val="16"/>
        <w:szCs w:val="16"/>
      </w:rPr>
      <w:t>,</w:t>
    </w:r>
    <w:r>
      <w:rPr>
        <w:rFonts w:ascii="Arial" w:eastAsia="Arial" w:hAnsi="Arial" w:cs="Arial"/>
        <w:color w:val="000000"/>
        <w:sz w:val="16"/>
        <w:szCs w:val="16"/>
      </w:rPr>
      <w:t xml:space="preserve"> </w:t>
    </w:r>
    <w:r w:rsidR="00E40D5D">
      <w:rPr>
        <w:rFonts w:ascii="Arial" w:eastAsia="Arial" w:hAnsi="Arial" w:cs="Arial"/>
        <w:color w:val="000000"/>
        <w:sz w:val="16"/>
        <w:szCs w:val="16"/>
      </w:rPr>
      <w:t>COM 968-42</w:t>
    </w:r>
    <w:r w:rsidR="009E7350" w:rsidRPr="009E7350">
      <w:rPr>
        <w:rFonts w:ascii="Arial" w:eastAsia="Arial" w:hAnsi="Arial" w:cs="Arial"/>
        <w:color w:val="000000"/>
        <w:sz w:val="16"/>
        <w:szCs w:val="16"/>
      </w:rPr>
      <w:t xml:space="preserve">, </w:t>
    </w:r>
    <w:r w:rsidR="00E40D5D" w:rsidRPr="00E40D5D">
      <w:rPr>
        <w:rFonts w:ascii="Arial" w:eastAsia="Arial" w:hAnsi="Arial" w:cs="Arial"/>
        <w:color w:val="000000"/>
        <w:sz w:val="16"/>
        <w:szCs w:val="16"/>
      </w:rPr>
      <w:t>Statistics for Social Research II</w:t>
    </w:r>
    <w:r>
      <w:rPr>
        <w:rFonts w:ascii="Arial" w:eastAsia="Arial" w:hAnsi="Arial" w:cs="Arial"/>
        <w:color w:val="000000"/>
        <w:sz w:val="16"/>
        <w:szCs w:val="16"/>
      </w:rPr>
      <w:t>, Assignment #2, 0</w:t>
    </w:r>
    <w:r w:rsidR="00E40D5D">
      <w:rPr>
        <w:rFonts w:ascii="Arial" w:eastAsia="Arial" w:hAnsi="Arial" w:cs="Arial"/>
        <w:color w:val="000000"/>
        <w:sz w:val="16"/>
        <w:szCs w:val="16"/>
      </w:rPr>
      <w:t>9</w:t>
    </w:r>
    <w:r>
      <w:rPr>
        <w:rFonts w:ascii="Arial" w:eastAsia="Arial" w:hAnsi="Arial" w:cs="Arial"/>
        <w:color w:val="000000"/>
        <w:sz w:val="16"/>
        <w:szCs w:val="16"/>
      </w:rPr>
      <w:t>/</w:t>
    </w:r>
    <w:r w:rsidR="00080818">
      <w:rPr>
        <w:rFonts w:ascii="Arial" w:eastAsia="Arial" w:hAnsi="Arial" w:cs="Arial"/>
        <w:color w:val="000000"/>
        <w:sz w:val="16"/>
        <w:szCs w:val="16"/>
      </w:rPr>
      <w:t>8</w:t>
    </w:r>
    <w:r>
      <w:rPr>
        <w:rFonts w:ascii="Arial" w:eastAsia="Arial" w:hAnsi="Arial" w:cs="Arial"/>
        <w:color w:val="000000"/>
        <w:sz w:val="16"/>
        <w:szCs w:val="16"/>
      </w:rPr>
      <w:t>/2024</w:t>
    </w:r>
    <w:r>
      <w:rPr>
        <w:rFonts w:ascii="Arial" w:eastAsia="Arial" w:hAnsi="Arial" w:cs="Arial"/>
        <w:color w:val="000000"/>
        <w:sz w:val="16"/>
        <w:szCs w:val="16"/>
      </w:rPr>
      <w:tab/>
    </w:r>
    <w:r>
      <w:rPr>
        <w:rFonts w:ascii="Arial" w:eastAsia="Arial" w:hAnsi="Arial" w:cs="Arial"/>
        <w:sz w:val="16"/>
        <w:szCs w:val="16"/>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96E72"/>
    <w:multiLevelType w:val="hybridMultilevel"/>
    <w:tmpl w:val="0CFC98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4E6757"/>
    <w:multiLevelType w:val="hybridMultilevel"/>
    <w:tmpl w:val="876001F6"/>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346422DA"/>
    <w:multiLevelType w:val="multilevel"/>
    <w:tmpl w:val="6CB0F3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529636019">
    <w:abstractNumId w:val="2"/>
  </w:num>
  <w:num w:numId="2" w16cid:durableId="224920739">
    <w:abstractNumId w:val="0"/>
  </w:num>
  <w:num w:numId="3" w16cid:durableId="1617040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0992"/>
    <w:rsid w:val="00004B41"/>
    <w:rsid w:val="000063F0"/>
    <w:rsid w:val="000139D0"/>
    <w:rsid w:val="00015EF8"/>
    <w:rsid w:val="00022CF3"/>
    <w:rsid w:val="000269E9"/>
    <w:rsid w:val="000329A5"/>
    <w:rsid w:val="00035081"/>
    <w:rsid w:val="00037C95"/>
    <w:rsid w:val="00043092"/>
    <w:rsid w:val="00054DBB"/>
    <w:rsid w:val="000672CD"/>
    <w:rsid w:val="00080818"/>
    <w:rsid w:val="000C4C1A"/>
    <w:rsid w:val="000C6341"/>
    <w:rsid w:val="000C659F"/>
    <w:rsid w:val="000D45E3"/>
    <w:rsid w:val="000E34BB"/>
    <w:rsid w:val="000E3C26"/>
    <w:rsid w:val="000F4C1D"/>
    <w:rsid w:val="000F781B"/>
    <w:rsid w:val="0010468B"/>
    <w:rsid w:val="001048A4"/>
    <w:rsid w:val="00110D1E"/>
    <w:rsid w:val="00120362"/>
    <w:rsid w:val="001209D7"/>
    <w:rsid w:val="00120BB4"/>
    <w:rsid w:val="00124DD0"/>
    <w:rsid w:val="00142DA6"/>
    <w:rsid w:val="00143B2C"/>
    <w:rsid w:val="001452D1"/>
    <w:rsid w:val="00151236"/>
    <w:rsid w:val="00152F6F"/>
    <w:rsid w:val="00156A21"/>
    <w:rsid w:val="001759D4"/>
    <w:rsid w:val="001768C9"/>
    <w:rsid w:val="00183D59"/>
    <w:rsid w:val="001A1D4A"/>
    <w:rsid w:val="001A2280"/>
    <w:rsid w:val="001A30BD"/>
    <w:rsid w:val="001B0615"/>
    <w:rsid w:val="001B32C9"/>
    <w:rsid w:val="001D5609"/>
    <w:rsid w:val="001E490A"/>
    <w:rsid w:val="001E5BED"/>
    <w:rsid w:val="001F35D4"/>
    <w:rsid w:val="001F4B29"/>
    <w:rsid w:val="0020027E"/>
    <w:rsid w:val="00206D0A"/>
    <w:rsid w:val="002146AC"/>
    <w:rsid w:val="00214EA0"/>
    <w:rsid w:val="00225EF4"/>
    <w:rsid w:val="00251F09"/>
    <w:rsid w:val="002557F1"/>
    <w:rsid w:val="00282A91"/>
    <w:rsid w:val="0029636E"/>
    <w:rsid w:val="002A5B58"/>
    <w:rsid w:val="002A7191"/>
    <w:rsid w:val="002A79D6"/>
    <w:rsid w:val="002B3962"/>
    <w:rsid w:val="002B4766"/>
    <w:rsid w:val="002C03C8"/>
    <w:rsid w:val="002D09A4"/>
    <w:rsid w:val="002D2498"/>
    <w:rsid w:val="002E2A13"/>
    <w:rsid w:val="002E4C4F"/>
    <w:rsid w:val="002E6145"/>
    <w:rsid w:val="002E61DD"/>
    <w:rsid w:val="002F0DB3"/>
    <w:rsid w:val="00301151"/>
    <w:rsid w:val="00302468"/>
    <w:rsid w:val="003043BD"/>
    <w:rsid w:val="00312935"/>
    <w:rsid w:val="00320853"/>
    <w:rsid w:val="003209E6"/>
    <w:rsid w:val="00322C41"/>
    <w:rsid w:val="0032433D"/>
    <w:rsid w:val="0032797E"/>
    <w:rsid w:val="00334500"/>
    <w:rsid w:val="0034382D"/>
    <w:rsid w:val="00345AAB"/>
    <w:rsid w:val="003474C2"/>
    <w:rsid w:val="00353CAC"/>
    <w:rsid w:val="00357BEB"/>
    <w:rsid w:val="00361324"/>
    <w:rsid w:val="00362FE4"/>
    <w:rsid w:val="0037252E"/>
    <w:rsid w:val="00375E89"/>
    <w:rsid w:val="00376108"/>
    <w:rsid w:val="003A52B3"/>
    <w:rsid w:val="003C0D9C"/>
    <w:rsid w:val="003C2913"/>
    <w:rsid w:val="003C3F80"/>
    <w:rsid w:val="003E0342"/>
    <w:rsid w:val="003E0BDE"/>
    <w:rsid w:val="003E3BC3"/>
    <w:rsid w:val="003E4F57"/>
    <w:rsid w:val="004055C1"/>
    <w:rsid w:val="00411EFF"/>
    <w:rsid w:val="004133B5"/>
    <w:rsid w:val="004322CC"/>
    <w:rsid w:val="00435EBA"/>
    <w:rsid w:val="004374CC"/>
    <w:rsid w:val="00443291"/>
    <w:rsid w:val="00455145"/>
    <w:rsid w:val="00492601"/>
    <w:rsid w:val="00494E00"/>
    <w:rsid w:val="0049753A"/>
    <w:rsid w:val="004A15CD"/>
    <w:rsid w:val="004A20AF"/>
    <w:rsid w:val="004A4E34"/>
    <w:rsid w:val="004A501C"/>
    <w:rsid w:val="004C1044"/>
    <w:rsid w:val="004C71C5"/>
    <w:rsid w:val="004C78C4"/>
    <w:rsid w:val="004C7D37"/>
    <w:rsid w:val="004D4007"/>
    <w:rsid w:val="004F6848"/>
    <w:rsid w:val="0050548C"/>
    <w:rsid w:val="00510F2E"/>
    <w:rsid w:val="00520992"/>
    <w:rsid w:val="00533E05"/>
    <w:rsid w:val="00534E6E"/>
    <w:rsid w:val="00536AC3"/>
    <w:rsid w:val="00537E9C"/>
    <w:rsid w:val="005460A4"/>
    <w:rsid w:val="00553F1F"/>
    <w:rsid w:val="00556234"/>
    <w:rsid w:val="0056172F"/>
    <w:rsid w:val="005700CE"/>
    <w:rsid w:val="00586A44"/>
    <w:rsid w:val="00587133"/>
    <w:rsid w:val="005912B0"/>
    <w:rsid w:val="00592470"/>
    <w:rsid w:val="00594A1B"/>
    <w:rsid w:val="005A1C55"/>
    <w:rsid w:val="005A5B8E"/>
    <w:rsid w:val="005B482E"/>
    <w:rsid w:val="005B7F84"/>
    <w:rsid w:val="005C7503"/>
    <w:rsid w:val="005D20E1"/>
    <w:rsid w:val="005D7235"/>
    <w:rsid w:val="005E6B54"/>
    <w:rsid w:val="005F2D8B"/>
    <w:rsid w:val="00612EBE"/>
    <w:rsid w:val="006221D4"/>
    <w:rsid w:val="0062316C"/>
    <w:rsid w:val="006245F7"/>
    <w:rsid w:val="006277D3"/>
    <w:rsid w:val="0065117F"/>
    <w:rsid w:val="00651567"/>
    <w:rsid w:val="00654298"/>
    <w:rsid w:val="00680973"/>
    <w:rsid w:val="006842AF"/>
    <w:rsid w:val="0069055E"/>
    <w:rsid w:val="006923B3"/>
    <w:rsid w:val="0069715F"/>
    <w:rsid w:val="006A095C"/>
    <w:rsid w:val="006B3758"/>
    <w:rsid w:val="006B6088"/>
    <w:rsid w:val="006C10F2"/>
    <w:rsid w:val="006C13BC"/>
    <w:rsid w:val="006D2A8B"/>
    <w:rsid w:val="006E2E54"/>
    <w:rsid w:val="006F0E8C"/>
    <w:rsid w:val="006F4896"/>
    <w:rsid w:val="00703992"/>
    <w:rsid w:val="00720C44"/>
    <w:rsid w:val="0072105A"/>
    <w:rsid w:val="00727D0E"/>
    <w:rsid w:val="007314CC"/>
    <w:rsid w:val="0073305A"/>
    <w:rsid w:val="00751F7F"/>
    <w:rsid w:val="0075226E"/>
    <w:rsid w:val="00763880"/>
    <w:rsid w:val="007732EE"/>
    <w:rsid w:val="007777AC"/>
    <w:rsid w:val="00783458"/>
    <w:rsid w:val="00786EA1"/>
    <w:rsid w:val="0079240F"/>
    <w:rsid w:val="00796C06"/>
    <w:rsid w:val="007B09CE"/>
    <w:rsid w:val="007B34E6"/>
    <w:rsid w:val="007B6600"/>
    <w:rsid w:val="007C344A"/>
    <w:rsid w:val="007C6D21"/>
    <w:rsid w:val="007D13DE"/>
    <w:rsid w:val="007D2236"/>
    <w:rsid w:val="007D2B97"/>
    <w:rsid w:val="007D4832"/>
    <w:rsid w:val="007D6EF5"/>
    <w:rsid w:val="007E0ED1"/>
    <w:rsid w:val="007E5356"/>
    <w:rsid w:val="007F1A08"/>
    <w:rsid w:val="007F3B33"/>
    <w:rsid w:val="007F5FEE"/>
    <w:rsid w:val="00802EC9"/>
    <w:rsid w:val="00813206"/>
    <w:rsid w:val="0081359A"/>
    <w:rsid w:val="008145E6"/>
    <w:rsid w:val="00820511"/>
    <w:rsid w:val="00821E38"/>
    <w:rsid w:val="00833042"/>
    <w:rsid w:val="00833C53"/>
    <w:rsid w:val="00837132"/>
    <w:rsid w:val="008377D1"/>
    <w:rsid w:val="0084291D"/>
    <w:rsid w:val="0084609D"/>
    <w:rsid w:val="00846E06"/>
    <w:rsid w:val="00860FA2"/>
    <w:rsid w:val="00867B49"/>
    <w:rsid w:val="0087085E"/>
    <w:rsid w:val="00881E0A"/>
    <w:rsid w:val="00882255"/>
    <w:rsid w:val="00883A3C"/>
    <w:rsid w:val="00891408"/>
    <w:rsid w:val="00893F68"/>
    <w:rsid w:val="008A2360"/>
    <w:rsid w:val="008A440A"/>
    <w:rsid w:val="008B4880"/>
    <w:rsid w:val="008B4C6F"/>
    <w:rsid w:val="008C5B38"/>
    <w:rsid w:val="008D7DED"/>
    <w:rsid w:val="008F4746"/>
    <w:rsid w:val="008F7DF7"/>
    <w:rsid w:val="009017CE"/>
    <w:rsid w:val="009064A1"/>
    <w:rsid w:val="009076F1"/>
    <w:rsid w:val="0091189B"/>
    <w:rsid w:val="00911C3D"/>
    <w:rsid w:val="00920297"/>
    <w:rsid w:val="00920F45"/>
    <w:rsid w:val="009210F3"/>
    <w:rsid w:val="00923F2D"/>
    <w:rsid w:val="009428F1"/>
    <w:rsid w:val="009468DA"/>
    <w:rsid w:val="00947530"/>
    <w:rsid w:val="00950B88"/>
    <w:rsid w:val="0095210B"/>
    <w:rsid w:val="00964044"/>
    <w:rsid w:val="00965885"/>
    <w:rsid w:val="00971BFF"/>
    <w:rsid w:val="00973390"/>
    <w:rsid w:val="00980679"/>
    <w:rsid w:val="009815C9"/>
    <w:rsid w:val="00993D8A"/>
    <w:rsid w:val="009A008F"/>
    <w:rsid w:val="009B0A03"/>
    <w:rsid w:val="009B237C"/>
    <w:rsid w:val="009B2C84"/>
    <w:rsid w:val="009B36DB"/>
    <w:rsid w:val="009B7838"/>
    <w:rsid w:val="009B7FA2"/>
    <w:rsid w:val="009E7350"/>
    <w:rsid w:val="00A11F80"/>
    <w:rsid w:val="00A12954"/>
    <w:rsid w:val="00A2072B"/>
    <w:rsid w:val="00A365FC"/>
    <w:rsid w:val="00A37E31"/>
    <w:rsid w:val="00A51FD8"/>
    <w:rsid w:val="00A5322E"/>
    <w:rsid w:val="00A63D43"/>
    <w:rsid w:val="00A64C1D"/>
    <w:rsid w:val="00A65C40"/>
    <w:rsid w:val="00A70C39"/>
    <w:rsid w:val="00A710A8"/>
    <w:rsid w:val="00A73938"/>
    <w:rsid w:val="00A823BB"/>
    <w:rsid w:val="00A8348C"/>
    <w:rsid w:val="00A8469A"/>
    <w:rsid w:val="00A87D54"/>
    <w:rsid w:val="00AA06C7"/>
    <w:rsid w:val="00AA124D"/>
    <w:rsid w:val="00AA164F"/>
    <w:rsid w:val="00AA506E"/>
    <w:rsid w:val="00AC037F"/>
    <w:rsid w:val="00AD75D0"/>
    <w:rsid w:val="00AE75F0"/>
    <w:rsid w:val="00AF4008"/>
    <w:rsid w:val="00AF793F"/>
    <w:rsid w:val="00B10EB3"/>
    <w:rsid w:val="00B116B2"/>
    <w:rsid w:val="00B130D2"/>
    <w:rsid w:val="00B200A6"/>
    <w:rsid w:val="00B23396"/>
    <w:rsid w:val="00B30E6A"/>
    <w:rsid w:val="00B41D7C"/>
    <w:rsid w:val="00B46528"/>
    <w:rsid w:val="00B46FC9"/>
    <w:rsid w:val="00B476D0"/>
    <w:rsid w:val="00B5581F"/>
    <w:rsid w:val="00B6105E"/>
    <w:rsid w:val="00B700A7"/>
    <w:rsid w:val="00B733B9"/>
    <w:rsid w:val="00B80A38"/>
    <w:rsid w:val="00B84B7B"/>
    <w:rsid w:val="00B9132B"/>
    <w:rsid w:val="00B95291"/>
    <w:rsid w:val="00B9684A"/>
    <w:rsid w:val="00BB46B7"/>
    <w:rsid w:val="00BB6C01"/>
    <w:rsid w:val="00BC4396"/>
    <w:rsid w:val="00BC5519"/>
    <w:rsid w:val="00BC5D3A"/>
    <w:rsid w:val="00BC7001"/>
    <w:rsid w:val="00BD0BF6"/>
    <w:rsid w:val="00BD648A"/>
    <w:rsid w:val="00BE11CB"/>
    <w:rsid w:val="00BF1833"/>
    <w:rsid w:val="00BF2B61"/>
    <w:rsid w:val="00BF3BBC"/>
    <w:rsid w:val="00BF6E45"/>
    <w:rsid w:val="00BF7405"/>
    <w:rsid w:val="00BF7EB4"/>
    <w:rsid w:val="00C006A3"/>
    <w:rsid w:val="00C01C77"/>
    <w:rsid w:val="00C05F4E"/>
    <w:rsid w:val="00C1450C"/>
    <w:rsid w:val="00C239C8"/>
    <w:rsid w:val="00C36722"/>
    <w:rsid w:val="00C445C9"/>
    <w:rsid w:val="00C54644"/>
    <w:rsid w:val="00C62AE9"/>
    <w:rsid w:val="00C65F88"/>
    <w:rsid w:val="00C66E29"/>
    <w:rsid w:val="00C755F6"/>
    <w:rsid w:val="00C80DEC"/>
    <w:rsid w:val="00C81AC1"/>
    <w:rsid w:val="00C81BF8"/>
    <w:rsid w:val="00C9715F"/>
    <w:rsid w:val="00CB0A04"/>
    <w:rsid w:val="00CB15AC"/>
    <w:rsid w:val="00CB1C4D"/>
    <w:rsid w:val="00CB3855"/>
    <w:rsid w:val="00CB7F05"/>
    <w:rsid w:val="00CC574E"/>
    <w:rsid w:val="00CC5DCF"/>
    <w:rsid w:val="00CD1D25"/>
    <w:rsid w:val="00CD70AE"/>
    <w:rsid w:val="00CE2B41"/>
    <w:rsid w:val="00CE7889"/>
    <w:rsid w:val="00D0015A"/>
    <w:rsid w:val="00D16384"/>
    <w:rsid w:val="00D21742"/>
    <w:rsid w:val="00D27D16"/>
    <w:rsid w:val="00D35F80"/>
    <w:rsid w:val="00D502A6"/>
    <w:rsid w:val="00D5669A"/>
    <w:rsid w:val="00D56CC6"/>
    <w:rsid w:val="00D57827"/>
    <w:rsid w:val="00D6007E"/>
    <w:rsid w:val="00D61D40"/>
    <w:rsid w:val="00D67D15"/>
    <w:rsid w:val="00D82FC2"/>
    <w:rsid w:val="00DA186B"/>
    <w:rsid w:val="00DA5CD4"/>
    <w:rsid w:val="00DB38F5"/>
    <w:rsid w:val="00DB6FB6"/>
    <w:rsid w:val="00DC431C"/>
    <w:rsid w:val="00DD4A57"/>
    <w:rsid w:val="00DE6CB6"/>
    <w:rsid w:val="00DF16F8"/>
    <w:rsid w:val="00DF578A"/>
    <w:rsid w:val="00DF6F3B"/>
    <w:rsid w:val="00E0322A"/>
    <w:rsid w:val="00E17783"/>
    <w:rsid w:val="00E2650B"/>
    <w:rsid w:val="00E32E27"/>
    <w:rsid w:val="00E33BBB"/>
    <w:rsid w:val="00E34410"/>
    <w:rsid w:val="00E40D5D"/>
    <w:rsid w:val="00E41804"/>
    <w:rsid w:val="00E54DAB"/>
    <w:rsid w:val="00E55867"/>
    <w:rsid w:val="00E642F5"/>
    <w:rsid w:val="00E64F1B"/>
    <w:rsid w:val="00E656E2"/>
    <w:rsid w:val="00E743E2"/>
    <w:rsid w:val="00E759D2"/>
    <w:rsid w:val="00E8396E"/>
    <w:rsid w:val="00E83AB6"/>
    <w:rsid w:val="00E92298"/>
    <w:rsid w:val="00EA3397"/>
    <w:rsid w:val="00EB60F9"/>
    <w:rsid w:val="00EC5D5F"/>
    <w:rsid w:val="00EC73D1"/>
    <w:rsid w:val="00ED0D19"/>
    <w:rsid w:val="00ED46EB"/>
    <w:rsid w:val="00EE5405"/>
    <w:rsid w:val="00F02D0E"/>
    <w:rsid w:val="00F05799"/>
    <w:rsid w:val="00F315B1"/>
    <w:rsid w:val="00F3202A"/>
    <w:rsid w:val="00F321AB"/>
    <w:rsid w:val="00F32C6F"/>
    <w:rsid w:val="00F379DD"/>
    <w:rsid w:val="00F45928"/>
    <w:rsid w:val="00F45EF6"/>
    <w:rsid w:val="00F518E4"/>
    <w:rsid w:val="00F5556A"/>
    <w:rsid w:val="00F633BF"/>
    <w:rsid w:val="00F636A5"/>
    <w:rsid w:val="00F650C6"/>
    <w:rsid w:val="00F66978"/>
    <w:rsid w:val="00F66FAC"/>
    <w:rsid w:val="00F70024"/>
    <w:rsid w:val="00F70364"/>
    <w:rsid w:val="00F72131"/>
    <w:rsid w:val="00F72584"/>
    <w:rsid w:val="00F72DC2"/>
    <w:rsid w:val="00F730B0"/>
    <w:rsid w:val="00F7753A"/>
    <w:rsid w:val="00F77CEF"/>
    <w:rsid w:val="00F81AFF"/>
    <w:rsid w:val="00F82406"/>
    <w:rsid w:val="00F82EA0"/>
    <w:rsid w:val="00F85D7A"/>
    <w:rsid w:val="00F86B4C"/>
    <w:rsid w:val="00F921EB"/>
    <w:rsid w:val="00F92376"/>
    <w:rsid w:val="00F97287"/>
    <w:rsid w:val="00F972D1"/>
    <w:rsid w:val="00FA230D"/>
    <w:rsid w:val="00FA533D"/>
    <w:rsid w:val="00FA7259"/>
    <w:rsid w:val="00FB18B4"/>
    <w:rsid w:val="00FC04EA"/>
    <w:rsid w:val="00FC27C4"/>
    <w:rsid w:val="00FC439D"/>
    <w:rsid w:val="00FC4CE6"/>
    <w:rsid w:val="00FC7084"/>
    <w:rsid w:val="00FC7449"/>
    <w:rsid w:val="00FF30A0"/>
    <w:rsid w:val="00FF3A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AE3B62"/>
  <w15:docId w15:val="{EDDBEFAD-1DA7-4852-B580-FD600CD6C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3C7D"/>
  </w:style>
  <w:style w:type="paragraph" w:styleId="Heading1">
    <w:name w:val="heading 1"/>
    <w:next w:val="Normal"/>
    <w:link w:val="Heading1Char"/>
    <w:uiPriority w:val="9"/>
    <w:qFormat/>
    <w:rsid w:val="007B1ECD"/>
    <w:pPr>
      <w:keepNext/>
      <w:keepLines/>
      <w:spacing w:after="196" w:line="259" w:lineRule="auto"/>
      <w:ind w:left="459" w:hanging="10"/>
      <w:jc w:val="center"/>
      <w:outlineLvl w:val="0"/>
    </w:pPr>
    <w:rPr>
      <w:rFonts w:ascii="Arial" w:eastAsia="Arial" w:hAnsi="Arial" w:cs="Arial"/>
      <w:b/>
      <w:color w:val="000000"/>
      <w:sz w:val="2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APALevel2">
    <w:name w:val="APA Level 2"/>
    <w:basedOn w:val="Normal"/>
    <w:next w:val="BodyText"/>
    <w:qFormat/>
    <w:rsid w:val="00997D27"/>
    <w:pPr>
      <w:keepNext/>
      <w:keepLines/>
      <w:widowControl w:val="0"/>
      <w:tabs>
        <w:tab w:val="right" w:leader="dot" w:pos="8640"/>
      </w:tabs>
      <w:suppressAutoHyphens/>
      <w:autoSpaceDE w:val="0"/>
      <w:autoSpaceDN w:val="0"/>
      <w:adjustRightInd w:val="0"/>
      <w:spacing w:line="480" w:lineRule="auto"/>
      <w:jc w:val="center"/>
      <w:outlineLvl w:val="2"/>
    </w:pPr>
    <w:rPr>
      <w:i/>
      <w:iCs/>
    </w:rPr>
  </w:style>
  <w:style w:type="paragraph" w:styleId="BodyText">
    <w:name w:val="Body Text"/>
    <w:basedOn w:val="Normal"/>
    <w:link w:val="BodyTextChar"/>
    <w:uiPriority w:val="99"/>
    <w:semiHidden/>
    <w:unhideWhenUsed/>
    <w:rsid w:val="00633EF3"/>
    <w:pPr>
      <w:spacing w:after="120"/>
    </w:pPr>
  </w:style>
  <w:style w:type="character" w:customStyle="1" w:styleId="BodyTextChar">
    <w:name w:val="Body Text Char"/>
    <w:basedOn w:val="DefaultParagraphFont"/>
    <w:link w:val="BodyText"/>
    <w:uiPriority w:val="99"/>
    <w:semiHidden/>
    <w:rsid w:val="00633EF3"/>
    <w:rPr>
      <w:sz w:val="24"/>
    </w:rPr>
  </w:style>
  <w:style w:type="table" w:styleId="TableGrid">
    <w:name w:val="Table Grid"/>
    <w:basedOn w:val="TableNormal"/>
    <w:uiPriority w:val="39"/>
    <w:rsid w:val="00DF58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906F0"/>
    <w:pPr>
      <w:ind w:left="720"/>
      <w:contextualSpacing/>
    </w:pPr>
  </w:style>
  <w:style w:type="paragraph" w:styleId="BalloonText">
    <w:name w:val="Balloon Text"/>
    <w:basedOn w:val="Normal"/>
    <w:link w:val="BalloonTextChar"/>
    <w:uiPriority w:val="99"/>
    <w:semiHidden/>
    <w:unhideWhenUsed/>
    <w:rsid w:val="007B1EC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1ECD"/>
    <w:rPr>
      <w:rFonts w:ascii="Segoe UI" w:hAnsi="Segoe UI" w:cs="Segoe UI"/>
      <w:sz w:val="18"/>
      <w:szCs w:val="18"/>
    </w:rPr>
  </w:style>
  <w:style w:type="character" w:customStyle="1" w:styleId="Heading1Char">
    <w:name w:val="Heading 1 Char"/>
    <w:basedOn w:val="DefaultParagraphFont"/>
    <w:link w:val="Heading1"/>
    <w:uiPriority w:val="9"/>
    <w:rsid w:val="007B1ECD"/>
    <w:rPr>
      <w:rFonts w:ascii="Arial" w:eastAsia="Arial" w:hAnsi="Arial" w:cs="Arial"/>
      <w:b/>
      <w:color w:val="000000"/>
      <w:sz w:val="28"/>
    </w:rPr>
  </w:style>
  <w:style w:type="paragraph" w:styleId="Header">
    <w:name w:val="header"/>
    <w:basedOn w:val="Normal"/>
    <w:link w:val="HeaderChar"/>
    <w:uiPriority w:val="99"/>
    <w:unhideWhenUsed/>
    <w:rsid w:val="003F5572"/>
    <w:pPr>
      <w:tabs>
        <w:tab w:val="center" w:pos="4680"/>
        <w:tab w:val="right" w:pos="9360"/>
      </w:tabs>
    </w:pPr>
  </w:style>
  <w:style w:type="character" w:customStyle="1" w:styleId="HeaderChar">
    <w:name w:val="Header Char"/>
    <w:basedOn w:val="DefaultParagraphFont"/>
    <w:link w:val="Header"/>
    <w:uiPriority w:val="99"/>
    <w:rsid w:val="003F5572"/>
    <w:rPr>
      <w:sz w:val="24"/>
    </w:rPr>
  </w:style>
  <w:style w:type="paragraph" w:styleId="Footer">
    <w:name w:val="footer"/>
    <w:basedOn w:val="Normal"/>
    <w:link w:val="FooterChar"/>
    <w:uiPriority w:val="99"/>
    <w:unhideWhenUsed/>
    <w:rsid w:val="003F5572"/>
    <w:pPr>
      <w:tabs>
        <w:tab w:val="center" w:pos="4680"/>
        <w:tab w:val="right" w:pos="9360"/>
      </w:tabs>
    </w:pPr>
  </w:style>
  <w:style w:type="character" w:customStyle="1" w:styleId="FooterChar">
    <w:name w:val="Footer Char"/>
    <w:basedOn w:val="DefaultParagraphFont"/>
    <w:link w:val="Footer"/>
    <w:uiPriority w:val="99"/>
    <w:rsid w:val="003F5572"/>
    <w:rPr>
      <w:sz w:val="24"/>
    </w:rPr>
  </w:style>
  <w:style w:type="character" w:styleId="Hyperlink">
    <w:name w:val="Hyperlink"/>
    <w:rsid w:val="00050C2C"/>
    <w:rPr>
      <w:color w:val="0000FF"/>
      <w:u w:val="single"/>
    </w:rPr>
  </w:style>
  <w:style w:type="character" w:styleId="UnresolvedMention">
    <w:name w:val="Unresolved Mention"/>
    <w:basedOn w:val="DefaultParagraphFont"/>
    <w:uiPriority w:val="99"/>
    <w:semiHidden/>
    <w:unhideWhenUsed/>
    <w:rsid w:val="00BD19BE"/>
    <w:rPr>
      <w:color w:val="605E5C"/>
      <w:shd w:val="clear" w:color="auto" w:fill="E1DFDD"/>
    </w:rPr>
  </w:style>
  <w:style w:type="paragraph" w:styleId="NoSpacing">
    <w:name w:val="No Spacing"/>
    <w:uiPriority w:val="1"/>
    <w:qFormat/>
    <w:rsid w:val="0049559E"/>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8989897">
      <w:bodyDiv w:val="1"/>
      <w:marLeft w:val="0"/>
      <w:marRight w:val="0"/>
      <w:marTop w:val="0"/>
      <w:marBottom w:val="0"/>
      <w:divBdr>
        <w:top w:val="none" w:sz="0" w:space="0" w:color="auto"/>
        <w:left w:val="none" w:sz="0" w:space="0" w:color="auto"/>
        <w:bottom w:val="none" w:sz="0" w:space="0" w:color="auto"/>
        <w:right w:val="none" w:sz="0" w:space="0" w:color="auto"/>
      </w:divBdr>
      <w:divsChild>
        <w:div w:id="1228682541">
          <w:marLeft w:val="480"/>
          <w:marRight w:val="0"/>
          <w:marTop w:val="0"/>
          <w:marBottom w:val="0"/>
          <w:divBdr>
            <w:top w:val="none" w:sz="0" w:space="0" w:color="auto"/>
            <w:left w:val="none" w:sz="0" w:space="0" w:color="auto"/>
            <w:bottom w:val="none" w:sz="0" w:space="0" w:color="auto"/>
            <w:right w:val="none" w:sz="0" w:space="0" w:color="auto"/>
          </w:divBdr>
          <w:divsChild>
            <w:div w:id="291442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755475">
      <w:bodyDiv w:val="1"/>
      <w:marLeft w:val="0"/>
      <w:marRight w:val="0"/>
      <w:marTop w:val="0"/>
      <w:marBottom w:val="0"/>
      <w:divBdr>
        <w:top w:val="none" w:sz="0" w:space="0" w:color="auto"/>
        <w:left w:val="none" w:sz="0" w:space="0" w:color="auto"/>
        <w:bottom w:val="none" w:sz="0" w:space="0" w:color="auto"/>
        <w:right w:val="none" w:sz="0" w:space="0" w:color="auto"/>
      </w:divBdr>
      <w:divsChild>
        <w:div w:id="1411075862">
          <w:marLeft w:val="480"/>
          <w:marRight w:val="0"/>
          <w:marTop w:val="0"/>
          <w:marBottom w:val="0"/>
          <w:divBdr>
            <w:top w:val="none" w:sz="0" w:space="0" w:color="auto"/>
            <w:left w:val="none" w:sz="0" w:space="0" w:color="auto"/>
            <w:bottom w:val="none" w:sz="0" w:space="0" w:color="auto"/>
            <w:right w:val="none" w:sz="0" w:space="0" w:color="auto"/>
          </w:divBdr>
          <w:divsChild>
            <w:div w:id="16660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589143">
      <w:bodyDiv w:val="1"/>
      <w:marLeft w:val="0"/>
      <w:marRight w:val="0"/>
      <w:marTop w:val="0"/>
      <w:marBottom w:val="0"/>
      <w:divBdr>
        <w:top w:val="none" w:sz="0" w:space="0" w:color="auto"/>
        <w:left w:val="none" w:sz="0" w:space="0" w:color="auto"/>
        <w:bottom w:val="none" w:sz="0" w:space="0" w:color="auto"/>
        <w:right w:val="none" w:sz="0" w:space="0" w:color="auto"/>
      </w:divBdr>
      <w:divsChild>
        <w:div w:id="496381619">
          <w:marLeft w:val="480"/>
          <w:marRight w:val="0"/>
          <w:marTop w:val="0"/>
          <w:marBottom w:val="0"/>
          <w:divBdr>
            <w:top w:val="none" w:sz="0" w:space="0" w:color="auto"/>
            <w:left w:val="none" w:sz="0" w:space="0" w:color="auto"/>
            <w:bottom w:val="none" w:sz="0" w:space="0" w:color="auto"/>
            <w:right w:val="none" w:sz="0" w:space="0" w:color="auto"/>
          </w:divBdr>
          <w:divsChild>
            <w:div w:id="45706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075889">
      <w:bodyDiv w:val="1"/>
      <w:marLeft w:val="0"/>
      <w:marRight w:val="0"/>
      <w:marTop w:val="0"/>
      <w:marBottom w:val="0"/>
      <w:divBdr>
        <w:top w:val="none" w:sz="0" w:space="0" w:color="auto"/>
        <w:left w:val="none" w:sz="0" w:space="0" w:color="auto"/>
        <w:bottom w:val="none" w:sz="0" w:space="0" w:color="auto"/>
        <w:right w:val="none" w:sz="0" w:space="0" w:color="auto"/>
      </w:divBdr>
      <w:divsChild>
        <w:div w:id="377899474">
          <w:marLeft w:val="480"/>
          <w:marRight w:val="0"/>
          <w:marTop w:val="0"/>
          <w:marBottom w:val="0"/>
          <w:divBdr>
            <w:top w:val="none" w:sz="0" w:space="0" w:color="auto"/>
            <w:left w:val="none" w:sz="0" w:space="0" w:color="auto"/>
            <w:bottom w:val="none" w:sz="0" w:space="0" w:color="auto"/>
            <w:right w:val="none" w:sz="0" w:space="0" w:color="auto"/>
          </w:divBdr>
          <w:divsChild>
            <w:div w:id="637687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466417">
      <w:bodyDiv w:val="1"/>
      <w:marLeft w:val="0"/>
      <w:marRight w:val="0"/>
      <w:marTop w:val="0"/>
      <w:marBottom w:val="0"/>
      <w:divBdr>
        <w:top w:val="none" w:sz="0" w:space="0" w:color="auto"/>
        <w:left w:val="none" w:sz="0" w:space="0" w:color="auto"/>
        <w:bottom w:val="none" w:sz="0" w:space="0" w:color="auto"/>
        <w:right w:val="none" w:sz="0" w:space="0" w:color="auto"/>
      </w:divBdr>
      <w:divsChild>
        <w:div w:id="191499813">
          <w:marLeft w:val="480"/>
          <w:marRight w:val="0"/>
          <w:marTop w:val="0"/>
          <w:marBottom w:val="0"/>
          <w:divBdr>
            <w:top w:val="none" w:sz="0" w:space="0" w:color="auto"/>
            <w:left w:val="none" w:sz="0" w:space="0" w:color="auto"/>
            <w:bottom w:val="none" w:sz="0" w:space="0" w:color="auto"/>
            <w:right w:val="none" w:sz="0" w:space="0" w:color="auto"/>
          </w:divBdr>
          <w:divsChild>
            <w:div w:id="1188565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239205">
      <w:bodyDiv w:val="1"/>
      <w:marLeft w:val="0"/>
      <w:marRight w:val="0"/>
      <w:marTop w:val="0"/>
      <w:marBottom w:val="0"/>
      <w:divBdr>
        <w:top w:val="none" w:sz="0" w:space="0" w:color="auto"/>
        <w:left w:val="none" w:sz="0" w:space="0" w:color="auto"/>
        <w:bottom w:val="none" w:sz="0" w:space="0" w:color="auto"/>
        <w:right w:val="none" w:sz="0" w:space="0" w:color="auto"/>
      </w:divBdr>
      <w:divsChild>
        <w:div w:id="1866942727">
          <w:marLeft w:val="480"/>
          <w:marRight w:val="0"/>
          <w:marTop w:val="0"/>
          <w:marBottom w:val="0"/>
          <w:divBdr>
            <w:top w:val="none" w:sz="0" w:space="0" w:color="auto"/>
            <w:left w:val="none" w:sz="0" w:space="0" w:color="auto"/>
            <w:bottom w:val="none" w:sz="0" w:space="0" w:color="auto"/>
            <w:right w:val="none" w:sz="0" w:space="0" w:color="auto"/>
          </w:divBdr>
          <w:divsChild>
            <w:div w:id="1545823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861875">
      <w:bodyDiv w:val="1"/>
      <w:marLeft w:val="0"/>
      <w:marRight w:val="0"/>
      <w:marTop w:val="0"/>
      <w:marBottom w:val="0"/>
      <w:divBdr>
        <w:top w:val="none" w:sz="0" w:space="0" w:color="auto"/>
        <w:left w:val="none" w:sz="0" w:space="0" w:color="auto"/>
        <w:bottom w:val="none" w:sz="0" w:space="0" w:color="auto"/>
        <w:right w:val="none" w:sz="0" w:space="0" w:color="auto"/>
      </w:divBdr>
      <w:divsChild>
        <w:div w:id="1827360311">
          <w:marLeft w:val="480"/>
          <w:marRight w:val="0"/>
          <w:marTop w:val="0"/>
          <w:marBottom w:val="0"/>
          <w:divBdr>
            <w:top w:val="none" w:sz="0" w:space="0" w:color="auto"/>
            <w:left w:val="none" w:sz="0" w:space="0" w:color="auto"/>
            <w:bottom w:val="none" w:sz="0" w:space="0" w:color="auto"/>
            <w:right w:val="none" w:sz="0" w:space="0" w:color="auto"/>
          </w:divBdr>
          <w:divsChild>
            <w:div w:id="122483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985904">
      <w:bodyDiv w:val="1"/>
      <w:marLeft w:val="0"/>
      <w:marRight w:val="0"/>
      <w:marTop w:val="0"/>
      <w:marBottom w:val="0"/>
      <w:divBdr>
        <w:top w:val="none" w:sz="0" w:space="0" w:color="auto"/>
        <w:left w:val="none" w:sz="0" w:space="0" w:color="auto"/>
        <w:bottom w:val="none" w:sz="0" w:space="0" w:color="auto"/>
        <w:right w:val="none" w:sz="0" w:space="0" w:color="auto"/>
      </w:divBdr>
      <w:divsChild>
        <w:div w:id="893925738">
          <w:marLeft w:val="480"/>
          <w:marRight w:val="0"/>
          <w:marTop w:val="0"/>
          <w:marBottom w:val="0"/>
          <w:divBdr>
            <w:top w:val="none" w:sz="0" w:space="0" w:color="auto"/>
            <w:left w:val="none" w:sz="0" w:space="0" w:color="auto"/>
            <w:bottom w:val="none" w:sz="0" w:space="0" w:color="auto"/>
            <w:right w:val="none" w:sz="0" w:space="0" w:color="auto"/>
          </w:divBdr>
          <w:divsChild>
            <w:div w:id="2146074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773199">
      <w:bodyDiv w:val="1"/>
      <w:marLeft w:val="0"/>
      <w:marRight w:val="0"/>
      <w:marTop w:val="0"/>
      <w:marBottom w:val="0"/>
      <w:divBdr>
        <w:top w:val="none" w:sz="0" w:space="0" w:color="auto"/>
        <w:left w:val="none" w:sz="0" w:space="0" w:color="auto"/>
        <w:bottom w:val="none" w:sz="0" w:space="0" w:color="auto"/>
        <w:right w:val="none" w:sz="0" w:space="0" w:color="auto"/>
      </w:divBdr>
      <w:divsChild>
        <w:div w:id="1685857674">
          <w:marLeft w:val="480"/>
          <w:marRight w:val="0"/>
          <w:marTop w:val="0"/>
          <w:marBottom w:val="0"/>
          <w:divBdr>
            <w:top w:val="none" w:sz="0" w:space="0" w:color="auto"/>
            <w:left w:val="none" w:sz="0" w:space="0" w:color="auto"/>
            <w:bottom w:val="none" w:sz="0" w:space="0" w:color="auto"/>
            <w:right w:val="none" w:sz="0" w:space="0" w:color="auto"/>
          </w:divBdr>
          <w:divsChild>
            <w:div w:id="520050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441694">
      <w:bodyDiv w:val="1"/>
      <w:marLeft w:val="0"/>
      <w:marRight w:val="0"/>
      <w:marTop w:val="0"/>
      <w:marBottom w:val="0"/>
      <w:divBdr>
        <w:top w:val="none" w:sz="0" w:space="0" w:color="auto"/>
        <w:left w:val="none" w:sz="0" w:space="0" w:color="auto"/>
        <w:bottom w:val="none" w:sz="0" w:space="0" w:color="auto"/>
        <w:right w:val="none" w:sz="0" w:space="0" w:color="auto"/>
      </w:divBdr>
      <w:divsChild>
        <w:div w:id="939993205">
          <w:marLeft w:val="480"/>
          <w:marRight w:val="0"/>
          <w:marTop w:val="0"/>
          <w:marBottom w:val="0"/>
          <w:divBdr>
            <w:top w:val="none" w:sz="0" w:space="0" w:color="auto"/>
            <w:left w:val="none" w:sz="0" w:space="0" w:color="auto"/>
            <w:bottom w:val="none" w:sz="0" w:space="0" w:color="auto"/>
            <w:right w:val="none" w:sz="0" w:space="0" w:color="auto"/>
          </w:divBdr>
          <w:divsChild>
            <w:div w:id="118701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650430">
      <w:bodyDiv w:val="1"/>
      <w:marLeft w:val="0"/>
      <w:marRight w:val="0"/>
      <w:marTop w:val="0"/>
      <w:marBottom w:val="0"/>
      <w:divBdr>
        <w:top w:val="none" w:sz="0" w:space="0" w:color="auto"/>
        <w:left w:val="none" w:sz="0" w:space="0" w:color="auto"/>
        <w:bottom w:val="none" w:sz="0" w:space="0" w:color="auto"/>
        <w:right w:val="none" w:sz="0" w:space="0" w:color="auto"/>
      </w:divBdr>
      <w:divsChild>
        <w:div w:id="1744721457">
          <w:marLeft w:val="480"/>
          <w:marRight w:val="0"/>
          <w:marTop w:val="0"/>
          <w:marBottom w:val="0"/>
          <w:divBdr>
            <w:top w:val="none" w:sz="0" w:space="0" w:color="auto"/>
            <w:left w:val="none" w:sz="0" w:space="0" w:color="auto"/>
            <w:bottom w:val="none" w:sz="0" w:space="0" w:color="auto"/>
            <w:right w:val="none" w:sz="0" w:space="0" w:color="auto"/>
          </w:divBdr>
          <w:divsChild>
            <w:div w:id="85853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335607">
      <w:bodyDiv w:val="1"/>
      <w:marLeft w:val="0"/>
      <w:marRight w:val="0"/>
      <w:marTop w:val="0"/>
      <w:marBottom w:val="0"/>
      <w:divBdr>
        <w:top w:val="none" w:sz="0" w:space="0" w:color="auto"/>
        <w:left w:val="none" w:sz="0" w:space="0" w:color="auto"/>
        <w:bottom w:val="none" w:sz="0" w:space="0" w:color="auto"/>
        <w:right w:val="none" w:sz="0" w:space="0" w:color="auto"/>
      </w:divBdr>
      <w:divsChild>
        <w:div w:id="344329949">
          <w:marLeft w:val="480"/>
          <w:marRight w:val="0"/>
          <w:marTop w:val="0"/>
          <w:marBottom w:val="0"/>
          <w:divBdr>
            <w:top w:val="none" w:sz="0" w:space="0" w:color="auto"/>
            <w:left w:val="none" w:sz="0" w:space="0" w:color="auto"/>
            <w:bottom w:val="none" w:sz="0" w:space="0" w:color="auto"/>
            <w:right w:val="none" w:sz="0" w:space="0" w:color="auto"/>
          </w:divBdr>
          <w:divsChild>
            <w:div w:id="22244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336197">
      <w:bodyDiv w:val="1"/>
      <w:marLeft w:val="0"/>
      <w:marRight w:val="0"/>
      <w:marTop w:val="0"/>
      <w:marBottom w:val="0"/>
      <w:divBdr>
        <w:top w:val="none" w:sz="0" w:space="0" w:color="auto"/>
        <w:left w:val="none" w:sz="0" w:space="0" w:color="auto"/>
        <w:bottom w:val="none" w:sz="0" w:space="0" w:color="auto"/>
        <w:right w:val="none" w:sz="0" w:space="0" w:color="auto"/>
      </w:divBdr>
      <w:divsChild>
        <w:div w:id="2067414269">
          <w:marLeft w:val="480"/>
          <w:marRight w:val="0"/>
          <w:marTop w:val="0"/>
          <w:marBottom w:val="0"/>
          <w:divBdr>
            <w:top w:val="none" w:sz="0" w:space="0" w:color="auto"/>
            <w:left w:val="none" w:sz="0" w:space="0" w:color="auto"/>
            <w:bottom w:val="none" w:sz="0" w:space="0" w:color="auto"/>
            <w:right w:val="none" w:sz="0" w:space="0" w:color="auto"/>
          </w:divBdr>
          <w:divsChild>
            <w:div w:id="210248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327714">
      <w:bodyDiv w:val="1"/>
      <w:marLeft w:val="0"/>
      <w:marRight w:val="0"/>
      <w:marTop w:val="0"/>
      <w:marBottom w:val="0"/>
      <w:divBdr>
        <w:top w:val="none" w:sz="0" w:space="0" w:color="auto"/>
        <w:left w:val="none" w:sz="0" w:space="0" w:color="auto"/>
        <w:bottom w:val="none" w:sz="0" w:space="0" w:color="auto"/>
        <w:right w:val="none" w:sz="0" w:space="0" w:color="auto"/>
      </w:divBdr>
      <w:divsChild>
        <w:div w:id="1512717037">
          <w:marLeft w:val="480"/>
          <w:marRight w:val="0"/>
          <w:marTop w:val="0"/>
          <w:marBottom w:val="0"/>
          <w:divBdr>
            <w:top w:val="none" w:sz="0" w:space="0" w:color="auto"/>
            <w:left w:val="none" w:sz="0" w:space="0" w:color="auto"/>
            <w:bottom w:val="none" w:sz="0" w:space="0" w:color="auto"/>
            <w:right w:val="none" w:sz="0" w:space="0" w:color="auto"/>
          </w:divBdr>
          <w:divsChild>
            <w:div w:id="595747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338307">
      <w:bodyDiv w:val="1"/>
      <w:marLeft w:val="0"/>
      <w:marRight w:val="0"/>
      <w:marTop w:val="0"/>
      <w:marBottom w:val="0"/>
      <w:divBdr>
        <w:top w:val="none" w:sz="0" w:space="0" w:color="auto"/>
        <w:left w:val="none" w:sz="0" w:space="0" w:color="auto"/>
        <w:bottom w:val="none" w:sz="0" w:space="0" w:color="auto"/>
        <w:right w:val="none" w:sz="0" w:space="0" w:color="auto"/>
      </w:divBdr>
      <w:divsChild>
        <w:div w:id="285235274">
          <w:marLeft w:val="480"/>
          <w:marRight w:val="0"/>
          <w:marTop w:val="0"/>
          <w:marBottom w:val="0"/>
          <w:divBdr>
            <w:top w:val="none" w:sz="0" w:space="0" w:color="auto"/>
            <w:left w:val="none" w:sz="0" w:space="0" w:color="auto"/>
            <w:bottom w:val="none" w:sz="0" w:space="0" w:color="auto"/>
            <w:right w:val="none" w:sz="0" w:space="0" w:color="auto"/>
          </w:divBdr>
          <w:divsChild>
            <w:div w:id="202520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152941">
      <w:bodyDiv w:val="1"/>
      <w:marLeft w:val="0"/>
      <w:marRight w:val="0"/>
      <w:marTop w:val="0"/>
      <w:marBottom w:val="0"/>
      <w:divBdr>
        <w:top w:val="none" w:sz="0" w:space="0" w:color="auto"/>
        <w:left w:val="none" w:sz="0" w:space="0" w:color="auto"/>
        <w:bottom w:val="none" w:sz="0" w:space="0" w:color="auto"/>
        <w:right w:val="none" w:sz="0" w:space="0" w:color="auto"/>
      </w:divBdr>
      <w:divsChild>
        <w:div w:id="1861770738">
          <w:marLeft w:val="480"/>
          <w:marRight w:val="0"/>
          <w:marTop w:val="0"/>
          <w:marBottom w:val="0"/>
          <w:divBdr>
            <w:top w:val="none" w:sz="0" w:space="0" w:color="auto"/>
            <w:left w:val="none" w:sz="0" w:space="0" w:color="auto"/>
            <w:bottom w:val="none" w:sz="0" w:space="0" w:color="auto"/>
            <w:right w:val="none" w:sz="0" w:space="0" w:color="auto"/>
          </w:divBdr>
          <w:divsChild>
            <w:div w:id="1232158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375715">
      <w:bodyDiv w:val="1"/>
      <w:marLeft w:val="0"/>
      <w:marRight w:val="0"/>
      <w:marTop w:val="0"/>
      <w:marBottom w:val="0"/>
      <w:divBdr>
        <w:top w:val="none" w:sz="0" w:space="0" w:color="auto"/>
        <w:left w:val="none" w:sz="0" w:space="0" w:color="auto"/>
        <w:bottom w:val="none" w:sz="0" w:space="0" w:color="auto"/>
        <w:right w:val="none" w:sz="0" w:space="0" w:color="auto"/>
      </w:divBdr>
      <w:divsChild>
        <w:div w:id="1173182592">
          <w:marLeft w:val="480"/>
          <w:marRight w:val="0"/>
          <w:marTop w:val="0"/>
          <w:marBottom w:val="0"/>
          <w:divBdr>
            <w:top w:val="none" w:sz="0" w:space="0" w:color="auto"/>
            <w:left w:val="none" w:sz="0" w:space="0" w:color="auto"/>
            <w:bottom w:val="none" w:sz="0" w:space="0" w:color="auto"/>
            <w:right w:val="none" w:sz="0" w:space="0" w:color="auto"/>
          </w:divBdr>
          <w:divsChild>
            <w:div w:id="113980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461343">
      <w:bodyDiv w:val="1"/>
      <w:marLeft w:val="0"/>
      <w:marRight w:val="0"/>
      <w:marTop w:val="0"/>
      <w:marBottom w:val="0"/>
      <w:divBdr>
        <w:top w:val="none" w:sz="0" w:space="0" w:color="auto"/>
        <w:left w:val="none" w:sz="0" w:space="0" w:color="auto"/>
        <w:bottom w:val="none" w:sz="0" w:space="0" w:color="auto"/>
        <w:right w:val="none" w:sz="0" w:space="0" w:color="auto"/>
      </w:divBdr>
      <w:divsChild>
        <w:div w:id="475689126">
          <w:marLeft w:val="480"/>
          <w:marRight w:val="0"/>
          <w:marTop w:val="0"/>
          <w:marBottom w:val="0"/>
          <w:divBdr>
            <w:top w:val="none" w:sz="0" w:space="0" w:color="auto"/>
            <w:left w:val="none" w:sz="0" w:space="0" w:color="auto"/>
            <w:bottom w:val="none" w:sz="0" w:space="0" w:color="auto"/>
            <w:right w:val="none" w:sz="0" w:space="0" w:color="auto"/>
          </w:divBdr>
          <w:divsChild>
            <w:div w:id="1803113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530735">
      <w:bodyDiv w:val="1"/>
      <w:marLeft w:val="0"/>
      <w:marRight w:val="0"/>
      <w:marTop w:val="0"/>
      <w:marBottom w:val="0"/>
      <w:divBdr>
        <w:top w:val="none" w:sz="0" w:space="0" w:color="auto"/>
        <w:left w:val="none" w:sz="0" w:space="0" w:color="auto"/>
        <w:bottom w:val="none" w:sz="0" w:space="0" w:color="auto"/>
        <w:right w:val="none" w:sz="0" w:space="0" w:color="auto"/>
      </w:divBdr>
      <w:divsChild>
        <w:div w:id="1781147479">
          <w:marLeft w:val="480"/>
          <w:marRight w:val="0"/>
          <w:marTop w:val="0"/>
          <w:marBottom w:val="0"/>
          <w:divBdr>
            <w:top w:val="none" w:sz="0" w:space="0" w:color="auto"/>
            <w:left w:val="none" w:sz="0" w:space="0" w:color="auto"/>
            <w:bottom w:val="none" w:sz="0" w:space="0" w:color="auto"/>
            <w:right w:val="none" w:sz="0" w:space="0" w:color="auto"/>
          </w:divBdr>
          <w:divsChild>
            <w:div w:id="1812212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024899">
      <w:bodyDiv w:val="1"/>
      <w:marLeft w:val="0"/>
      <w:marRight w:val="0"/>
      <w:marTop w:val="0"/>
      <w:marBottom w:val="0"/>
      <w:divBdr>
        <w:top w:val="none" w:sz="0" w:space="0" w:color="auto"/>
        <w:left w:val="none" w:sz="0" w:space="0" w:color="auto"/>
        <w:bottom w:val="none" w:sz="0" w:space="0" w:color="auto"/>
        <w:right w:val="none" w:sz="0" w:space="0" w:color="auto"/>
      </w:divBdr>
      <w:divsChild>
        <w:div w:id="2142338953">
          <w:marLeft w:val="480"/>
          <w:marRight w:val="0"/>
          <w:marTop w:val="0"/>
          <w:marBottom w:val="0"/>
          <w:divBdr>
            <w:top w:val="none" w:sz="0" w:space="0" w:color="auto"/>
            <w:left w:val="none" w:sz="0" w:space="0" w:color="auto"/>
            <w:bottom w:val="none" w:sz="0" w:space="0" w:color="auto"/>
            <w:right w:val="none" w:sz="0" w:space="0" w:color="auto"/>
          </w:divBdr>
          <w:divsChild>
            <w:div w:id="1347249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455198">
      <w:bodyDiv w:val="1"/>
      <w:marLeft w:val="0"/>
      <w:marRight w:val="0"/>
      <w:marTop w:val="0"/>
      <w:marBottom w:val="0"/>
      <w:divBdr>
        <w:top w:val="none" w:sz="0" w:space="0" w:color="auto"/>
        <w:left w:val="none" w:sz="0" w:space="0" w:color="auto"/>
        <w:bottom w:val="none" w:sz="0" w:space="0" w:color="auto"/>
        <w:right w:val="none" w:sz="0" w:space="0" w:color="auto"/>
      </w:divBdr>
      <w:divsChild>
        <w:div w:id="1935089842">
          <w:marLeft w:val="480"/>
          <w:marRight w:val="0"/>
          <w:marTop w:val="0"/>
          <w:marBottom w:val="0"/>
          <w:divBdr>
            <w:top w:val="none" w:sz="0" w:space="0" w:color="auto"/>
            <w:left w:val="none" w:sz="0" w:space="0" w:color="auto"/>
            <w:bottom w:val="none" w:sz="0" w:space="0" w:color="auto"/>
            <w:right w:val="none" w:sz="0" w:space="0" w:color="auto"/>
          </w:divBdr>
          <w:divsChild>
            <w:div w:id="8272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537122">
      <w:bodyDiv w:val="1"/>
      <w:marLeft w:val="0"/>
      <w:marRight w:val="0"/>
      <w:marTop w:val="0"/>
      <w:marBottom w:val="0"/>
      <w:divBdr>
        <w:top w:val="none" w:sz="0" w:space="0" w:color="auto"/>
        <w:left w:val="none" w:sz="0" w:space="0" w:color="auto"/>
        <w:bottom w:val="none" w:sz="0" w:space="0" w:color="auto"/>
        <w:right w:val="none" w:sz="0" w:space="0" w:color="auto"/>
      </w:divBdr>
      <w:divsChild>
        <w:div w:id="607278458">
          <w:marLeft w:val="480"/>
          <w:marRight w:val="0"/>
          <w:marTop w:val="0"/>
          <w:marBottom w:val="0"/>
          <w:divBdr>
            <w:top w:val="none" w:sz="0" w:space="0" w:color="auto"/>
            <w:left w:val="none" w:sz="0" w:space="0" w:color="auto"/>
            <w:bottom w:val="none" w:sz="0" w:space="0" w:color="auto"/>
            <w:right w:val="none" w:sz="0" w:space="0" w:color="auto"/>
          </w:divBdr>
          <w:divsChild>
            <w:div w:id="2108428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603861">
      <w:bodyDiv w:val="1"/>
      <w:marLeft w:val="0"/>
      <w:marRight w:val="0"/>
      <w:marTop w:val="0"/>
      <w:marBottom w:val="0"/>
      <w:divBdr>
        <w:top w:val="none" w:sz="0" w:space="0" w:color="auto"/>
        <w:left w:val="none" w:sz="0" w:space="0" w:color="auto"/>
        <w:bottom w:val="none" w:sz="0" w:space="0" w:color="auto"/>
        <w:right w:val="none" w:sz="0" w:space="0" w:color="auto"/>
      </w:divBdr>
      <w:divsChild>
        <w:div w:id="992566804">
          <w:marLeft w:val="480"/>
          <w:marRight w:val="0"/>
          <w:marTop w:val="0"/>
          <w:marBottom w:val="0"/>
          <w:divBdr>
            <w:top w:val="none" w:sz="0" w:space="0" w:color="auto"/>
            <w:left w:val="none" w:sz="0" w:space="0" w:color="auto"/>
            <w:bottom w:val="none" w:sz="0" w:space="0" w:color="auto"/>
            <w:right w:val="none" w:sz="0" w:space="0" w:color="auto"/>
          </w:divBdr>
          <w:divsChild>
            <w:div w:id="63140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559690">
      <w:bodyDiv w:val="1"/>
      <w:marLeft w:val="0"/>
      <w:marRight w:val="0"/>
      <w:marTop w:val="0"/>
      <w:marBottom w:val="0"/>
      <w:divBdr>
        <w:top w:val="none" w:sz="0" w:space="0" w:color="auto"/>
        <w:left w:val="none" w:sz="0" w:space="0" w:color="auto"/>
        <w:bottom w:val="none" w:sz="0" w:space="0" w:color="auto"/>
        <w:right w:val="none" w:sz="0" w:space="0" w:color="auto"/>
      </w:divBdr>
      <w:divsChild>
        <w:div w:id="1777022295">
          <w:marLeft w:val="480"/>
          <w:marRight w:val="0"/>
          <w:marTop w:val="0"/>
          <w:marBottom w:val="0"/>
          <w:divBdr>
            <w:top w:val="none" w:sz="0" w:space="0" w:color="auto"/>
            <w:left w:val="none" w:sz="0" w:space="0" w:color="auto"/>
            <w:bottom w:val="none" w:sz="0" w:space="0" w:color="auto"/>
            <w:right w:val="none" w:sz="0" w:space="0" w:color="auto"/>
          </w:divBdr>
          <w:divsChild>
            <w:div w:id="1056858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013044">
      <w:bodyDiv w:val="1"/>
      <w:marLeft w:val="0"/>
      <w:marRight w:val="0"/>
      <w:marTop w:val="0"/>
      <w:marBottom w:val="0"/>
      <w:divBdr>
        <w:top w:val="none" w:sz="0" w:space="0" w:color="auto"/>
        <w:left w:val="none" w:sz="0" w:space="0" w:color="auto"/>
        <w:bottom w:val="none" w:sz="0" w:space="0" w:color="auto"/>
        <w:right w:val="none" w:sz="0" w:space="0" w:color="auto"/>
      </w:divBdr>
      <w:divsChild>
        <w:div w:id="1540818413">
          <w:marLeft w:val="480"/>
          <w:marRight w:val="0"/>
          <w:marTop w:val="0"/>
          <w:marBottom w:val="0"/>
          <w:divBdr>
            <w:top w:val="none" w:sz="0" w:space="0" w:color="auto"/>
            <w:left w:val="none" w:sz="0" w:space="0" w:color="auto"/>
            <w:bottom w:val="none" w:sz="0" w:space="0" w:color="auto"/>
            <w:right w:val="none" w:sz="0" w:space="0" w:color="auto"/>
          </w:divBdr>
          <w:divsChild>
            <w:div w:id="127043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290932">
      <w:bodyDiv w:val="1"/>
      <w:marLeft w:val="0"/>
      <w:marRight w:val="0"/>
      <w:marTop w:val="0"/>
      <w:marBottom w:val="0"/>
      <w:divBdr>
        <w:top w:val="none" w:sz="0" w:space="0" w:color="auto"/>
        <w:left w:val="none" w:sz="0" w:space="0" w:color="auto"/>
        <w:bottom w:val="none" w:sz="0" w:space="0" w:color="auto"/>
        <w:right w:val="none" w:sz="0" w:space="0" w:color="auto"/>
      </w:divBdr>
      <w:divsChild>
        <w:div w:id="384649227">
          <w:marLeft w:val="480"/>
          <w:marRight w:val="0"/>
          <w:marTop w:val="0"/>
          <w:marBottom w:val="0"/>
          <w:divBdr>
            <w:top w:val="none" w:sz="0" w:space="0" w:color="auto"/>
            <w:left w:val="none" w:sz="0" w:space="0" w:color="auto"/>
            <w:bottom w:val="none" w:sz="0" w:space="0" w:color="auto"/>
            <w:right w:val="none" w:sz="0" w:space="0" w:color="auto"/>
          </w:divBdr>
          <w:divsChild>
            <w:div w:id="173960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655200">
      <w:bodyDiv w:val="1"/>
      <w:marLeft w:val="0"/>
      <w:marRight w:val="0"/>
      <w:marTop w:val="0"/>
      <w:marBottom w:val="0"/>
      <w:divBdr>
        <w:top w:val="none" w:sz="0" w:space="0" w:color="auto"/>
        <w:left w:val="none" w:sz="0" w:space="0" w:color="auto"/>
        <w:bottom w:val="none" w:sz="0" w:space="0" w:color="auto"/>
        <w:right w:val="none" w:sz="0" w:space="0" w:color="auto"/>
      </w:divBdr>
      <w:divsChild>
        <w:div w:id="1811436182">
          <w:marLeft w:val="480"/>
          <w:marRight w:val="0"/>
          <w:marTop w:val="0"/>
          <w:marBottom w:val="0"/>
          <w:divBdr>
            <w:top w:val="none" w:sz="0" w:space="0" w:color="auto"/>
            <w:left w:val="none" w:sz="0" w:space="0" w:color="auto"/>
            <w:bottom w:val="none" w:sz="0" w:space="0" w:color="auto"/>
            <w:right w:val="none" w:sz="0" w:space="0" w:color="auto"/>
          </w:divBdr>
          <w:divsChild>
            <w:div w:id="4025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971850">
      <w:bodyDiv w:val="1"/>
      <w:marLeft w:val="0"/>
      <w:marRight w:val="0"/>
      <w:marTop w:val="0"/>
      <w:marBottom w:val="0"/>
      <w:divBdr>
        <w:top w:val="none" w:sz="0" w:space="0" w:color="auto"/>
        <w:left w:val="none" w:sz="0" w:space="0" w:color="auto"/>
        <w:bottom w:val="none" w:sz="0" w:space="0" w:color="auto"/>
        <w:right w:val="none" w:sz="0" w:space="0" w:color="auto"/>
      </w:divBdr>
      <w:divsChild>
        <w:div w:id="532503921">
          <w:marLeft w:val="480"/>
          <w:marRight w:val="0"/>
          <w:marTop w:val="0"/>
          <w:marBottom w:val="0"/>
          <w:divBdr>
            <w:top w:val="none" w:sz="0" w:space="0" w:color="auto"/>
            <w:left w:val="none" w:sz="0" w:space="0" w:color="auto"/>
            <w:bottom w:val="none" w:sz="0" w:space="0" w:color="auto"/>
            <w:right w:val="none" w:sz="0" w:space="0" w:color="auto"/>
          </w:divBdr>
          <w:divsChild>
            <w:div w:id="1872958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948788">
      <w:bodyDiv w:val="1"/>
      <w:marLeft w:val="0"/>
      <w:marRight w:val="0"/>
      <w:marTop w:val="0"/>
      <w:marBottom w:val="0"/>
      <w:divBdr>
        <w:top w:val="none" w:sz="0" w:space="0" w:color="auto"/>
        <w:left w:val="none" w:sz="0" w:space="0" w:color="auto"/>
        <w:bottom w:val="none" w:sz="0" w:space="0" w:color="auto"/>
        <w:right w:val="none" w:sz="0" w:space="0" w:color="auto"/>
      </w:divBdr>
      <w:divsChild>
        <w:div w:id="1124039978">
          <w:marLeft w:val="480"/>
          <w:marRight w:val="0"/>
          <w:marTop w:val="0"/>
          <w:marBottom w:val="0"/>
          <w:divBdr>
            <w:top w:val="none" w:sz="0" w:space="0" w:color="auto"/>
            <w:left w:val="none" w:sz="0" w:space="0" w:color="auto"/>
            <w:bottom w:val="none" w:sz="0" w:space="0" w:color="auto"/>
            <w:right w:val="none" w:sz="0" w:space="0" w:color="auto"/>
          </w:divBdr>
          <w:divsChild>
            <w:div w:id="173724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905001">
      <w:bodyDiv w:val="1"/>
      <w:marLeft w:val="0"/>
      <w:marRight w:val="0"/>
      <w:marTop w:val="0"/>
      <w:marBottom w:val="0"/>
      <w:divBdr>
        <w:top w:val="none" w:sz="0" w:space="0" w:color="auto"/>
        <w:left w:val="none" w:sz="0" w:space="0" w:color="auto"/>
        <w:bottom w:val="none" w:sz="0" w:space="0" w:color="auto"/>
        <w:right w:val="none" w:sz="0" w:space="0" w:color="auto"/>
      </w:divBdr>
      <w:divsChild>
        <w:div w:id="1396049353">
          <w:marLeft w:val="480"/>
          <w:marRight w:val="0"/>
          <w:marTop w:val="0"/>
          <w:marBottom w:val="0"/>
          <w:divBdr>
            <w:top w:val="none" w:sz="0" w:space="0" w:color="auto"/>
            <w:left w:val="none" w:sz="0" w:space="0" w:color="auto"/>
            <w:bottom w:val="none" w:sz="0" w:space="0" w:color="auto"/>
            <w:right w:val="none" w:sz="0" w:space="0" w:color="auto"/>
          </w:divBdr>
          <w:divsChild>
            <w:div w:id="61290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027607">
      <w:bodyDiv w:val="1"/>
      <w:marLeft w:val="0"/>
      <w:marRight w:val="0"/>
      <w:marTop w:val="0"/>
      <w:marBottom w:val="0"/>
      <w:divBdr>
        <w:top w:val="none" w:sz="0" w:space="0" w:color="auto"/>
        <w:left w:val="none" w:sz="0" w:space="0" w:color="auto"/>
        <w:bottom w:val="none" w:sz="0" w:space="0" w:color="auto"/>
        <w:right w:val="none" w:sz="0" w:space="0" w:color="auto"/>
      </w:divBdr>
      <w:divsChild>
        <w:div w:id="582420103">
          <w:marLeft w:val="480"/>
          <w:marRight w:val="0"/>
          <w:marTop w:val="0"/>
          <w:marBottom w:val="0"/>
          <w:divBdr>
            <w:top w:val="none" w:sz="0" w:space="0" w:color="auto"/>
            <w:left w:val="none" w:sz="0" w:space="0" w:color="auto"/>
            <w:bottom w:val="none" w:sz="0" w:space="0" w:color="auto"/>
            <w:right w:val="none" w:sz="0" w:space="0" w:color="auto"/>
          </w:divBdr>
          <w:divsChild>
            <w:div w:id="887958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320802">
      <w:bodyDiv w:val="1"/>
      <w:marLeft w:val="0"/>
      <w:marRight w:val="0"/>
      <w:marTop w:val="0"/>
      <w:marBottom w:val="0"/>
      <w:divBdr>
        <w:top w:val="none" w:sz="0" w:space="0" w:color="auto"/>
        <w:left w:val="none" w:sz="0" w:space="0" w:color="auto"/>
        <w:bottom w:val="none" w:sz="0" w:space="0" w:color="auto"/>
        <w:right w:val="none" w:sz="0" w:space="0" w:color="auto"/>
      </w:divBdr>
      <w:divsChild>
        <w:div w:id="1805656800">
          <w:marLeft w:val="480"/>
          <w:marRight w:val="0"/>
          <w:marTop w:val="0"/>
          <w:marBottom w:val="0"/>
          <w:divBdr>
            <w:top w:val="none" w:sz="0" w:space="0" w:color="auto"/>
            <w:left w:val="none" w:sz="0" w:space="0" w:color="auto"/>
            <w:bottom w:val="none" w:sz="0" w:space="0" w:color="auto"/>
            <w:right w:val="none" w:sz="0" w:space="0" w:color="auto"/>
          </w:divBdr>
          <w:divsChild>
            <w:div w:id="180514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032784">
      <w:bodyDiv w:val="1"/>
      <w:marLeft w:val="0"/>
      <w:marRight w:val="0"/>
      <w:marTop w:val="0"/>
      <w:marBottom w:val="0"/>
      <w:divBdr>
        <w:top w:val="none" w:sz="0" w:space="0" w:color="auto"/>
        <w:left w:val="none" w:sz="0" w:space="0" w:color="auto"/>
        <w:bottom w:val="none" w:sz="0" w:space="0" w:color="auto"/>
        <w:right w:val="none" w:sz="0" w:space="0" w:color="auto"/>
      </w:divBdr>
      <w:divsChild>
        <w:div w:id="1575050767">
          <w:marLeft w:val="480"/>
          <w:marRight w:val="0"/>
          <w:marTop w:val="0"/>
          <w:marBottom w:val="0"/>
          <w:divBdr>
            <w:top w:val="none" w:sz="0" w:space="0" w:color="auto"/>
            <w:left w:val="none" w:sz="0" w:space="0" w:color="auto"/>
            <w:bottom w:val="none" w:sz="0" w:space="0" w:color="auto"/>
            <w:right w:val="none" w:sz="0" w:space="0" w:color="auto"/>
          </w:divBdr>
          <w:divsChild>
            <w:div w:id="383868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117420">
      <w:bodyDiv w:val="1"/>
      <w:marLeft w:val="0"/>
      <w:marRight w:val="0"/>
      <w:marTop w:val="0"/>
      <w:marBottom w:val="0"/>
      <w:divBdr>
        <w:top w:val="none" w:sz="0" w:space="0" w:color="auto"/>
        <w:left w:val="none" w:sz="0" w:space="0" w:color="auto"/>
        <w:bottom w:val="none" w:sz="0" w:space="0" w:color="auto"/>
        <w:right w:val="none" w:sz="0" w:space="0" w:color="auto"/>
      </w:divBdr>
      <w:divsChild>
        <w:div w:id="1410272624">
          <w:marLeft w:val="480"/>
          <w:marRight w:val="0"/>
          <w:marTop w:val="0"/>
          <w:marBottom w:val="0"/>
          <w:divBdr>
            <w:top w:val="none" w:sz="0" w:space="0" w:color="auto"/>
            <w:left w:val="none" w:sz="0" w:space="0" w:color="auto"/>
            <w:bottom w:val="none" w:sz="0" w:space="0" w:color="auto"/>
            <w:right w:val="none" w:sz="0" w:space="0" w:color="auto"/>
          </w:divBdr>
          <w:divsChild>
            <w:div w:id="1989817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oi.org/10.1289/ehp.021101175" TargetMode="External"/><Relationship Id="rId18" Type="http://schemas.openxmlformats.org/officeDocument/2006/relationships/hyperlink" Target="https://doi.org/10.1016/j.envres.2014.04.001"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doi.org/10.1177/21650799221117273" TargetMode="External"/><Relationship Id="rId17" Type="http://schemas.openxmlformats.org/officeDocument/2006/relationships/hyperlink" Target="https://doi.org/10.1177/21650799221117273" TargetMode="External"/><Relationship Id="rId2" Type="http://schemas.openxmlformats.org/officeDocument/2006/relationships/customXml" Target="../customXml/item2.xml"/><Relationship Id="rId16" Type="http://schemas.openxmlformats.org/officeDocument/2006/relationships/hyperlink" Target="https://doi.org/10.1016/j.envres.2021.111686"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i.org/10.1038/s41370-020-00285-2" TargetMode="External"/><Relationship Id="rId5" Type="http://schemas.openxmlformats.org/officeDocument/2006/relationships/settings" Target="settings.xml"/><Relationship Id="rId15" Type="http://schemas.openxmlformats.org/officeDocument/2006/relationships/hyperlink" Target="https://doi.org/10.1289/ehp.021101175" TargetMode="External"/><Relationship Id="rId10" Type="http://schemas.openxmlformats.org/officeDocument/2006/relationships/hyperlink" Target="https://doi.org/10.1016/j.envres.2021.111686" TargetMode="External"/><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doi.org/10.1016/j.envres.2014.04.001" TargetMode="External"/><Relationship Id="rId14" Type="http://schemas.openxmlformats.org/officeDocument/2006/relationships/hyperlink" Target="https://doi.org/10.1038/s41370-020-00285-2"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XKooLeYl3jwNkbjViScn3ytQY7Q==">CgMxLjAaDQoBMBIICgYIBTICCAEyCGguZ2pkZ3hzMg5oLnN0cGtuNjFmMWhoZTIJaC4zMGowemxsMgloLjFmb2I5dGU4AHIhMVh1RTNybXEzOEZQdV92c1I1OVgwc1JodmFtd2Z2RFR4</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49D9C85-1A67-4118-BC56-1F96742789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13846</TotalTime>
  <Pages>19</Pages>
  <Words>2896</Words>
  <Characters>17205</Characters>
  <Application>Microsoft Office Word</Application>
  <DocSecurity>0</DocSecurity>
  <Lines>402</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Andrews</dc:creator>
  <cp:lastModifiedBy>Derrick Snow</cp:lastModifiedBy>
  <cp:revision>255</cp:revision>
  <dcterms:created xsi:type="dcterms:W3CDTF">2024-02-07T18:52:00Z</dcterms:created>
  <dcterms:modified xsi:type="dcterms:W3CDTF">2024-09-09T00:44:00Z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1d44196a7f99298753e1fea7b06089fe24fce8150d33fd69f2679c67813f399e</vt:lpwstr>
  </property>
  <property fmtid="{D5CDD505-2E9C-101B-9397-08002B2CF9AE}" pid="3" name="ZOTERO_PREF_1">
    <vt:lpwstr>&lt;data data-version="3" zotero-version="7.0.3"&gt;&lt;session id="S51N5ARd"/&gt;&lt;style id="http://www.zotero.org/styles/apa" locale="en-US" hasBibliography="1" bibliographyStyleHasBeenSet="0"/&gt;&lt;prefs&gt;&lt;pref name="fieldType" value="Field"/&gt;&lt;/prefs&gt;&lt;/data&gt;</vt:lpwstr>
  </property>
</Properties>
</file>