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4BDE0" w14:textId="77777777" w:rsidR="00DE621F" w:rsidRDefault="00DE621F">
      <w:pPr>
        <w:spacing w:after="160" w:line="259" w:lineRule="auto"/>
      </w:pPr>
    </w:p>
    <w:p w14:paraId="32DA0E56" w14:textId="77777777" w:rsidR="00DE621F" w:rsidRDefault="00DE621F">
      <w:pPr>
        <w:spacing w:after="160" w:line="259" w:lineRule="auto"/>
      </w:pPr>
    </w:p>
    <w:p w14:paraId="1D9E855C" w14:textId="77777777" w:rsidR="00DE621F" w:rsidRDefault="00DE621F">
      <w:pPr>
        <w:spacing w:after="160" w:line="259" w:lineRule="auto"/>
      </w:pPr>
    </w:p>
    <w:p w14:paraId="695625C6" w14:textId="77777777" w:rsidR="00DE621F" w:rsidRDefault="00DE621F">
      <w:pPr>
        <w:spacing w:after="160" w:line="259" w:lineRule="auto"/>
      </w:pPr>
    </w:p>
    <w:p w14:paraId="3459DDB4" w14:textId="77777777" w:rsidR="00DE621F" w:rsidRDefault="00DE621F">
      <w:pPr>
        <w:spacing w:after="160" w:line="259" w:lineRule="auto"/>
      </w:pPr>
    </w:p>
    <w:p w14:paraId="345AFA5A" w14:textId="77777777" w:rsidR="00DE621F" w:rsidRDefault="00DE621F">
      <w:pPr>
        <w:spacing w:after="160" w:line="259" w:lineRule="auto"/>
      </w:pPr>
    </w:p>
    <w:p w14:paraId="12B4ECB1" w14:textId="0B3ADADD" w:rsidR="00DE621F" w:rsidRPr="00DE621F" w:rsidRDefault="008D3EC6" w:rsidP="00DE621F">
      <w:pPr>
        <w:pStyle w:val="Title"/>
      </w:pPr>
      <w:r w:rsidRPr="008D3EC6">
        <w:t>Retaining and Recruiting Hospital Foundation Volunteers in a Post-Pandemic Reality</w:t>
      </w:r>
    </w:p>
    <w:p w14:paraId="362C38C7" w14:textId="575B7065" w:rsidR="00DE621F" w:rsidRDefault="008D3EC6" w:rsidP="00DE621F">
      <w:pPr>
        <w:spacing w:after="160" w:line="259" w:lineRule="auto"/>
        <w:jc w:val="center"/>
      </w:pPr>
      <w:r>
        <w:t>Katherine Blanc</w:t>
      </w:r>
    </w:p>
    <w:p w14:paraId="390173BF" w14:textId="24EE498B" w:rsidR="00DE621F" w:rsidRDefault="00DE621F" w:rsidP="00DE621F">
      <w:pPr>
        <w:spacing w:after="160" w:line="259" w:lineRule="auto"/>
        <w:jc w:val="center"/>
      </w:pPr>
      <w:r>
        <w:t>Omega Graduate School</w:t>
      </w:r>
    </w:p>
    <w:p w14:paraId="55BF1797" w14:textId="77777777" w:rsidR="00DE621F" w:rsidRDefault="00DE621F" w:rsidP="00DE621F">
      <w:pPr>
        <w:spacing w:after="160" w:line="259" w:lineRule="auto"/>
        <w:jc w:val="center"/>
      </w:pPr>
    </w:p>
    <w:p w14:paraId="4B0860E3" w14:textId="2124C8B1" w:rsidR="00DE621F" w:rsidRDefault="00D8624A" w:rsidP="00DE621F">
      <w:pPr>
        <w:spacing w:after="160" w:line="259" w:lineRule="auto"/>
        <w:jc w:val="center"/>
      </w:pPr>
      <w:r>
        <w:t>May 13</w:t>
      </w:r>
      <w:r w:rsidR="0084666E">
        <w:t>, 2024</w:t>
      </w:r>
    </w:p>
    <w:p w14:paraId="4421E9EC" w14:textId="77777777" w:rsidR="00DE621F" w:rsidRDefault="00DE621F">
      <w:pPr>
        <w:spacing w:after="160" w:line="259" w:lineRule="auto"/>
      </w:pPr>
    </w:p>
    <w:p w14:paraId="01B80D9D" w14:textId="77777777" w:rsidR="00DE621F" w:rsidRDefault="00DE621F">
      <w:pPr>
        <w:spacing w:after="160" w:line="259" w:lineRule="auto"/>
      </w:pPr>
    </w:p>
    <w:p w14:paraId="71E46B43" w14:textId="77777777" w:rsidR="00D72F27" w:rsidRDefault="00D72F27">
      <w:pPr>
        <w:spacing w:after="160" w:line="259" w:lineRule="auto"/>
      </w:pPr>
    </w:p>
    <w:p w14:paraId="3EBE546C" w14:textId="77777777" w:rsidR="00D72F27" w:rsidRDefault="00D72F27">
      <w:pPr>
        <w:spacing w:after="160" w:line="259" w:lineRule="auto"/>
      </w:pPr>
    </w:p>
    <w:p w14:paraId="38DE72A2" w14:textId="77777777" w:rsidR="00D72F27" w:rsidRDefault="00D72F27">
      <w:pPr>
        <w:spacing w:after="160" w:line="259" w:lineRule="auto"/>
      </w:pPr>
    </w:p>
    <w:p w14:paraId="68B9DF88" w14:textId="77777777" w:rsidR="00D72F27" w:rsidRDefault="00D72F27">
      <w:pPr>
        <w:spacing w:after="160" w:line="259" w:lineRule="auto"/>
      </w:pPr>
    </w:p>
    <w:p w14:paraId="3CFBC057" w14:textId="77777777" w:rsidR="00D72F27" w:rsidRDefault="00D72F27">
      <w:pPr>
        <w:spacing w:after="160" w:line="259" w:lineRule="auto"/>
      </w:pPr>
    </w:p>
    <w:p w14:paraId="473719E4" w14:textId="77777777" w:rsidR="00D72F27" w:rsidRDefault="00D72F27">
      <w:pPr>
        <w:spacing w:after="160" w:line="259" w:lineRule="auto"/>
      </w:pPr>
    </w:p>
    <w:p w14:paraId="3506213C" w14:textId="77777777" w:rsidR="00D72F27" w:rsidRDefault="00D72F27">
      <w:pPr>
        <w:spacing w:after="160" w:line="259" w:lineRule="auto"/>
      </w:pPr>
    </w:p>
    <w:p w14:paraId="738ACCA8" w14:textId="77777777" w:rsidR="00D72F27" w:rsidRDefault="00D72F27">
      <w:pPr>
        <w:spacing w:after="160" w:line="259" w:lineRule="auto"/>
      </w:pPr>
    </w:p>
    <w:p w14:paraId="05698972" w14:textId="77777777" w:rsidR="00D72F27" w:rsidRDefault="00D72F27">
      <w:pPr>
        <w:spacing w:after="160" w:line="259" w:lineRule="auto"/>
      </w:pPr>
    </w:p>
    <w:p w14:paraId="3FA9ECE9" w14:textId="77777777" w:rsidR="00D72F27" w:rsidRDefault="00D72F27">
      <w:pPr>
        <w:spacing w:after="160" w:line="259" w:lineRule="auto"/>
      </w:pPr>
    </w:p>
    <w:p w14:paraId="12F36C5B" w14:textId="77777777" w:rsidR="00D72F27" w:rsidRDefault="00D72F27">
      <w:pPr>
        <w:spacing w:after="160" w:line="259" w:lineRule="auto"/>
      </w:pPr>
    </w:p>
    <w:p w14:paraId="09C252E4" w14:textId="77777777" w:rsidR="00D72F27" w:rsidRDefault="00D72F27">
      <w:pPr>
        <w:spacing w:after="160" w:line="259" w:lineRule="auto"/>
      </w:pPr>
    </w:p>
    <w:p w14:paraId="3F8E3A3B" w14:textId="77777777" w:rsidR="00D72F27" w:rsidRDefault="00D72F27">
      <w:pPr>
        <w:spacing w:after="160" w:line="259" w:lineRule="auto"/>
      </w:pPr>
    </w:p>
    <w:p w14:paraId="570FADDC" w14:textId="77777777" w:rsidR="00D72F27" w:rsidRDefault="00D72F27">
      <w:pPr>
        <w:spacing w:after="160" w:line="259" w:lineRule="auto"/>
      </w:pPr>
    </w:p>
    <w:p w14:paraId="4E1BCEB6" w14:textId="23D88E09" w:rsidR="00DE621F" w:rsidRDefault="00EB272E">
      <w:pPr>
        <w:spacing w:after="160" w:line="259" w:lineRule="auto"/>
      </w:pPr>
      <w:r>
        <w:t>Dr. Curtis McClane</w:t>
      </w:r>
    </w:p>
    <w:p w14:paraId="15E62A7F" w14:textId="683750F2" w:rsidR="00B17773" w:rsidRPr="00B17773" w:rsidRDefault="00B17773" w:rsidP="00170F51">
      <w:pPr>
        <w:pStyle w:val="Heading1"/>
      </w:pPr>
      <w:r w:rsidRPr="00B17773">
        <w:lastRenderedPageBreak/>
        <w:t>E</w:t>
      </w:r>
      <w:r w:rsidR="005A0017">
        <w:t>valuation of Results</w:t>
      </w:r>
      <w:r w:rsidR="00C110A6">
        <w:t xml:space="preserve"> and Initial Reflection</w:t>
      </w:r>
    </w:p>
    <w:p w14:paraId="4F698051" w14:textId="49FBD6BE" w:rsidR="000924F6" w:rsidRDefault="000924F6" w:rsidP="00DA4AA5">
      <w:r>
        <w:t xml:space="preserve">A printed “log sheet” </w:t>
      </w:r>
      <w:r w:rsidR="0003639E">
        <w:t>was</w:t>
      </w:r>
      <w:r>
        <w:t xml:space="preserve"> given to each attendee of t</w:t>
      </w:r>
      <w:r w:rsidR="007D52C0">
        <w:t>he training session</w:t>
      </w:r>
      <w:r w:rsidR="00D64EA1">
        <w:t>, along with pens and paper</w:t>
      </w:r>
      <w:r w:rsidR="0053505F">
        <w:t xml:space="preserve"> pads</w:t>
      </w:r>
      <w:r w:rsidR="00D64EA1">
        <w:t xml:space="preserve"> for note</w:t>
      </w:r>
      <w:r w:rsidR="00E55F8A">
        <w:t xml:space="preserve"> taking.  T</w:t>
      </w:r>
      <w:r w:rsidR="00D64EA1">
        <w:t>he log sheets were</w:t>
      </w:r>
      <w:r w:rsidR="006858DC">
        <w:t xml:space="preserve"> an optional way</w:t>
      </w:r>
      <w:r w:rsidR="0080100B">
        <w:t xml:space="preserve"> for attendees to document</w:t>
      </w:r>
      <w:r w:rsidR="007D52C0">
        <w:t xml:space="preserve"> newly acquired P2P recruitment strategies</w:t>
      </w:r>
      <w:r w:rsidR="00DA4AA5">
        <w:t xml:space="preserve"> and </w:t>
      </w:r>
      <w:r w:rsidR="00E55F8A">
        <w:t>were not</w:t>
      </w:r>
      <w:r w:rsidR="00DA4AA5">
        <w:t xml:space="preserve"> collected by the researcher</w:t>
      </w:r>
      <w:r w:rsidR="002B68CE">
        <w:t>.</w:t>
      </w:r>
      <w:r w:rsidR="00DA4AA5">
        <w:t xml:space="preserve">  </w:t>
      </w:r>
      <w:r w:rsidR="004F6AA6">
        <w:t xml:space="preserve">In addition to the researcher’s </w:t>
      </w:r>
      <w:r w:rsidR="00912F78">
        <w:t>observations,</w:t>
      </w:r>
      <w:r w:rsidR="003F2853">
        <w:t xml:space="preserve"> </w:t>
      </w:r>
      <w:r w:rsidR="00651C80">
        <w:t xml:space="preserve">a </w:t>
      </w:r>
      <w:r w:rsidR="00E55F8A">
        <w:t xml:space="preserve">formal </w:t>
      </w:r>
      <w:r w:rsidR="00C65965">
        <w:t xml:space="preserve">Chi-Squared statistical </w:t>
      </w:r>
      <w:r w:rsidR="007A38DB">
        <w:t>Analysis</w:t>
      </w:r>
      <w:r w:rsidR="00651C80">
        <w:t xml:space="preserve"> was </w:t>
      </w:r>
      <w:r w:rsidR="002B6D45">
        <w:t>planned</w:t>
      </w:r>
      <w:r w:rsidR="00586917">
        <w:t xml:space="preserve"> for</w:t>
      </w:r>
      <w:r w:rsidR="00CE2AA4">
        <w:t xml:space="preserve"> a later</w:t>
      </w:r>
      <w:r w:rsidR="00651C80">
        <w:t xml:space="preserve"> </w:t>
      </w:r>
      <w:r w:rsidR="005E6226">
        <w:t>date.  The test would be performed using</w:t>
      </w:r>
      <w:r w:rsidR="00651C80">
        <w:t xml:space="preserve"> </w:t>
      </w:r>
      <w:r w:rsidR="00E81E28">
        <w:t>the</w:t>
      </w:r>
      <w:r w:rsidR="00CA2AC2">
        <w:t xml:space="preserve"> online</w:t>
      </w:r>
      <w:r w:rsidR="00E81E28">
        <w:t xml:space="preserve"> </w:t>
      </w:r>
      <w:r w:rsidR="00A80CF4" w:rsidRPr="00EF2A1B">
        <w:rPr>
          <w:i/>
          <w:iCs/>
        </w:rPr>
        <w:t>Practical Statistics for Social Research (PSSR)</w:t>
      </w:r>
      <w:r w:rsidR="00A80CF4">
        <w:rPr>
          <w:i/>
          <w:iCs/>
        </w:rPr>
        <w:t xml:space="preserve"> </w:t>
      </w:r>
      <w:r w:rsidR="001C1E42">
        <w:rPr>
          <w:iCs/>
        </w:rPr>
        <w:t xml:space="preserve">analysis </w:t>
      </w:r>
      <w:r w:rsidR="003476A0">
        <w:t>tool</w:t>
      </w:r>
      <w:r w:rsidR="00912F78">
        <w:t xml:space="preserve"> (R</w:t>
      </w:r>
      <w:r w:rsidR="00651C80">
        <w:t xml:space="preserve">eichard, 2024) </w:t>
      </w:r>
      <w:r w:rsidR="003447F1">
        <w:t xml:space="preserve">to test the </w:t>
      </w:r>
      <w:r w:rsidR="00EC22E9">
        <w:t xml:space="preserve">researcher’s </w:t>
      </w:r>
      <w:r w:rsidR="003447F1">
        <w:t>hypothesis that a training</w:t>
      </w:r>
      <w:r w:rsidR="003F2853">
        <w:t xml:space="preserve"> intervention could create </w:t>
      </w:r>
      <w:r w:rsidR="00EA4F95">
        <w:t>a statistically significant change in active vol</w:t>
      </w:r>
      <w:r w:rsidR="003F2853">
        <w:t>unteer participation</w:t>
      </w:r>
      <w:r w:rsidR="00EA4F95">
        <w:t>.</w:t>
      </w:r>
    </w:p>
    <w:p w14:paraId="27B18E58" w14:textId="77777777" w:rsidR="001F60B9" w:rsidRPr="001F60B9" w:rsidRDefault="001F60B9" w:rsidP="00170F51">
      <w:pPr>
        <w:rPr>
          <w:b/>
        </w:rPr>
      </w:pPr>
      <w:r w:rsidRPr="001F60B9">
        <w:rPr>
          <w:b/>
        </w:rPr>
        <w:t>Observations</w:t>
      </w:r>
    </w:p>
    <w:p w14:paraId="3AA184FD" w14:textId="42B26511" w:rsidR="00D479A3" w:rsidRDefault="004A29FA" w:rsidP="00170F51">
      <w:r>
        <w:t>A total of eight Foundation members attended the training: the five active members, plus three inactive members who were curious about P2P strategy.</w:t>
      </w:r>
      <w:r w:rsidR="00C350DC">
        <w:t xml:space="preserve">  A warm and welcoming atmosphere was maintained, resulting in camaraderie between active and formerly active members.</w:t>
      </w:r>
    </w:p>
    <w:p w14:paraId="4722FF10" w14:textId="65F609B9" w:rsidR="007E6AD2" w:rsidRDefault="007E6AD2" w:rsidP="00170F51">
      <w:r>
        <w:tab/>
        <w:t>All attendees paid full attention to eac</w:t>
      </w:r>
      <w:r w:rsidR="00481FF9">
        <w:t xml:space="preserve">h slide in the training, without </w:t>
      </w:r>
      <w:r w:rsidR="00B058B4">
        <w:t>exhibiting distraction</w:t>
      </w:r>
      <w:r w:rsidR="00481FF9">
        <w:t xml:space="preserve"> from electronic devices or other intrusions</w:t>
      </w:r>
      <w:r>
        <w:t>.  Attendees were observed taking notes on their</w:t>
      </w:r>
      <w:r w:rsidR="00747CE7">
        <w:t xml:space="preserve"> paper pads.  At the</w:t>
      </w:r>
      <w:r w:rsidR="00C57738">
        <w:t xml:space="preserve"> end of each </w:t>
      </w:r>
      <w:r w:rsidR="00BC096A">
        <w:t xml:space="preserve">PowerPoint </w:t>
      </w:r>
      <w:r w:rsidR="00C57738">
        <w:t>slide</w:t>
      </w:r>
      <w:r w:rsidR="00747CE7">
        <w:t xml:space="preserve">, attendees were </w:t>
      </w:r>
      <w:r w:rsidR="00C61280">
        <w:t>encouraged to ask questions for clarification</w:t>
      </w:r>
      <w:r w:rsidR="00C57738">
        <w:t xml:space="preserve"> before the next slide was presented</w:t>
      </w:r>
      <w:r w:rsidR="00C61280">
        <w:t>.</w:t>
      </w:r>
    </w:p>
    <w:p w14:paraId="6A10AEEC" w14:textId="096D5084" w:rsidR="00134B63" w:rsidRDefault="00B94E47" w:rsidP="00170F51">
      <w:r>
        <w:tab/>
        <w:t xml:space="preserve">During role-playing segments of the training, attendees engaged in realistic and lively </w:t>
      </w:r>
      <w:r w:rsidR="00735458">
        <w:t xml:space="preserve">simulated </w:t>
      </w:r>
      <w:r>
        <w:t>interactions.</w:t>
      </w:r>
      <w:r w:rsidR="00760846">
        <w:t xml:space="preserve">  Participants were divided into four pairings; these pairings were change four times in order to provided varying scenarios.</w:t>
      </w:r>
    </w:p>
    <w:p w14:paraId="6A0C2D29" w14:textId="36A8A10B" w:rsidR="00672FBF" w:rsidRDefault="00134B63" w:rsidP="00170F51">
      <w:r>
        <w:tab/>
        <w:t xml:space="preserve">Attendees were </w:t>
      </w:r>
      <w:r w:rsidR="00B92D25">
        <w:t xml:space="preserve">introduced to </w:t>
      </w:r>
      <w:r w:rsidR="005B5F8F">
        <w:t xml:space="preserve">research </w:t>
      </w:r>
      <w:r w:rsidR="00B92D25">
        <w:t>measurement tool</w:t>
      </w:r>
      <w:r>
        <w:t>s such as metrics and key performa</w:t>
      </w:r>
      <w:r w:rsidR="00CA46B0">
        <w:t>nce indicators, but only for term</w:t>
      </w:r>
      <w:r>
        <w:t xml:space="preserve"> familiarization</w:t>
      </w:r>
      <w:r w:rsidR="00CA46B0">
        <w:t xml:space="preserve"> and informational purposes</w:t>
      </w:r>
      <w:r>
        <w:t xml:space="preserve">.  </w:t>
      </w:r>
      <w:r w:rsidR="005B5F8F">
        <w:t xml:space="preserve">It was made clear to participants that </w:t>
      </w:r>
      <w:r w:rsidR="00CA46B0">
        <w:t xml:space="preserve">actual </w:t>
      </w:r>
      <w:r>
        <w:t xml:space="preserve">use of </w:t>
      </w:r>
      <w:r w:rsidR="00B92D25">
        <w:t>t</w:t>
      </w:r>
      <w:r w:rsidR="005B5F8F">
        <w:t xml:space="preserve">he above tools was neither expected </w:t>
      </w:r>
      <w:r w:rsidR="003A2C46">
        <w:t xml:space="preserve">of them </w:t>
      </w:r>
      <w:r w:rsidR="005B5F8F">
        <w:t>nor necessary</w:t>
      </w:r>
      <w:r w:rsidR="003A2C46">
        <w:t xml:space="preserve"> for </w:t>
      </w:r>
      <w:r w:rsidR="00CA46B0">
        <w:t xml:space="preserve">successful </w:t>
      </w:r>
      <w:r w:rsidR="003A2C46">
        <w:t>P2P networking/recruiting</w:t>
      </w:r>
      <w:r w:rsidR="005B5F8F">
        <w:t>.</w:t>
      </w:r>
    </w:p>
    <w:p w14:paraId="32CED063" w14:textId="3A4DECF3" w:rsidR="00BA293A" w:rsidRDefault="002D797B" w:rsidP="002D797B">
      <w:r>
        <w:lastRenderedPageBreak/>
        <w:tab/>
        <w:t>After</w:t>
      </w:r>
      <w:r w:rsidR="00B94CD8">
        <w:t xml:space="preserve"> the training workshop, attendee</w:t>
      </w:r>
      <w:r w:rsidR="00070ADC">
        <w:t>s were directed to a table laden with</w:t>
      </w:r>
      <w:r w:rsidR="00B94CD8">
        <w:t xml:space="preserve"> </w:t>
      </w:r>
      <w:r w:rsidR="00365547">
        <w:t>volunteer</w:t>
      </w:r>
      <w:r w:rsidR="00245309">
        <w:t>ing</w:t>
      </w:r>
      <w:r w:rsidR="00365547">
        <w:t xml:space="preserve"> </w:t>
      </w:r>
      <w:r w:rsidR="00B94CD8">
        <w:t xml:space="preserve">sign-up sheets for </w:t>
      </w:r>
      <w:r w:rsidR="00FF6C19">
        <w:t>four</w:t>
      </w:r>
      <w:r w:rsidR="001E1C8D">
        <w:t xml:space="preserve"> upcoming</w:t>
      </w:r>
      <w:r w:rsidR="00B94CD8">
        <w:t xml:space="preserve"> Foundation events: 1) a </w:t>
      </w:r>
      <w:r w:rsidR="00FF6C19">
        <w:t>donor appreciation Taco Night,</w:t>
      </w:r>
      <w:r w:rsidR="00D6787E">
        <w:t xml:space="preserve"> 2</w:t>
      </w:r>
      <w:r w:rsidR="00B94CD8">
        <w:t>) the hospital</w:t>
      </w:r>
      <w:r w:rsidR="002E5D46">
        <w:t>’s community</w:t>
      </w:r>
      <w:r w:rsidR="00B94CD8">
        <w:t xml:space="preserve"> Health Fair,</w:t>
      </w:r>
      <w:r w:rsidR="002E5D46">
        <w:t xml:space="preserve"> </w:t>
      </w:r>
      <w:r w:rsidR="00D6787E">
        <w:t>3) the Foundation’s general meeting, 4</w:t>
      </w:r>
      <w:r w:rsidR="00FF6C19">
        <w:t xml:space="preserve">) </w:t>
      </w:r>
      <w:r w:rsidR="00D96ADC">
        <w:t xml:space="preserve">a </w:t>
      </w:r>
      <w:r w:rsidR="00651046">
        <w:t>committee meeting for the</w:t>
      </w:r>
      <w:r w:rsidR="00D96ADC">
        <w:t xml:space="preserve"> Foundation</w:t>
      </w:r>
      <w:r w:rsidR="00651046">
        <w:t>’s</w:t>
      </w:r>
      <w:r w:rsidR="00D96ADC">
        <w:t xml:space="preserve"> golf event fundraiser.</w:t>
      </w:r>
      <w:r w:rsidR="0014108B">
        <w:t xml:space="preserve">  Attendees were observed si</w:t>
      </w:r>
      <w:r w:rsidR="001862C0">
        <w:t xml:space="preserve">gning </w:t>
      </w:r>
      <w:r w:rsidR="003D7946">
        <w:t xml:space="preserve">up for </w:t>
      </w:r>
      <w:r w:rsidR="00917CD3">
        <w:t xml:space="preserve">volunteering </w:t>
      </w:r>
      <w:r w:rsidR="003D7946">
        <w:t>events</w:t>
      </w:r>
      <w:r w:rsidR="001862C0">
        <w:t>, adding event d</w:t>
      </w:r>
      <w:r w:rsidR="0014108B">
        <w:t xml:space="preserve">ates to their phone calendars, and discussing </w:t>
      </w:r>
      <w:r w:rsidR="00096997">
        <w:t xml:space="preserve">amongst themselves </w:t>
      </w:r>
      <w:r w:rsidR="005B4149">
        <w:t>possible networking strategies</w:t>
      </w:r>
      <w:r w:rsidR="00096997">
        <w:t xml:space="preserve"> </w:t>
      </w:r>
      <w:r w:rsidR="005B4149">
        <w:t xml:space="preserve">to use </w:t>
      </w:r>
      <w:r w:rsidR="00096997">
        <w:t>with</w:t>
      </w:r>
      <w:r w:rsidR="00595D44">
        <w:t xml:space="preserve"> their</w:t>
      </w:r>
      <w:r w:rsidR="00096997">
        <w:t xml:space="preserve"> </w:t>
      </w:r>
      <w:r w:rsidR="0014108B">
        <w:t>peers in other organizations.</w:t>
      </w:r>
      <w:r w:rsidR="00837D26">
        <w:t xml:space="preserve">  </w:t>
      </w:r>
      <w:r w:rsidR="00BA293A">
        <w:t>Attendees were thanked for their participation and excused to leave the conference room.</w:t>
      </w:r>
    </w:p>
    <w:p w14:paraId="255C4E6A" w14:textId="2B406EFC" w:rsidR="00D93208" w:rsidRPr="00D93208" w:rsidRDefault="00D93208" w:rsidP="00837D26">
      <w:pPr>
        <w:jc w:val="center"/>
      </w:pPr>
      <w:r w:rsidRPr="00D93208">
        <w:rPr>
          <w:b/>
          <w:bCs/>
        </w:rPr>
        <w:t>Evaluation</w:t>
      </w:r>
    </w:p>
    <w:p w14:paraId="27DFA75D" w14:textId="09C975DC" w:rsidR="009E558A" w:rsidRDefault="00837D26" w:rsidP="006230D4">
      <w:r>
        <w:t>The sign-up sheets on the table revealed that all eight trainin</w:t>
      </w:r>
      <w:r w:rsidR="00B86B54">
        <w:t>g workshop attendees signed up to volunteer</w:t>
      </w:r>
      <w:r w:rsidR="00124769">
        <w:t xml:space="preserve">––many </w:t>
      </w:r>
      <w:r w:rsidR="00B86B54">
        <w:t>volunteering</w:t>
      </w:r>
      <w:r w:rsidR="001833C0">
        <w:t xml:space="preserve"> </w:t>
      </w:r>
      <w:r w:rsidR="00124769">
        <w:t xml:space="preserve">for more than one Foundation event.  </w:t>
      </w:r>
      <w:r w:rsidR="00797A5B">
        <w:t xml:space="preserve">While encouraging, this observation </w:t>
      </w:r>
      <w:r w:rsidR="009E558A">
        <w:t>in itself w</w:t>
      </w:r>
      <w:r w:rsidR="00797A5B">
        <w:t xml:space="preserve">ould not objectively determine a </w:t>
      </w:r>
      <w:r w:rsidR="00503363">
        <w:t>measurable</w:t>
      </w:r>
      <w:r w:rsidR="00797A5B">
        <w:t xml:space="preserve"> increase in the number of </w:t>
      </w:r>
      <w:r w:rsidR="006D3D3A">
        <w:t>active</w:t>
      </w:r>
      <w:r w:rsidR="00797A5B">
        <w:t xml:space="preserve"> Foundation volunteers.</w:t>
      </w:r>
      <w:r w:rsidR="009E558A">
        <w:t xml:space="preserve">  It would be necessary to tally the </w:t>
      </w:r>
      <w:r w:rsidR="006C2F43">
        <w:t xml:space="preserve">total </w:t>
      </w:r>
      <w:r w:rsidR="009E558A">
        <w:t>number of active volunteers</w:t>
      </w:r>
      <w:r w:rsidR="006C2F43">
        <w:t xml:space="preserve"> (returning and new)</w:t>
      </w:r>
      <w:r w:rsidR="009E558A">
        <w:t xml:space="preserve"> following the four sign-u</w:t>
      </w:r>
      <w:r w:rsidR="007528D9">
        <w:t>p events.  A</w:t>
      </w:r>
      <w:r w:rsidR="009E558A">
        <w:t>ttendance would be taken</w:t>
      </w:r>
      <w:r w:rsidR="00F003D4">
        <w:t xml:space="preserve"> at each of these</w:t>
      </w:r>
      <w:r w:rsidR="000B543A">
        <w:t xml:space="preserve"> </w:t>
      </w:r>
      <w:r w:rsidR="009E558A">
        <w:t>events</w:t>
      </w:r>
      <w:r w:rsidR="003633C9">
        <w:t xml:space="preserve"> using </w:t>
      </w:r>
      <w:r w:rsidR="007528D9">
        <w:t xml:space="preserve">sign-in </w:t>
      </w:r>
      <w:r w:rsidR="003633C9">
        <w:t>rosters</w:t>
      </w:r>
      <w:r w:rsidR="009E558A">
        <w:t>; only then could a proper tally be made.</w:t>
      </w:r>
    </w:p>
    <w:p w14:paraId="60E405A7" w14:textId="22BAEB3F" w:rsidR="00656986" w:rsidRDefault="009E558A" w:rsidP="00D13106">
      <w:r>
        <w:tab/>
        <w:t xml:space="preserve">At the conclusion of the four Foundation events, </w:t>
      </w:r>
      <w:r w:rsidR="00CC7BE4">
        <w:t>the total number of volunteer participants was tallied.</w:t>
      </w:r>
      <w:r w:rsidR="003E3F1F">
        <w:t xml:space="preserve">  </w:t>
      </w:r>
      <w:r w:rsidR="006B3B33">
        <w:t xml:space="preserve">That number </w:t>
      </w:r>
      <w:r w:rsidR="00D13106">
        <w:t xml:space="preserve">totaled 15 active </w:t>
      </w:r>
      <w:r w:rsidR="00DA250D">
        <w:t>volunteers</w:t>
      </w:r>
      <w:r w:rsidR="00D13106">
        <w:t>––</w:t>
      </w:r>
      <w:r w:rsidR="006B3B33">
        <w:t>an increase over the 5 active volunteers prior to the training workshop.</w:t>
      </w:r>
      <w:r w:rsidR="00D13106">
        <w:t xml:space="preserve">  </w:t>
      </w:r>
      <w:r w:rsidR="003633C9">
        <w:t xml:space="preserve">Since there were only 8 attendees at the training workshop, the names on the </w:t>
      </w:r>
      <w:r w:rsidR="00A5204F">
        <w:t>event sign-in</w:t>
      </w:r>
      <w:r w:rsidR="003633C9">
        <w:t xml:space="preserve"> rosters</w:t>
      </w:r>
      <w:r w:rsidR="00940E3E">
        <w:t xml:space="preserve"> revealed an </w:t>
      </w:r>
      <w:r w:rsidR="00656986">
        <w:t xml:space="preserve">increase of </w:t>
      </w:r>
      <w:r w:rsidR="00656986" w:rsidRPr="00940E3E">
        <w:rPr>
          <w:i/>
        </w:rPr>
        <w:t xml:space="preserve">7 </w:t>
      </w:r>
      <w:r w:rsidR="00940E3E" w:rsidRPr="00940E3E">
        <w:rPr>
          <w:i/>
        </w:rPr>
        <w:t xml:space="preserve">additional </w:t>
      </w:r>
      <w:r w:rsidR="00656986" w:rsidRPr="00940E3E">
        <w:rPr>
          <w:i/>
        </w:rPr>
        <w:t>volunteers from outside the Foundation</w:t>
      </w:r>
      <w:r w:rsidR="00656986">
        <w:t>.  This indicated that peer-to-peer (P2P) networking had brought new volunteers.</w:t>
      </w:r>
      <w:r w:rsidR="00197B4F">
        <w:t xml:space="preserve">  </w:t>
      </w:r>
      <w:r w:rsidR="0087371C">
        <w:t>Foundation members who attended the training workshop</w:t>
      </w:r>
      <w:r w:rsidR="00197B4F">
        <w:t xml:space="preserve"> confirmed that they had indeed incorporated P2P techniques learned in the workshop</w:t>
      </w:r>
      <w:r w:rsidR="0087371C">
        <w:t>.</w:t>
      </w:r>
    </w:p>
    <w:p w14:paraId="004E4359" w14:textId="77777777" w:rsidR="007C527B" w:rsidRDefault="00D13106" w:rsidP="00A954B2">
      <w:pPr>
        <w:ind w:firstLine="720"/>
      </w:pPr>
      <w:r>
        <w:t>In order to rigorously test the hypothesis of significant change, a</w:t>
      </w:r>
      <w:r w:rsidRPr="00D13106">
        <w:t xml:space="preserve"> Chi-Squared test of independence was conducted to examine the association between two categorical variables by </w:t>
      </w:r>
      <w:r w:rsidRPr="00D13106">
        <w:lastRenderedPageBreak/>
        <w:t>comparing observed frequencies in a contingency table with expected frequencies derived under the hypothesis that the variables are independent.</w:t>
      </w:r>
      <w:r w:rsidR="00A954B2">
        <w:t xml:space="preserve">  </w:t>
      </w:r>
      <w:r w:rsidR="00D164BA">
        <w:t>Two groups were established</w:t>
      </w:r>
      <w:r w:rsidR="00D83F29">
        <w:t xml:space="preserve"> as follows</w:t>
      </w:r>
      <w:r w:rsidR="00D164BA">
        <w:t>:</w:t>
      </w:r>
    </w:p>
    <w:p w14:paraId="3CBBAE76" w14:textId="4FF8385E" w:rsidR="00D83F29" w:rsidRPr="007C527B" w:rsidRDefault="007C527B" w:rsidP="007C527B">
      <w:pPr>
        <w:rPr>
          <w:b/>
        </w:rPr>
      </w:pPr>
      <w:r w:rsidRPr="007C527B">
        <w:rPr>
          <w:b/>
        </w:rPr>
        <w:t>Table 1.</w:t>
      </w:r>
      <w:r w:rsidR="00FB25BA" w:rsidRPr="007C527B">
        <w:rPr>
          <w:b/>
        </w:rPr>
        <w:t xml:space="preserve"> </w:t>
      </w:r>
    </w:p>
    <w:tbl>
      <w:tblPr>
        <w:tblW w:w="0" w:type="auto"/>
        <w:tblCellSpacing w:w="15" w:type="dxa"/>
        <w:tblInd w:w="45" w:type="dxa"/>
        <w:tblCellMar>
          <w:top w:w="15" w:type="dxa"/>
          <w:left w:w="15" w:type="dxa"/>
          <w:bottom w:w="15" w:type="dxa"/>
          <w:right w:w="15" w:type="dxa"/>
        </w:tblCellMar>
        <w:tblLook w:val="04A0" w:firstRow="1" w:lastRow="0" w:firstColumn="1" w:lastColumn="0" w:noHBand="0" w:noVBand="1"/>
      </w:tblPr>
      <w:tblGrid>
        <w:gridCol w:w="1618"/>
        <w:gridCol w:w="2196"/>
        <w:gridCol w:w="2089"/>
      </w:tblGrid>
      <w:tr w:rsidR="00D83F29" w:rsidRPr="0017392C" w14:paraId="5FD8A88B" w14:textId="77777777" w:rsidTr="00D83F29">
        <w:trPr>
          <w:tblCellSpacing w:w="15" w:type="dxa"/>
        </w:trPr>
        <w:tc>
          <w:tcPr>
            <w:tcW w:w="0" w:type="auto"/>
            <w:vAlign w:val="center"/>
            <w:hideMark/>
          </w:tcPr>
          <w:p w14:paraId="135E5D6F" w14:textId="77777777" w:rsidR="00D83F29" w:rsidRPr="0017392C" w:rsidRDefault="00D83F29" w:rsidP="00547344">
            <w:pPr>
              <w:rPr>
                <w:rFonts w:eastAsia="Times New Roman"/>
                <w:sz w:val="20"/>
                <w:szCs w:val="20"/>
              </w:rPr>
            </w:pPr>
            <w:r w:rsidRPr="0017392C">
              <w:rPr>
                <w:rFonts w:eastAsia="Times New Roman"/>
                <w:sz w:val="20"/>
                <w:szCs w:val="20"/>
              </w:rPr>
              <w:t>Group</w:t>
            </w:r>
          </w:p>
        </w:tc>
        <w:tc>
          <w:tcPr>
            <w:tcW w:w="0" w:type="auto"/>
            <w:vAlign w:val="center"/>
            <w:hideMark/>
          </w:tcPr>
          <w:p w14:paraId="2633338F" w14:textId="77777777" w:rsidR="00D83F29" w:rsidRPr="0017392C" w:rsidRDefault="00D83F29" w:rsidP="00547344">
            <w:pPr>
              <w:rPr>
                <w:rFonts w:eastAsia="Times New Roman"/>
                <w:sz w:val="20"/>
                <w:szCs w:val="20"/>
              </w:rPr>
            </w:pPr>
            <w:r w:rsidRPr="0017392C">
              <w:rPr>
                <w:rFonts w:eastAsia="Times New Roman"/>
                <w:sz w:val="20"/>
                <w:szCs w:val="20"/>
              </w:rPr>
              <w:t>Before Training Workshop</w:t>
            </w:r>
          </w:p>
        </w:tc>
        <w:tc>
          <w:tcPr>
            <w:tcW w:w="0" w:type="auto"/>
            <w:vAlign w:val="center"/>
            <w:hideMark/>
          </w:tcPr>
          <w:p w14:paraId="154DAC53" w14:textId="77777777" w:rsidR="00D83F29" w:rsidRPr="0017392C" w:rsidRDefault="00D83F29" w:rsidP="00547344">
            <w:pPr>
              <w:rPr>
                <w:rFonts w:eastAsia="Times New Roman"/>
                <w:sz w:val="20"/>
                <w:szCs w:val="20"/>
              </w:rPr>
            </w:pPr>
            <w:r w:rsidRPr="0017392C">
              <w:rPr>
                <w:rFonts w:eastAsia="Times New Roman"/>
                <w:sz w:val="20"/>
                <w:szCs w:val="20"/>
              </w:rPr>
              <w:t>After Training Workshop</w:t>
            </w:r>
          </w:p>
        </w:tc>
      </w:tr>
      <w:tr w:rsidR="00D83F29" w:rsidRPr="0017392C" w14:paraId="79CC850C" w14:textId="77777777" w:rsidTr="00D83F29">
        <w:trPr>
          <w:tblCellSpacing w:w="15" w:type="dxa"/>
        </w:trPr>
        <w:tc>
          <w:tcPr>
            <w:tcW w:w="0" w:type="auto"/>
            <w:vAlign w:val="center"/>
            <w:hideMark/>
          </w:tcPr>
          <w:p w14:paraId="15C6C5C6" w14:textId="77777777" w:rsidR="00D83F29" w:rsidRPr="0017392C" w:rsidRDefault="00D83F29" w:rsidP="00547344">
            <w:pPr>
              <w:rPr>
                <w:rFonts w:eastAsia="Times New Roman"/>
                <w:sz w:val="20"/>
                <w:szCs w:val="20"/>
              </w:rPr>
            </w:pPr>
            <w:r w:rsidRPr="0017392C">
              <w:rPr>
                <w:rFonts w:eastAsia="Times New Roman"/>
                <w:sz w:val="20"/>
                <w:szCs w:val="20"/>
              </w:rPr>
              <w:t>Active Volunteers</w:t>
            </w:r>
          </w:p>
        </w:tc>
        <w:tc>
          <w:tcPr>
            <w:tcW w:w="0" w:type="auto"/>
            <w:vAlign w:val="center"/>
            <w:hideMark/>
          </w:tcPr>
          <w:p w14:paraId="059DF847" w14:textId="77777777" w:rsidR="00D83F29" w:rsidRPr="0017392C" w:rsidRDefault="00D83F29" w:rsidP="00547344">
            <w:pPr>
              <w:rPr>
                <w:rFonts w:eastAsia="Times New Roman"/>
                <w:sz w:val="20"/>
                <w:szCs w:val="20"/>
              </w:rPr>
            </w:pPr>
            <w:r w:rsidRPr="0017392C">
              <w:rPr>
                <w:rFonts w:eastAsia="Times New Roman"/>
                <w:sz w:val="20"/>
                <w:szCs w:val="20"/>
              </w:rPr>
              <w:t>5.00</w:t>
            </w:r>
          </w:p>
        </w:tc>
        <w:tc>
          <w:tcPr>
            <w:tcW w:w="0" w:type="auto"/>
            <w:vAlign w:val="center"/>
            <w:hideMark/>
          </w:tcPr>
          <w:p w14:paraId="184A69E0" w14:textId="77777777" w:rsidR="00D83F29" w:rsidRPr="0017392C" w:rsidRDefault="00D83F29" w:rsidP="00547344">
            <w:pPr>
              <w:rPr>
                <w:rFonts w:eastAsia="Times New Roman"/>
                <w:sz w:val="20"/>
                <w:szCs w:val="20"/>
              </w:rPr>
            </w:pPr>
            <w:r w:rsidRPr="0017392C">
              <w:rPr>
                <w:rFonts w:eastAsia="Times New Roman"/>
                <w:sz w:val="20"/>
                <w:szCs w:val="20"/>
              </w:rPr>
              <w:t>15.00</w:t>
            </w:r>
          </w:p>
        </w:tc>
      </w:tr>
      <w:tr w:rsidR="00D83F29" w:rsidRPr="0017392C" w14:paraId="3B653C83" w14:textId="77777777" w:rsidTr="00D83F29">
        <w:trPr>
          <w:tblCellSpacing w:w="15" w:type="dxa"/>
        </w:trPr>
        <w:tc>
          <w:tcPr>
            <w:tcW w:w="0" w:type="auto"/>
            <w:vAlign w:val="center"/>
            <w:hideMark/>
          </w:tcPr>
          <w:p w14:paraId="361912EC" w14:textId="77777777" w:rsidR="00D83F29" w:rsidRPr="0017392C" w:rsidRDefault="00D83F29" w:rsidP="00547344">
            <w:pPr>
              <w:rPr>
                <w:rFonts w:eastAsia="Times New Roman"/>
                <w:sz w:val="20"/>
                <w:szCs w:val="20"/>
              </w:rPr>
            </w:pPr>
            <w:r w:rsidRPr="0017392C">
              <w:rPr>
                <w:rFonts w:eastAsia="Times New Roman"/>
                <w:sz w:val="20"/>
                <w:szCs w:val="20"/>
              </w:rPr>
              <w:t>Inactive Volunteers</w:t>
            </w:r>
          </w:p>
        </w:tc>
        <w:tc>
          <w:tcPr>
            <w:tcW w:w="0" w:type="auto"/>
            <w:vAlign w:val="center"/>
            <w:hideMark/>
          </w:tcPr>
          <w:p w14:paraId="7AF7C16C" w14:textId="77777777" w:rsidR="00D83F29" w:rsidRPr="0017392C" w:rsidRDefault="00D83F29" w:rsidP="00547344">
            <w:pPr>
              <w:rPr>
                <w:rFonts w:eastAsia="Times New Roman"/>
                <w:sz w:val="20"/>
                <w:szCs w:val="20"/>
              </w:rPr>
            </w:pPr>
            <w:r w:rsidRPr="0017392C">
              <w:rPr>
                <w:rFonts w:eastAsia="Times New Roman"/>
                <w:sz w:val="20"/>
                <w:szCs w:val="20"/>
              </w:rPr>
              <w:t>13.00</w:t>
            </w:r>
          </w:p>
        </w:tc>
        <w:tc>
          <w:tcPr>
            <w:tcW w:w="0" w:type="auto"/>
            <w:vAlign w:val="center"/>
            <w:hideMark/>
          </w:tcPr>
          <w:p w14:paraId="0DC43656" w14:textId="77777777" w:rsidR="00D83F29" w:rsidRPr="0017392C" w:rsidRDefault="00D83F29" w:rsidP="00547344">
            <w:pPr>
              <w:rPr>
                <w:rFonts w:eastAsia="Times New Roman"/>
                <w:sz w:val="20"/>
                <w:szCs w:val="20"/>
              </w:rPr>
            </w:pPr>
            <w:r w:rsidRPr="0017392C">
              <w:rPr>
                <w:rFonts w:eastAsia="Times New Roman"/>
                <w:sz w:val="20"/>
                <w:szCs w:val="20"/>
              </w:rPr>
              <w:t>7.00</w:t>
            </w:r>
          </w:p>
        </w:tc>
      </w:tr>
      <w:tr w:rsidR="00D83F29" w:rsidRPr="0017392C" w14:paraId="3A81DF4B" w14:textId="77777777" w:rsidTr="00D83F29">
        <w:trPr>
          <w:tblCellSpacing w:w="15" w:type="dxa"/>
        </w:trPr>
        <w:tc>
          <w:tcPr>
            <w:tcW w:w="0" w:type="auto"/>
            <w:vAlign w:val="center"/>
            <w:hideMark/>
          </w:tcPr>
          <w:p w14:paraId="35CF3B11" w14:textId="77777777" w:rsidR="00D83F29" w:rsidRPr="0017392C" w:rsidRDefault="00D83F29" w:rsidP="00547344">
            <w:pPr>
              <w:rPr>
                <w:rFonts w:eastAsia="Times New Roman"/>
                <w:sz w:val="20"/>
                <w:szCs w:val="20"/>
              </w:rPr>
            </w:pPr>
          </w:p>
        </w:tc>
        <w:tc>
          <w:tcPr>
            <w:tcW w:w="0" w:type="auto"/>
            <w:vAlign w:val="center"/>
            <w:hideMark/>
          </w:tcPr>
          <w:p w14:paraId="6A19CDF8" w14:textId="77777777" w:rsidR="00D83F29" w:rsidRPr="0017392C" w:rsidRDefault="00D83F29" w:rsidP="00547344">
            <w:pPr>
              <w:rPr>
                <w:rFonts w:eastAsia="Times New Roman"/>
                <w:sz w:val="20"/>
                <w:szCs w:val="20"/>
              </w:rPr>
            </w:pPr>
          </w:p>
        </w:tc>
        <w:tc>
          <w:tcPr>
            <w:tcW w:w="0" w:type="auto"/>
            <w:vAlign w:val="center"/>
            <w:hideMark/>
          </w:tcPr>
          <w:p w14:paraId="7AFF9847" w14:textId="77777777" w:rsidR="00D83F29" w:rsidRPr="0017392C" w:rsidRDefault="00D83F29" w:rsidP="00547344">
            <w:pPr>
              <w:rPr>
                <w:rFonts w:eastAsia="Times New Roman"/>
                <w:sz w:val="20"/>
                <w:szCs w:val="20"/>
              </w:rPr>
            </w:pPr>
          </w:p>
        </w:tc>
      </w:tr>
    </w:tbl>
    <w:p w14:paraId="1E872C29" w14:textId="0720AF93" w:rsidR="00FC08E8" w:rsidRDefault="00FC08E8" w:rsidP="00D83F29">
      <w:r>
        <w:t xml:space="preserve"> </w:t>
      </w:r>
    </w:p>
    <w:p w14:paraId="64EB693C" w14:textId="18FC78F3" w:rsidR="00D164BA" w:rsidRDefault="00C23D7F" w:rsidP="00FC08E8">
      <w:r>
        <w:t xml:space="preserve">The </w:t>
      </w:r>
      <w:r w:rsidR="00FC08E8">
        <w:t xml:space="preserve">Chi-Squared </w:t>
      </w:r>
      <w:r w:rsidR="00184830">
        <w:t xml:space="preserve">analysis proved a statistically significant </w:t>
      </w:r>
      <w:r w:rsidR="00FD5E5F">
        <w:t>change as follows:</w:t>
      </w:r>
    </w:p>
    <w:p w14:paraId="00974F1C" w14:textId="47C29A4C" w:rsidR="007C527B" w:rsidRPr="007C527B" w:rsidRDefault="007C527B" w:rsidP="00FC08E8">
      <w:pPr>
        <w:rPr>
          <w:b/>
        </w:rPr>
      </w:pPr>
      <w:r w:rsidRPr="007C527B">
        <w:rPr>
          <w:b/>
        </w:rPr>
        <w:t>Table 2.</w:t>
      </w:r>
    </w:p>
    <w:tbl>
      <w:tblPr>
        <w:tblW w:w="0" w:type="auto"/>
        <w:tblCellSpacing w:w="15" w:type="dxa"/>
        <w:tblInd w:w="45" w:type="dxa"/>
        <w:tblCellMar>
          <w:top w:w="15" w:type="dxa"/>
          <w:left w:w="15" w:type="dxa"/>
          <w:bottom w:w="15" w:type="dxa"/>
          <w:right w:w="15" w:type="dxa"/>
        </w:tblCellMar>
        <w:tblLook w:val="04A0" w:firstRow="1" w:lastRow="0" w:firstColumn="1" w:lastColumn="0" w:noHBand="0" w:noVBand="1"/>
      </w:tblPr>
      <w:tblGrid>
        <w:gridCol w:w="1867"/>
        <w:gridCol w:w="1025"/>
      </w:tblGrid>
      <w:tr w:rsidR="00C23D7F" w:rsidRPr="0017392C" w14:paraId="14088184" w14:textId="77777777" w:rsidTr="00E17A97">
        <w:trPr>
          <w:tblCellSpacing w:w="15" w:type="dxa"/>
        </w:trPr>
        <w:tc>
          <w:tcPr>
            <w:tcW w:w="0" w:type="auto"/>
            <w:vAlign w:val="center"/>
            <w:hideMark/>
          </w:tcPr>
          <w:p w14:paraId="755BC8CD" w14:textId="77777777" w:rsidR="00C23D7F" w:rsidRPr="0017392C" w:rsidRDefault="00C23D7F" w:rsidP="00547344">
            <w:pPr>
              <w:rPr>
                <w:rFonts w:eastAsia="Times New Roman"/>
                <w:sz w:val="20"/>
                <w:szCs w:val="20"/>
              </w:rPr>
            </w:pPr>
            <w:r w:rsidRPr="0017392C">
              <w:rPr>
                <w:rFonts w:eastAsia="Times New Roman"/>
                <w:sz w:val="20"/>
                <w:szCs w:val="20"/>
              </w:rPr>
              <w:t>Statistic</w:t>
            </w:r>
          </w:p>
        </w:tc>
        <w:tc>
          <w:tcPr>
            <w:tcW w:w="0" w:type="auto"/>
            <w:vAlign w:val="center"/>
            <w:hideMark/>
          </w:tcPr>
          <w:p w14:paraId="5D334C71" w14:textId="77777777" w:rsidR="00C23D7F" w:rsidRPr="0017392C" w:rsidRDefault="00C23D7F" w:rsidP="00547344">
            <w:pPr>
              <w:rPr>
                <w:rFonts w:eastAsia="Times New Roman"/>
                <w:sz w:val="20"/>
                <w:szCs w:val="20"/>
              </w:rPr>
            </w:pPr>
            <w:r w:rsidRPr="0017392C">
              <w:rPr>
                <w:rFonts w:eastAsia="Times New Roman"/>
                <w:sz w:val="20"/>
                <w:szCs w:val="20"/>
              </w:rPr>
              <w:t>Value</w:t>
            </w:r>
          </w:p>
        </w:tc>
      </w:tr>
      <w:tr w:rsidR="00C23D7F" w:rsidRPr="0017392C" w14:paraId="0CF50183" w14:textId="77777777" w:rsidTr="00E17A97">
        <w:trPr>
          <w:tblCellSpacing w:w="15" w:type="dxa"/>
        </w:trPr>
        <w:tc>
          <w:tcPr>
            <w:tcW w:w="0" w:type="auto"/>
            <w:vAlign w:val="center"/>
            <w:hideMark/>
          </w:tcPr>
          <w:p w14:paraId="255D5F19" w14:textId="77777777" w:rsidR="00C23D7F" w:rsidRPr="0017392C" w:rsidRDefault="00C23D7F" w:rsidP="00547344">
            <w:pPr>
              <w:rPr>
                <w:rFonts w:eastAsia="Times New Roman"/>
                <w:sz w:val="20"/>
                <w:szCs w:val="20"/>
              </w:rPr>
            </w:pPr>
            <w:r w:rsidRPr="0017392C">
              <w:rPr>
                <w:rFonts w:eastAsia="Times New Roman"/>
                <w:sz w:val="20"/>
                <w:szCs w:val="20"/>
              </w:rPr>
              <w:t>Chi-Squared Statistic</w:t>
            </w:r>
          </w:p>
        </w:tc>
        <w:tc>
          <w:tcPr>
            <w:tcW w:w="0" w:type="auto"/>
            <w:vAlign w:val="center"/>
            <w:hideMark/>
          </w:tcPr>
          <w:p w14:paraId="0A161A20" w14:textId="77777777" w:rsidR="00C23D7F" w:rsidRPr="0017392C" w:rsidRDefault="00C23D7F" w:rsidP="00547344">
            <w:pPr>
              <w:rPr>
                <w:rFonts w:eastAsia="Times New Roman"/>
                <w:sz w:val="20"/>
                <w:szCs w:val="20"/>
              </w:rPr>
            </w:pPr>
            <w:r w:rsidRPr="0017392C">
              <w:rPr>
                <w:rFonts w:eastAsia="Times New Roman"/>
                <w:sz w:val="20"/>
                <w:szCs w:val="20"/>
              </w:rPr>
              <w:t>6.4646</w:t>
            </w:r>
          </w:p>
        </w:tc>
      </w:tr>
      <w:tr w:rsidR="00C23D7F" w:rsidRPr="0017392C" w14:paraId="3608DD84" w14:textId="77777777" w:rsidTr="00E17A97">
        <w:trPr>
          <w:tblCellSpacing w:w="15" w:type="dxa"/>
        </w:trPr>
        <w:tc>
          <w:tcPr>
            <w:tcW w:w="0" w:type="auto"/>
            <w:vAlign w:val="center"/>
            <w:hideMark/>
          </w:tcPr>
          <w:p w14:paraId="2E47C7CC" w14:textId="77777777" w:rsidR="00C23D7F" w:rsidRPr="0017392C" w:rsidRDefault="00C23D7F" w:rsidP="00547344">
            <w:pPr>
              <w:rPr>
                <w:rFonts w:eastAsia="Times New Roman"/>
                <w:sz w:val="20"/>
                <w:szCs w:val="20"/>
              </w:rPr>
            </w:pPr>
            <w:r w:rsidRPr="0017392C">
              <w:rPr>
                <w:rFonts w:eastAsia="Times New Roman"/>
                <w:sz w:val="20"/>
                <w:szCs w:val="20"/>
              </w:rPr>
              <w:t>Degrees of Freedom</w:t>
            </w:r>
          </w:p>
        </w:tc>
        <w:tc>
          <w:tcPr>
            <w:tcW w:w="0" w:type="auto"/>
            <w:vAlign w:val="center"/>
            <w:hideMark/>
          </w:tcPr>
          <w:p w14:paraId="12C8A259" w14:textId="77777777" w:rsidR="00C23D7F" w:rsidRPr="0017392C" w:rsidRDefault="00C23D7F" w:rsidP="00547344">
            <w:pPr>
              <w:rPr>
                <w:rFonts w:eastAsia="Times New Roman"/>
                <w:sz w:val="20"/>
                <w:szCs w:val="20"/>
              </w:rPr>
            </w:pPr>
            <w:r w:rsidRPr="0017392C">
              <w:rPr>
                <w:rFonts w:eastAsia="Times New Roman"/>
                <w:sz w:val="20"/>
                <w:szCs w:val="20"/>
              </w:rPr>
              <w:t>1.0000</w:t>
            </w:r>
          </w:p>
        </w:tc>
      </w:tr>
      <w:tr w:rsidR="00C23D7F" w:rsidRPr="0017392C" w14:paraId="38E6159D" w14:textId="77777777" w:rsidTr="00E17A97">
        <w:trPr>
          <w:tblCellSpacing w:w="15" w:type="dxa"/>
        </w:trPr>
        <w:tc>
          <w:tcPr>
            <w:tcW w:w="0" w:type="auto"/>
            <w:vAlign w:val="center"/>
            <w:hideMark/>
          </w:tcPr>
          <w:p w14:paraId="0D26D8BD" w14:textId="77777777" w:rsidR="00C23D7F" w:rsidRPr="0017392C" w:rsidRDefault="00C23D7F" w:rsidP="00547344">
            <w:pPr>
              <w:rPr>
                <w:rFonts w:eastAsia="Times New Roman"/>
                <w:sz w:val="20"/>
                <w:szCs w:val="20"/>
              </w:rPr>
            </w:pPr>
            <w:r w:rsidRPr="0017392C">
              <w:rPr>
                <w:rFonts w:eastAsia="Times New Roman"/>
                <w:sz w:val="20"/>
                <w:szCs w:val="20"/>
              </w:rPr>
              <w:t>p-value</w:t>
            </w:r>
          </w:p>
        </w:tc>
        <w:tc>
          <w:tcPr>
            <w:tcW w:w="0" w:type="auto"/>
            <w:vAlign w:val="center"/>
            <w:hideMark/>
          </w:tcPr>
          <w:p w14:paraId="26557E96" w14:textId="77777777" w:rsidR="00C23D7F" w:rsidRPr="0017392C" w:rsidRDefault="00C23D7F" w:rsidP="00547344">
            <w:pPr>
              <w:rPr>
                <w:rFonts w:eastAsia="Times New Roman"/>
                <w:sz w:val="20"/>
                <w:szCs w:val="20"/>
              </w:rPr>
            </w:pPr>
            <w:r w:rsidRPr="0017392C">
              <w:rPr>
                <w:rFonts w:eastAsia="Times New Roman"/>
                <w:sz w:val="20"/>
                <w:szCs w:val="20"/>
              </w:rPr>
              <w:t>0.01100415</w:t>
            </w:r>
          </w:p>
        </w:tc>
      </w:tr>
      <w:tr w:rsidR="00C23D7F" w:rsidRPr="0017392C" w14:paraId="17856AA3" w14:textId="77777777" w:rsidTr="00E17A97">
        <w:trPr>
          <w:tblCellSpacing w:w="15" w:type="dxa"/>
        </w:trPr>
        <w:tc>
          <w:tcPr>
            <w:tcW w:w="0" w:type="auto"/>
            <w:vAlign w:val="center"/>
            <w:hideMark/>
          </w:tcPr>
          <w:p w14:paraId="6DD7E8B2" w14:textId="77777777" w:rsidR="00C23D7F" w:rsidRPr="0017392C" w:rsidRDefault="00C23D7F" w:rsidP="00547344">
            <w:pPr>
              <w:rPr>
                <w:rFonts w:eastAsia="Times New Roman"/>
                <w:sz w:val="20"/>
                <w:szCs w:val="20"/>
              </w:rPr>
            </w:pPr>
            <w:r w:rsidRPr="0017392C">
              <w:rPr>
                <w:rFonts w:eastAsia="Times New Roman"/>
                <w:sz w:val="20"/>
                <w:szCs w:val="20"/>
              </w:rPr>
              <w:t>Fisher's Exact p-Value</w:t>
            </w:r>
          </w:p>
        </w:tc>
        <w:tc>
          <w:tcPr>
            <w:tcW w:w="0" w:type="auto"/>
            <w:vAlign w:val="center"/>
            <w:hideMark/>
          </w:tcPr>
          <w:p w14:paraId="0F06EB81" w14:textId="77777777" w:rsidR="00C23D7F" w:rsidRPr="0017392C" w:rsidRDefault="00C23D7F" w:rsidP="00547344">
            <w:pPr>
              <w:rPr>
                <w:rFonts w:eastAsia="Times New Roman"/>
                <w:sz w:val="20"/>
                <w:szCs w:val="20"/>
              </w:rPr>
            </w:pPr>
            <w:r w:rsidRPr="0017392C">
              <w:rPr>
                <w:rFonts w:eastAsia="Times New Roman"/>
                <w:sz w:val="20"/>
                <w:szCs w:val="20"/>
              </w:rPr>
              <w:t>0.02484172</w:t>
            </w:r>
          </w:p>
        </w:tc>
      </w:tr>
    </w:tbl>
    <w:p w14:paraId="7102BF34" w14:textId="77777777" w:rsidR="00C23D7F" w:rsidRDefault="00C23D7F" w:rsidP="00C23D7F"/>
    <w:p w14:paraId="35A35354" w14:textId="4272F181" w:rsidR="00C5353D" w:rsidRPr="00C5353D" w:rsidRDefault="00FA09B4" w:rsidP="00C5353D">
      <w:pPr>
        <w:rPr>
          <w:b/>
          <w:bCs/>
        </w:rPr>
      </w:pPr>
      <w:r>
        <w:rPr>
          <w:b/>
          <w:bCs/>
        </w:rPr>
        <w:t>Hypotheses</w:t>
      </w:r>
      <w:bookmarkStart w:id="0" w:name="_GoBack"/>
      <w:bookmarkEnd w:id="0"/>
    </w:p>
    <w:p w14:paraId="55C08A8A" w14:textId="77777777" w:rsidR="00C5353D" w:rsidRPr="00C5353D" w:rsidRDefault="00C5353D" w:rsidP="00C5353D">
      <w:r w:rsidRPr="00C5353D">
        <w:t>H0: No statistically significant association exists between Before Training Workshop and After Training Workshop.</w:t>
      </w:r>
    </w:p>
    <w:p w14:paraId="2124EB1C" w14:textId="77777777" w:rsidR="00C5353D" w:rsidRDefault="00C5353D" w:rsidP="00C5353D">
      <w:r w:rsidRPr="00C5353D">
        <w:t>Ha: A statistically significant association exists between Before Training Workshop and After Training Workshop.</w:t>
      </w:r>
    </w:p>
    <w:p w14:paraId="64A5D705" w14:textId="205C556F" w:rsidR="00C5353D" w:rsidRPr="00C5353D" w:rsidRDefault="00C5353D" w:rsidP="00C5353D">
      <w:r w:rsidRPr="00C5353D">
        <w:rPr>
          <w:b/>
          <w:bCs/>
        </w:rPr>
        <w:t>Findings</w:t>
      </w:r>
    </w:p>
    <w:p w14:paraId="4936B5B4" w14:textId="77777777" w:rsidR="00C5353D" w:rsidRPr="00C5353D" w:rsidRDefault="00C5353D" w:rsidP="00547344">
      <w:r w:rsidRPr="00C5353D">
        <w:t>The Chi-Squared procedure suggests a statistically significant association between Before Training Workshop and After Training Workshop at an alpha level of 0.050 (p = 0.01100415).</w:t>
      </w:r>
    </w:p>
    <w:p w14:paraId="2297D3C1" w14:textId="52E5A0E4" w:rsidR="00C5353D" w:rsidRDefault="00C5353D" w:rsidP="00547344">
      <w:r w:rsidRPr="00C5353D">
        <w:lastRenderedPageBreak/>
        <w:t>Fisher's Exact Test suggests no statistically significant association between Before Training Workshop and After Training Workshop at an alpha level of 0.050 (p = 0.01100415).</w:t>
      </w:r>
    </w:p>
    <w:p w14:paraId="42BF461E" w14:textId="19711014" w:rsidR="00914121" w:rsidRPr="00B630A5" w:rsidRDefault="00A82845" w:rsidP="00B630A5">
      <w:pPr>
        <w:jc w:val="center"/>
        <w:rPr>
          <w:b/>
        </w:rPr>
      </w:pPr>
      <w:r w:rsidRPr="00B630A5">
        <w:rPr>
          <w:b/>
        </w:rPr>
        <w:t xml:space="preserve">Initial </w:t>
      </w:r>
      <w:r w:rsidR="00914121" w:rsidRPr="00B630A5">
        <w:rPr>
          <w:b/>
        </w:rPr>
        <w:t>Reflection</w:t>
      </w:r>
    </w:p>
    <w:p w14:paraId="37FBFBE2" w14:textId="77777777" w:rsidR="00D8624A" w:rsidRDefault="00D8624A" w:rsidP="00D8624A">
      <w:r>
        <w:t>This action research intervention was successful because it created the anticipated change in the number of active Foundation volunteer participants.  The intervention itself was kept simple; thus it is an easily repeatable form of research.  The researcher sees no need to conduct this intervention differently, as it was successful.</w:t>
      </w:r>
    </w:p>
    <w:p w14:paraId="56110E82" w14:textId="58FAEC72" w:rsidR="002250D0" w:rsidRDefault="00D8624A" w:rsidP="00D8624A">
      <w:pPr>
        <w:pStyle w:val="normal0"/>
        <w:ind w:firstLine="720"/>
      </w:pPr>
      <w:r>
        <w:t>The researcher was personally pleased with attendees’ receptivity to the training workshop content, principles, and applied strategy.  The success of this intervention strengthened the researcher’s confidence in the ability to effectively create constructive organizational change.</w:t>
      </w:r>
      <w:r w:rsidR="002250D0">
        <w:t xml:space="preserve">. </w:t>
      </w:r>
      <w:r w:rsidR="006350F3">
        <w:t xml:space="preserve">Broader implications of </w:t>
      </w:r>
      <w:r w:rsidR="006350F3" w:rsidRPr="00343BD8">
        <w:t>project</w:t>
      </w:r>
      <w:r w:rsidR="006350F3">
        <w:t xml:space="preserve"> outcomes</w:t>
      </w:r>
      <w:r w:rsidR="006350F3" w:rsidRPr="00343BD8">
        <w:t xml:space="preserve"> </w:t>
      </w:r>
      <w:r w:rsidR="006350F3">
        <w:t xml:space="preserve">will be examined to determine whether this particular training session intervention might be scaled up </w:t>
      </w:r>
      <w:r w:rsidR="006350F3" w:rsidRPr="00343BD8">
        <w:t xml:space="preserve">for </w:t>
      </w:r>
      <w:r w:rsidR="006350F3">
        <w:t>larger segments of society, along with</w:t>
      </w:r>
      <w:r w:rsidR="006350F3" w:rsidRPr="00343BD8">
        <w:t xml:space="preserve"> future research in applied and clinical sociology.</w:t>
      </w:r>
      <w:r w:rsidR="006350F3">
        <w:t xml:space="preserve">  A content-flexible, scalable version of this intervention could conceivably “change the world” if disseminated widely.</w:t>
      </w:r>
    </w:p>
    <w:p w14:paraId="3EF1D307" w14:textId="7A21AF4E" w:rsidR="00914121" w:rsidRDefault="006C1873" w:rsidP="006C1873">
      <w:pPr>
        <w:ind w:firstLine="720"/>
      </w:pPr>
      <w:r>
        <w:t>This</w:t>
      </w:r>
      <w:r w:rsidR="002250D0">
        <w:t xml:space="preserve"> project aligns with </w:t>
      </w:r>
      <w:r>
        <w:t>the researcher’s</w:t>
      </w:r>
      <w:r w:rsidR="002250D0">
        <w:t xml:space="preserve"> initial expectations</w:t>
      </w:r>
      <w:r w:rsidR="00196C94">
        <w:t xml:space="preserve"> considering its small scope</w:t>
      </w:r>
      <w:r>
        <w:t>.  Below</w:t>
      </w:r>
      <w:r w:rsidR="00196C94">
        <w:t xml:space="preserve"> are ideas</w:t>
      </w:r>
      <w:r>
        <w:t xml:space="preserve"> for evaluative elements that could be utilized </w:t>
      </w:r>
      <w:r w:rsidR="003D4969">
        <w:t>for future practice</w:t>
      </w:r>
      <w:r w:rsidR="00196C94">
        <w:t xml:space="preserve"> in a more comprehensive</w:t>
      </w:r>
      <w:r>
        <w:t xml:space="preserve"> IRB-approved </w:t>
      </w:r>
      <w:r w:rsidR="00B76C79">
        <w:t xml:space="preserve">Participatory Action Research </w:t>
      </w:r>
      <w:r>
        <w:t>intervention</w:t>
      </w:r>
      <w:r w:rsidR="00914121" w:rsidRPr="00343BD8">
        <w:t>.</w:t>
      </w:r>
    </w:p>
    <w:p w14:paraId="2ADE7F06" w14:textId="77777777" w:rsidR="001133AD" w:rsidRDefault="001133AD" w:rsidP="00170F51">
      <w:pPr>
        <w:pStyle w:val="Heading1"/>
      </w:pPr>
    </w:p>
    <w:p w14:paraId="34BBC14D" w14:textId="77777777" w:rsidR="001133AD" w:rsidRDefault="001133AD" w:rsidP="00170F51">
      <w:pPr>
        <w:pStyle w:val="Heading1"/>
      </w:pPr>
    </w:p>
    <w:p w14:paraId="21F382B0" w14:textId="77777777" w:rsidR="001133AD" w:rsidRDefault="001133AD" w:rsidP="00170F51">
      <w:pPr>
        <w:pStyle w:val="Heading1"/>
      </w:pPr>
    </w:p>
    <w:p w14:paraId="15E95A01" w14:textId="77777777" w:rsidR="001133AD" w:rsidRDefault="001133AD" w:rsidP="00170F51">
      <w:pPr>
        <w:pStyle w:val="Heading1"/>
      </w:pPr>
    </w:p>
    <w:p w14:paraId="342E9774" w14:textId="77777777" w:rsidR="001133AD" w:rsidRDefault="001133AD" w:rsidP="00170F51">
      <w:pPr>
        <w:pStyle w:val="Heading1"/>
      </w:pPr>
    </w:p>
    <w:p w14:paraId="7A7514BB" w14:textId="77777777" w:rsidR="001133AD" w:rsidRDefault="001133AD" w:rsidP="00170F51">
      <w:pPr>
        <w:pStyle w:val="Heading1"/>
      </w:pPr>
    </w:p>
    <w:p w14:paraId="064F8545" w14:textId="21A22502" w:rsidR="00B17773" w:rsidRPr="00B17773" w:rsidRDefault="00B17773" w:rsidP="00D8624A">
      <w:pPr>
        <w:pStyle w:val="Heading1"/>
      </w:pPr>
      <w:r w:rsidRPr="00B17773">
        <w:lastRenderedPageBreak/>
        <w:t>References</w:t>
      </w:r>
    </w:p>
    <w:p w14:paraId="7F4DFA0E" w14:textId="77777777" w:rsidR="008749A9" w:rsidRPr="00AB5A29" w:rsidRDefault="008749A9" w:rsidP="008749A9">
      <w:pPr>
        <w:ind w:left="720"/>
        <w:rPr>
          <w:iCs/>
        </w:rPr>
      </w:pPr>
      <w:r w:rsidRPr="00AB5A29">
        <w:rPr>
          <w:iCs/>
        </w:rPr>
        <w:t>Ainsworth, J. (2020). Feelings of ownership and volunteering: Examining psychological</w:t>
      </w:r>
    </w:p>
    <w:p w14:paraId="6D7EF5A0" w14:textId="77777777" w:rsidR="008749A9" w:rsidRPr="00AB5A29" w:rsidRDefault="008749A9" w:rsidP="008749A9">
      <w:pPr>
        <w:ind w:left="1440"/>
        <w:rPr>
          <w:iCs/>
        </w:rPr>
      </w:pPr>
      <w:r w:rsidRPr="00AB5A29">
        <w:rPr>
          <w:iCs/>
        </w:rPr>
        <w:t xml:space="preserve">ownership as a volunteering motivation for nonprofit service organisations. </w:t>
      </w:r>
      <w:r w:rsidRPr="00AB5A29">
        <w:rPr>
          <w:i/>
          <w:iCs/>
        </w:rPr>
        <w:t>Journal of Retailing and Consumer Services</w:t>
      </w:r>
      <w:r w:rsidRPr="00AB5A29">
        <w:rPr>
          <w:iCs/>
        </w:rPr>
        <w:t xml:space="preserve">, </w:t>
      </w:r>
      <w:r w:rsidRPr="00AB5A29">
        <w:rPr>
          <w:i/>
          <w:iCs/>
        </w:rPr>
        <w:t>52</w:t>
      </w:r>
      <w:r w:rsidRPr="00AB5A29">
        <w:rPr>
          <w:iCs/>
        </w:rPr>
        <w:t>, 101931. https://doi.org/10.1016/j.jretconser.2019.101931</w:t>
      </w:r>
    </w:p>
    <w:p w14:paraId="3AA1F5C9" w14:textId="77777777" w:rsidR="008749A9" w:rsidRPr="00AB5A29" w:rsidRDefault="008749A9" w:rsidP="008749A9">
      <w:pPr>
        <w:ind w:left="720"/>
        <w:rPr>
          <w:iCs/>
        </w:rPr>
      </w:pPr>
      <w:r w:rsidRPr="00AB5A29">
        <w:rPr>
          <w:iCs/>
        </w:rPr>
        <w:t>Arka, T., Ellingsen-Dalskau, L. H., &amp; Ihlebæk, C. (2022). Long-term commitment to</w:t>
      </w:r>
    </w:p>
    <w:p w14:paraId="725EE0D4" w14:textId="77777777" w:rsidR="008749A9" w:rsidRPr="00AB5A29" w:rsidRDefault="008749A9" w:rsidP="008749A9">
      <w:pPr>
        <w:ind w:left="1440"/>
        <w:rPr>
          <w:iCs/>
        </w:rPr>
      </w:pPr>
      <w:r w:rsidRPr="00AB5A29">
        <w:rPr>
          <w:iCs/>
        </w:rPr>
        <w:t xml:space="preserve">voluntary social work–the role of an autonomy-supportive work environment. </w:t>
      </w:r>
      <w:r w:rsidRPr="00AB5A29">
        <w:rPr>
          <w:i/>
          <w:iCs/>
        </w:rPr>
        <w:t>Voluntary Sector Review</w:t>
      </w:r>
      <w:r w:rsidRPr="00AB5A29">
        <w:rPr>
          <w:iCs/>
        </w:rPr>
        <w:t>, 1-15. https://doi.org/10.1332/20408052</w:t>
      </w:r>
    </w:p>
    <w:p w14:paraId="3CE429CA" w14:textId="77777777" w:rsidR="008749A9" w:rsidRPr="00AB5A29" w:rsidRDefault="008749A9" w:rsidP="008749A9">
      <w:pPr>
        <w:ind w:left="720" w:firstLine="720"/>
        <w:rPr>
          <w:iCs/>
        </w:rPr>
      </w:pPr>
      <w:r w:rsidRPr="00AB5A29">
        <w:rPr>
          <w:iCs/>
        </w:rPr>
        <w:t>1X16504447103977</w:t>
      </w:r>
    </w:p>
    <w:p w14:paraId="1823FF21" w14:textId="77777777" w:rsidR="008749A9" w:rsidRPr="00AB5A29" w:rsidRDefault="008749A9" w:rsidP="008749A9">
      <w:pPr>
        <w:ind w:left="720"/>
        <w:rPr>
          <w:iCs/>
        </w:rPr>
      </w:pPr>
      <w:r w:rsidRPr="00AB5A29">
        <w:rPr>
          <w:iCs/>
        </w:rPr>
        <w:t>Bilan, I. (2019). Challenges in Volunteer Management: Factors of Undesirable Volunteer</w:t>
      </w:r>
    </w:p>
    <w:p w14:paraId="37FF592D" w14:textId="77777777" w:rsidR="008749A9" w:rsidRPr="00AB5A29" w:rsidRDefault="008749A9" w:rsidP="008749A9">
      <w:pPr>
        <w:ind w:left="720" w:firstLine="720"/>
        <w:rPr>
          <w:iCs/>
        </w:rPr>
      </w:pPr>
      <w:r w:rsidRPr="00AB5A29">
        <w:rPr>
          <w:iCs/>
        </w:rPr>
        <w:t xml:space="preserve">Behavior. </w:t>
      </w:r>
      <w:r w:rsidRPr="00AB5A29">
        <w:rPr>
          <w:i/>
          <w:iCs/>
        </w:rPr>
        <w:t>SPNHA Review</w:t>
      </w:r>
      <w:r w:rsidRPr="00AB5A29">
        <w:rPr>
          <w:iCs/>
        </w:rPr>
        <w:t xml:space="preserve">, </w:t>
      </w:r>
      <w:r w:rsidRPr="00AB5A29">
        <w:rPr>
          <w:i/>
          <w:iCs/>
        </w:rPr>
        <w:t>15</w:t>
      </w:r>
      <w:r w:rsidRPr="00AB5A29">
        <w:rPr>
          <w:iCs/>
        </w:rPr>
        <w:t xml:space="preserve">(1), 4. </w:t>
      </w:r>
    </w:p>
    <w:p w14:paraId="5A0CD210" w14:textId="77777777" w:rsidR="008749A9" w:rsidRDefault="008749A9" w:rsidP="008749A9">
      <w:pPr>
        <w:ind w:firstLine="720"/>
        <w:rPr>
          <w:i/>
          <w:iCs/>
        </w:rPr>
      </w:pPr>
      <w:r w:rsidRPr="0033181F">
        <w:t xml:space="preserve">Charles, E. (2021). Religion and Social Change. </w:t>
      </w:r>
      <w:r w:rsidRPr="0033181F">
        <w:rPr>
          <w:i/>
          <w:iCs/>
        </w:rPr>
        <w:t>Indiana Journal of Humanities and</w:t>
      </w:r>
    </w:p>
    <w:p w14:paraId="38E38AED" w14:textId="77777777" w:rsidR="008749A9" w:rsidRDefault="008749A9" w:rsidP="008749A9">
      <w:pPr>
        <w:ind w:left="1440"/>
        <w:rPr>
          <w:rStyle w:val="Hyperlink"/>
        </w:rPr>
      </w:pPr>
      <w:r w:rsidRPr="0033181F">
        <w:rPr>
          <w:i/>
          <w:iCs/>
        </w:rPr>
        <w:t>Social Sciences</w:t>
      </w:r>
      <w:r w:rsidRPr="0033181F">
        <w:t xml:space="preserve">, </w:t>
      </w:r>
      <w:r w:rsidRPr="0033181F">
        <w:rPr>
          <w:i/>
          <w:iCs/>
        </w:rPr>
        <w:t>2</w:t>
      </w:r>
      <w:r w:rsidRPr="0033181F">
        <w:t xml:space="preserve">(11), 38-42. </w:t>
      </w:r>
      <w:hyperlink r:id="rId8" w:history="1">
        <w:r w:rsidRPr="000A316F">
          <w:rPr>
            <w:rStyle w:val="Hyperlink"/>
          </w:rPr>
          <w:t>https://indianapublications.com/Journals/IJHSS</w:t>
        </w:r>
      </w:hyperlink>
    </w:p>
    <w:p w14:paraId="0C557B25" w14:textId="77777777" w:rsidR="008749A9" w:rsidRPr="00AB5A29" w:rsidRDefault="008749A9" w:rsidP="008749A9">
      <w:pPr>
        <w:ind w:firstLine="720"/>
        <w:rPr>
          <w:iCs/>
        </w:rPr>
      </w:pPr>
      <w:r w:rsidRPr="00AB5A29">
        <w:rPr>
          <w:iCs/>
        </w:rPr>
        <w:t>Cho, H., Wong, Z. E., &amp; Chiu, W. (2020). The effect of volunteer management on</w:t>
      </w:r>
    </w:p>
    <w:p w14:paraId="4661F423" w14:textId="77777777" w:rsidR="008749A9" w:rsidRPr="00AB5A29" w:rsidRDefault="008749A9" w:rsidP="008749A9">
      <w:pPr>
        <w:ind w:left="1440"/>
        <w:rPr>
          <w:iCs/>
        </w:rPr>
      </w:pPr>
      <w:r w:rsidRPr="00AB5A29">
        <w:rPr>
          <w:iCs/>
        </w:rPr>
        <w:t xml:space="preserve">intention to continue volunteering: A mediating role of job satisfaction of volunteers. </w:t>
      </w:r>
      <w:r w:rsidRPr="00AB5A29">
        <w:rPr>
          <w:i/>
          <w:iCs/>
        </w:rPr>
        <w:t>Sage open</w:t>
      </w:r>
      <w:r w:rsidRPr="00AB5A29">
        <w:rPr>
          <w:iCs/>
        </w:rPr>
        <w:t xml:space="preserve">, </w:t>
      </w:r>
      <w:r w:rsidRPr="00AB5A29">
        <w:rPr>
          <w:i/>
          <w:iCs/>
        </w:rPr>
        <w:t>10</w:t>
      </w:r>
      <w:r w:rsidRPr="00AB5A29">
        <w:rPr>
          <w:iCs/>
        </w:rPr>
        <w:t>(2), 2158244020920588. DOI: 10.1177/2158244020920588</w:t>
      </w:r>
    </w:p>
    <w:p w14:paraId="36DFB74F" w14:textId="77777777" w:rsidR="008749A9" w:rsidRPr="00AB5A29" w:rsidRDefault="008749A9" w:rsidP="008749A9">
      <w:pPr>
        <w:ind w:left="720"/>
        <w:rPr>
          <w:iCs/>
        </w:rPr>
      </w:pPr>
      <w:r w:rsidRPr="00AB5A29">
        <w:rPr>
          <w:iCs/>
        </w:rPr>
        <w:t>Colibaba, A., Skinner, M., &amp; Russell, E. (2022). Supporting Older Volunteers &amp;</w:t>
      </w:r>
    </w:p>
    <w:p w14:paraId="3F882E50" w14:textId="77777777" w:rsidR="008749A9" w:rsidRDefault="008749A9" w:rsidP="008749A9">
      <w:pPr>
        <w:ind w:left="1440"/>
        <w:rPr>
          <w:iCs/>
        </w:rPr>
      </w:pPr>
      <w:r w:rsidRPr="00AB5A29">
        <w:rPr>
          <w:iCs/>
        </w:rPr>
        <w:t>Sustaining Volunteer-Based Programs in Rural Communities.</w:t>
      </w:r>
    </w:p>
    <w:p w14:paraId="66657A04" w14:textId="77777777" w:rsidR="008749A9" w:rsidRPr="00AB5A29" w:rsidRDefault="008749A9" w:rsidP="008749A9">
      <w:pPr>
        <w:ind w:left="720"/>
        <w:rPr>
          <w:iCs/>
        </w:rPr>
      </w:pPr>
      <w:r w:rsidRPr="00AB5A29">
        <w:rPr>
          <w:iCs/>
        </w:rPr>
        <w:t>Faletehan, A. F., van Burg, E., Thompson, N. A., &amp; Wempe, J. (2021). Called to</w:t>
      </w:r>
    </w:p>
    <w:p w14:paraId="5E06EC2E" w14:textId="77777777" w:rsidR="008749A9" w:rsidRPr="00AB5A29" w:rsidRDefault="008749A9" w:rsidP="008749A9">
      <w:pPr>
        <w:ind w:left="1440"/>
        <w:rPr>
          <w:iCs/>
        </w:rPr>
      </w:pPr>
      <w:r w:rsidRPr="00AB5A29">
        <w:rPr>
          <w:iCs/>
        </w:rPr>
        <w:t xml:space="preserve">volunteer and stay longer: the significance of work calling for volunteering motivation and retention. </w:t>
      </w:r>
      <w:r w:rsidRPr="00AB5A29">
        <w:rPr>
          <w:i/>
          <w:iCs/>
        </w:rPr>
        <w:t>Voluntary Sector Review</w:t>
      </w:r>
      <w:r w:rsidRPr="00AB5A29">
        <w:rPr>
          <w:iCs/>
        </w:rPr>
        <w:t xml:space="preserve">, </w:t>
      </w:r>
      <w:r w:rsidRPr="00AB5A29">
        <w:rPr>
          <w:i/>
          <w:iCs/>
        </w:rPr>
        <w:t>12</w:t>
      </w:r>
      <w:r w:rsidRPr="00AB5A29">
        <w:rPr>
          <w:iCs/>
        </w:rPr>
        <w:t xml:space="preserve">(2), 235-255. </w:t>
      </w:r>
    </w:p>
    <w:p w14:paraId="4A9F7CCC" w14:textId="77777777" w:rsidR="008749A9" w:rsidRPr="00AB5A29" w:rsidRDefault="008749A9" w:rsidP="008749A9">
      <w:pPr>
        <w:ind w:left="720"/>
        <w:rPr>
          <w:iCs/>
        </w:rPr>
      </w:pPr>
      <w:r w:rsidRPr="00AB5A29">
        <w:rPr>
          <w:iCs/>
        </w:rPr>
        <w:t>Farny, S., Kibler, E., Hai, S., &amp; Landoni, P. (2019). Volunteer retention in prosocial</w:t>
      </w:r>
    </w:p>
    <w:p w14:paraId="63838103" w14:textId="77777777" w:rsidR="008749A9" w:rsidRPr="00AB5A29" w:rsidRDefault="008749A9" w:rsidP="008749A9">
      <w:pPr>
        <w:ind w:left="1440"/>
        <w:rPr>
          <w:iCs/>
        </w:rPr>
      </w:pPr>
      <w:r w:rsidRPr="00AB5A29">
        <w:rPr>
          <w:iCs/>
        </w:rPr>
        <w:lastRenderedPageBreak/>
        <w:t xml:space="preserve">venturing: The role of emotional connectivity. </w:t>
      </w:r>
      <w:r w:rsidRPr="00AB5A29">
        <w:rPr>
          <w:i/>
          <w:iCs/>
        </w:rPr>
        <w:t>Entrepreneurship Theory and Practice</w:t>
      </w:r>
      <w:r w:rsidRPr="00AB5A29">
        <w:rPr>
          <w:iCs/>
        </w:rPr>
        <w:t xml:space="preserve">, </w:t>
      </w:r>
      <w:r w:rsidRPr="00AB5A29">
        <w:rPr>
          <w:i/>
          <w:iCs/>
        </w:rPr>
        <w:t>43</w:t>
      </w:r>
      <w:r w:rsidRPr="00AB5A29">
        <w:rPr>
          <w:iCs/>
        </w:rPr>
        <w:t>(6), 1094-1123. DOI: 10.1177/1042258718769055</w:t>
      </w:r>
    </w:p>
    <w:p w14:paraId="46F9474D" w14:textId="77777777" w:rsidR="008749A9" w:rsidRPr="00AB5A29" w:rsidRDefault="008749A9" w:rsidP="008749A9">
      <w:pPr>
        <w:ind w:left="720"/>
        <w:rPr>
          <w:i/>
          <w:iCs/>
        </w:rPr>
      </w:pPr>
      <w:r w:rsidRPr="00AB5A29">
        <w:rPr>
          <w:iCs/>
        </w:rPr>
        <w:t xml:space="preserve">Jackson, R., Locke, M., Hogg, E., &amp; Lynch, R. (2019). </w:t>
      </w:r>
      <w:r w:rsidRPr="00AB5A29">
        <w:rPr>
          <w:i/>
          <w:iCs/>
        </w:rPr>
        <w:t>The complete volunteer</w:t>
      </w:r>
    </w:p>
    <w:p w14:paraId="64312E6F" w14:textId="77777777" w:rsidR="008749A9" w:rsidRPr="00AB5A29" w:rsidRDefault="008749A9" w:rsidP="008749A9">
      <w:pPr>
        <w:ind w:left="720" w:firstLine="720"/>
        <w:rPr>
          <w:i/>
          <w:iCs/>
        </w:rPr>
      </w:pPr>
      <w:r w:rsidRPr="00AB5A29">
        <w:rPr>
          <w:i/>
          <w:iCs/>
        </w:rPr>
        <w:t>management handbook</w:t>
      </w:r>
      <w:r w:rsidRPr="00AB5A29">
        <w:rPr>
          <w:iCs/>
        </w:rPr>
        <w:t>. London: Directory of Social Change.</w:t>
      </w:r>
      <w:r>
        <w:rPr>
          <w:iCs/>
        </w:rPr>
        <w:t xml:space="preserve"> [BOOK]</w:t>
      </w:r>
    </w:p>
    <w:p w14:paraId="4DCF53E1" w14:textId="77777777" w:rsidR="008749A9" w:rsidRPr="00AB5A29" w:rsidRDefault="008749A9" w:rsidP="008749A9">
      <w:pPr>
        <w:ind w:left="720"/>
        <w:rPr>
          <w:i/>
          <w:iCs/>
        </w:rPr>
      </w:pPr>
      <w:r w:rsidRPr="00AB5A29">
        <w:rPr>
          <w:iCs/>
        </w:rPr>
        <w:t xml:space="preserve">Kalinka, E. A. (2020). </w:t>
      </w:r>
      <w:r w:rsidRPr="00AB5A29">
        <w:rPr>
          <w:i/>
          <w:iCs/>
        </w:rPr>
        <w:t>Rotarians’ Transformative Path from Initiate to Servant Leader: A</w:t>
      </w:r>
    </w:p>
    <w:p w14:paraId="25D1CCBC" w14:textId="77777777" w:rsidR="008749A9" w:rsidRPr="00AB5A29" w:rsidRDefault="008749A9" w:rsidP="008749A9">
      <w:pPr>
        <w:ind w:left="1440"/>
        <w:rPr>
          <w:i/>
          <w:iCs/>
        </w:rPr>
      </w:pPr>
      <w:r w:rsidRPr="00AB5A29">
        <w:rPr>
          <w:i/>
          <w:iCs/>
        </w:rPr>
        <w:t>Narrative Study Examining the Motivation to Volunteer</w:t>
      </w:r>
      <w:r w:rsidRPr="00AB5A29">
        <w:rPr>
          <w:iCs/>
        </w:rPr>
        <w:t xml:space="preserve"> (Doctoral dissertation, Seton Hall University). </w:t>
      </w:r>
    </w:p>
    <w:p w14:paraId="7CA814A5" w14:textId="77777777" w:rsidR="008749A9" w:rsidRPr="00AB5A29" w:rsidRDefault="008749A9" w:rsidP="008749A9">
      <w:pPr>
        <w:ind w:left="720"/>
        <w:rPr>
          <w:i/>
          <w:iCs/>
        </w:rPr>
      </w:pPr>
      <w:r w:rsidRPr="00AB5A29">
        <w:rPr>
          <w:iCs/>
        </w:rPr>
        <w:t xml:space="preserve">Kimble, J. T. (2020). </w:t>
      </w:r>
      <w:r w:rsidRPr="00AB5A29">
        <w:rPr>
          <w:i/>
          <w:iCs/>
        </w:rPr>
        <w:t>Use of Survey Data to Guide the Development of Best Practices for</w:t>
      </w:r>
    </w:p>
    <w:p w14:paraId="572D01AA" w14:textId="77777777" w:rsidR="008749A9" w:rsidRPr="00AB5A29" w:rsidRDefault="008749A9" w:rsidP="008749A9">
      <w:pPr>
        <w:ind w:left="720" w:firstLine="720"/>
        <w:rPr>
          <w:i/>
          <w:iCs/>
        </w:rPr>
      </w:pPr>
      <w:r w:rsidRPr="00AB5A29">
        <w:rPr>
          <w:i/>
          <w:iCs/>
        </w:rPr>
        <w:t>Instruction for the Recruitment of Volunteer Firefighters</w:t>
      </w:r>
      <w:r w:rsidRPr="00AB5A29">
        <w:rPr>
          <w:iCs/>
        </w:rPr>
        <w:t xml:space="preserve">. University of Kentucky. </w:t>
      </w:r>
    </w:p>
    <w:p w14:paraId="74A5BD2F" w14:textId="77777777" w:rsidR="008749A9" w:rsidRPr="00AB5A29" w:rsidRDefault="008749A9" w:rsidP="008749A9">
      <w:pPr>
        <w:ind w:left="720"/>
        <w:rPr>
          <w:iCs/>
        </w:rPr>
      </w:pPr>
      <w:r w:rsidRPr="00AB5A29">
        <w:rPr>
          <w:iCs/>
        </w:rPr>
        <w:t>Kuhn, T., Nguyen, B., Silano, V., Smith, S., &amp; Stewart, S. (2019). Empowerment</w:t>
      </w:r>
    </w:p>
    <w:p w14:paraId="15579988" w14:textId="77777777" w:rsidR="008749A9" w:rsidRPr="00AB5A29" w:rsidRDefault="008749A9" w:rsidP="008749A9">
      <w:pPr>
        <w:ind w:left="720" w:firstLine="720"/>
        <w:rPr>
          <w:iCs/>
        </w:rPr>
      </w:pPr>
      <w:r w:rsidRPr="00AB5A29">
        <w:rPr>
          <w:iCs/>
        </w:rPr>
        <w:t>Squared: Volunteer Recruitment, Engagement and Retention.</w:t>
      </w:r>
    </w:p>
    <w:p w14:paraId="5CA9A7C8" w14:textId="77777777" w:rsidR="008749A9" w:rsidRPr="00603B6F" w:rsidRDefault="008749A9" w:rsidP="008749A9">
      <w:pPr>
        <w:ind w:left="720"/>
        <w:rPr>
          <w:iCs/>
        </w:rPr>
      </w:pPr>
      <w:r w:rsidRPr="00603B6F">
        <w:rPr>
          <w:iCs/>
        </w:rPr>
        <w:t>Kumar, S., Sahoo, S., Lim, W. M., &amp; Dana, L. P. (2022). Religion as a social shaping</w:t>
      </w:r>
    </w:p>
    <w:p w14:paraId="73969864" w14:textId="77777777" w:rsidR="008749A9" w:rsidRPr="00603B6F" w:rsidRDefault="008749A9" w:rsidP="008749A9">
      <w:pPr>
        <w:ind w:left="720"/>
        <w:rPr>
          <w:iCs/>
        </w:rPr>
      </w:pPr>
      <w:r w:rsidRPr="00603B6F">
        <w:rPr>
          <w:iCs/>
        </w:rPr>
        <w:t xml:space="preserve">             force in entrepreneurship and business: Insights from a technology-empowered</w:t>
      </w:r>
    </w:p>
    <w:p w14:paraId="73613461" w14:textId="77777777" w:rsidR="008749A9" w:rsidRPr="00603B6F" w:rsidRDefault="008749A9" w:rsidP="008749A9">
      <w:pPr>
        <w:ind w:left="720"/>
        <w:rPr>
          <w:i/>
          <w:iCs/>
        </w:rPr>
      </w:pPr>
      <w:r w:rsidRPr="00603B6F">
        <w:rPr>
          <w:iCs/>
        </w:rPr>
        <w:t xml:space="preserve">             systematic literature review. </w:t>
      </w:r>
      <w:r w:rsidRPr="00603B6F">
        <w:rPr>
          <w:i/>
          <w:iCs/>
        </w:rPr>
        <w:t>Technological Forecasting and Social Change, 175,</w:t>
      </w:r>
    </w:p>
    <w:p w14:paraId="73235769" w14:textId="77777777" w:rsidR="008749A9" w:rsidRDefault="008749A9" w:rsidP="008749A9">
      <w:pPr>
        <w:ind w:left="720"/>
        <w:rPr>
          <w:iCs/>
        </w:rPr>
      </w:pPr>
      <w:r w:rsidRPr="00603B6F">
        <w:rPr>
          <w:i/>
          <w:iCs/>
        </w:rPr>
        <w:t xml:space="preserve">            121393.</w:t>
      </w:r>
    </w:p>
    <w:p w14:paraId="2DDD3FD2" w14:textId="77777777" w:rsidR="008749A9" w:rsidRPr="00AB5A29" w:rsidRDefault="008749A9" w:rsidP="008749A9">
      <w:pPr>
        <w:ind w:left="720"/>
        <w:rPr>
          <w:iCs/>
        </w:rPr>
      </w:pPr>
      <w:r w:rsidRPr="00AB5A29">
        <w:rPr>
          <w:iCs/>
        </w:rPr>
        <w:t>Lockstone-Binney, L., Holmes, K., Meijs, L. C., Oppenheimer, M., Haski-Leventhal, D.,</w:t>
      </w:r>
    </w:p>
    <w:p w14:paraId="1BE62BB1" w14:textId="77777777" w:rsidR="008749A9" w:rsidRPr="00AB5A29" w:rsidRDefault="008749A9" w:rsidP="008749A9">
      <w:pPr>
        <w:ind w:left="1440"/>
        <w:rPr>
          <w:iCs/>
        </w:rPr>
      </w:pPr>
      <w:r w:rsidRPr="00AB5A29">
        <w:rPr>
          <w:iCs/>
        </w:rPr>
        <w:t xml:space="preserve">&amp; Taplin, R. (2022). Growing the Volunteer Pool: Identifying Non-Volunteers Most Likely to Volunteer. </w:t>
      </w:r>
      <w:r w:rsidRPr="00AB5A29">
        <w:rPr>
          <w:i/>
          <w:iCs/>
        </w:rPr>
        <w:t>VOLUNTAS: International Journal of Voluntary and Nonprofit Organizations</w:t>
      </w:r>
      <w:r w:rsidRPr="00AB5A29">
        <w:rPr>
          <w:iCs/>
        </w:rPr>
        <w:t xml:space="preserve">, </w:t>
      </w:r>
      <w:r w:rsidRPr="00AB5A29">
        <w:rPr>
          <w:i/>
          <w:iCs/>
        </w:rPr>
        <w:t>33</w:t>
      </w:r>
      <w:r w:rsidRPr="00AB5A29">
        <w:rPr>
          <w:iCs/>
        </w:rPr>
        <w:t>(4), 777-794. https://doi.org/10.1007/s11266-021-00407-w</w:t>
      </w:r>
    </w:p>
    <w:p w14:paraId="3CAB32D9" w14:textId="1313A8B4" w:rsidR="00077F81" w:rsidRDefault="00077F81" w:rsidP="00077F81">
      <w:pPr>
        <w:ind w:left="1440" w:hanging="720"/>
        <w:rPr>
          <w:iCs/>
        </w:rPr>
      </w:pPr>
      <w:r w:rsidRPr="00EF7F6F">
        <w:t xml:space="preserve">Malik, H. A., &amp; Malik, F. A. (2022). Emile Durkheim Contributions to Sociology. </w:t>
      </w:r>
      <w:r w:rsidRPr="00EF7F6F">
        <w:rPr>
          <w:i/>
          <w:iCs/>
        </w:rPr>
        <w:t>Sociology</w:t>
      </w:r>
      <w:r w:rsidRPr="00EF7F6F">
        <w:t xml:space="preserve">, </w:t>
      </w:r>
      <w:r w:rsidRPr="00EF7F6F">
        <w:rPr>
          <w:i/>
          <w:iCs/>
        </w:rPr>
        <w:t>6</w:t>
      </w:r>
      <w:r w:rsidRPr="00EF7F6F">
        <w:t>(2), 7-10.</w:t>
      </w:r>
    </w:p>
    <w:p w14:paraId="6826D4F4" w14:textId="77777777" w:rsidR="008749A9" w:rsidRPr="00AB5A29" w:rsidRDefault="008749A9" w:rsidP="008749A9">
      <w:pPr>
        <w:ind w:firstLine="720"/>
        <w:rPr>
          <w:iCs/>
        </w:rPr>
      </w:pPr>
      <w:r w:rsidRPr="00AB5A29">
        <w:rPr>
          <w:iCs/>
        </w:rPr>
        <w:t>Mason, D. P., Chen, L. W., &amp; Lall, S. A. (2022). Can institutional support improve</w:t>
      </w:r>
    </w:p>
    <w:p w14:paraId="34C48290" w14:textId="77777777" w:rsidR="008749A9" w:rsidRPr="00AB5A29" w:rsidRDefault="008749A9" w:rsidP="008749A9">
      <w:pPr>
        <w:ind w:left="1440"/>
        <w:rPr>
          <w:iCs/>
        </w:rPr>
      </w:pPr>
      <w:r w:rsidRPr="00AB5A29">
        <w:rPr>
          <w:iCs/>
        </w:rPr>
        <w:lastRenderedPageBreak/>
        <w:t xml:space="preserve">volunteer quality? An analysis of online volunteer mentors. </w:t>
      </w:r>
      <w:r w:rsidRPr="00AB5A29">
        <w:rPr>
          <w:i/>
          <w:iCs/>
        </w:rPr>
        <w:t>VOLUNTAS: International Journal of Voluntary and Nonprofit Organizations</w:t>
      </w:r>
      <w:r w:rsidRPr="00AB5A29">
        <w:rPr>
          <w:iCs/>
        </w:rPr>
        <w:t xml:space="preserve">, </w:t>
      </w:r>
      <w:r w:rsidRPr="00AB5A29">
        <w:rPr>
          <w:i/>
          <w:iCs/>
        </w:rPr>
        <w:t>33</w:t>
      </w:r>
      <w:r w:rsidRPr="00AB5A29">
        <w:rPr>
          <w:iCs/>
        </w:rPr>
        <w:t>(3), 641-655. https://doi.org/10.1007/s11266-021-00407-w</w:t>
      </w:r>
    </w:p>
    <w:p w14:paraId="71D193B2" w14:textId="77777777" w:rsidR="008749A9" w:rsidRPr="00AB5A29" w:rsidRDefault="008749A9" w:rsidP="008749A9">
      <w:pPr>
        <w:ind w:left="720"/>
        <w:rPr>
          <w:iCs/>
        </w:rPr>
      </w:pPr>
      <w:r w:rsidRPr="00AB5A29">
        <w:rPr>
          <w:iCs/>
        </w:rPr>
        <w:t>Merrilees, B., Miller, D., &amp; Yakimova, R. (2020). Volunteer retention motives and</w:t>
      </w:r>
    </w:p>
    <w:p w14:paraId="101BF526" w14:textId="77777777" w:rsidR="008749A9" w:rsidRDefault="008749A9" w:rsidP="008749A9">
      <w:pPr>
        <w:ind w:left="720"/>
        <w:rPr>
          <w:i/>
          <w:iCs/>
        </w:rPr>
      </w:pPr>
      <w:r>
        <w:rPr>
          <w:iCs/>
        </w:rPr>
        <w:t xml:space="preserve">            </w:t>
      </w:r>
      <w:r w:rsidRPr="00AB5A29">
        <w:rPr>
          <w:iCs/>
        </w:rPr>
        <w:t xml:space="preserve">determinants across the volunteer lifecycle. </w:t>
      </w:r>
      <w:r w:rsidRPr="00AB5A29">
        <w:rPr>
          <w:i/>
          <w:iCs/>
        </w:rPr>
        <w:t xml:space="preserve">Journal of Nonprofit &amp; Public Sector </w:t>
      </w:r>
      <w:r>
        <w:rPr>
          <w:i/>
          <w:iCs/>
        </w:rPr>
        <w:t xml:space="preserve"> </w:t>
      </w:r>
    </w:p>
    <w:p w14:paraId="1B98726C" w14:textId="77777777" w:rsidR="008749A9" w:rsidRDefault="008749A9" w:rsidP="008749A9">
      <w:pPr>
        <w:ind w:left="720"/>
        <w:rPr>
          <w:iCs/>
        </w:rPr>
      </w:pPr>
      <w:r>
        <w:rPr>
          <w:i/>
          <w:iCs/>
        </w:rPr>
        <w:t xml:space="preserve">            </w:t>
      </w:r>
      <w:r w:rsidRPr="00AB5A29">
        <w:rPr>
          <w:i/>
          <w:iCs/>
        </w:rPr>
        <w:t>Marketing</w:t>
      </w:r>
      <w:r w:rsidRPr="00AB5A29">
        <w:rPr>
          <w:iCs/>
        </w:rPr>
        <w:t xml:space="preserve">, </w:t>
      </w:r>
      <w:r w:rsidRPr="00AB5A29">
        <w:rPr>
          <w:i/>
          <w:iCs/>
        </w:rPr>
        <w:t>32</w:t>
      </w:r>
      <w:r w:rsidRPr="00AB5A29">
        <w:rPr>
          <w:iCs/>
        </w:rPr>
        <w:t xml:space="preserve">(1), 25-46. DOI: </w:t>
      </w:r>
      <w:hyperlink r:id="rId9" w:history="1">
        <w:r w:rsidRPr="00AB5A29">
          <w:rPr>
            <w:rStyle w:val="Hyperlink"/>
            <w:iCs/>
          </w:rPr>
          <w:t>10.1080/10495142.2019.1689220</w:t>
        </w:r>
      </w:hyperlink>
    </w:p>
    <w:p w14:paraId="426A54E1" w14:textId="77777777" w:rsidR="008749A9" w:rsidRPr="00FF35C7" w:rsidRDefault="008749A9" w:rsidP="008749A9">
      <w:pPr>
        <w:ind w:left="720"/>
        <w:rPr>
          <w:iCs/>
        </w:rPr>
      </w:pPr>
      <w:r w:rsidRPr="00FF35C7">
        <w:rPr>
          <w:iCs/>
        </w:rPr>
        <w:t>Mitchell, S. L., &amp; Clark, M. (2021). Rethinking non-profit brands through a volunteer</w:t>
      </w:r>
    </w:p>
    <w:p w14:paraId="044705B2" w14:textId="77777777" w:rsidR="008749A9" w:rsidRDefault="008749A9" w:rsidP="008749A9">
      <w:pPr>
        <w:ind w:left="1440"/>
        <w:rPr>
          <w:iCs/>
        </w:rPr>
      </w:pPr>
      <w:r w:rsidRPr="00FF35C7">
        <w:rPr>
          <w:iCs/>
        </w:rPr>
        <w:t xml:space="preserve">lens: time for B2V. </w:t>
      </w:r>
      <w:r w:rsidRPr="00FF35C7">
        <w:rPr>
          <w:i/>
          <w:iCs/>
        </w:rPr>
        <w:t>Journal of Marketing Management</w:t>
      </w:r>
      <w:r w:rsidRPr="00FF35C7">
        <w:rPr>
          <w:iCs/>
        </w:rPr>
        <w:t xml:space="preserve">, </w:t>
      </w:r>
      <w:r w:rsidRPr="00FF35C7">
        <w:rPr>
          <w:i/>
          <w:iCs/>
        </w:rPr>
        <w:t>37</w:t>
      </w:r>
      <w:r w:rsidRPr="00FF35C7">
        <w:rPr>
          <w:iCs/>
        </w:rPr>
        <w:t xml:space="preserve">(5-6), 464-487. </w:t>
      </w:r>
      <w:r>
        <w:rPr>
          <w:iCs/>
        </w:rPr>
        <w:t>[no DOI available]</w:t>
      </w:r>
    </w:p>
    <w:p w14:paraId="33B23BDB" w14:textId="77777777" w:rsidR="008749A9" w:rsidRPr="009A1AB0" w:rsidRDefault="008749A9" w:rsidP="008749A9">
      <w:pPr>
        <w:ind w:firstLine="720"/>
        <w:rPr>
          <w:i/>
          <w:iCs/>
        </w:rPr>
      </w:pPr>
      <w:r w:rsidRPr="009A1AB0">
        <w:rPr>
          <w:iCs/>
        </w:rPr>
        <w:t xml:space="preserve">Reichard, J. D. (2024). Applied and Clinical Sociology: A Christian Perspective. In </w:t>
      </w:r>
      <w:r w:rsidRPr="009A1AB0">
        <w:rPr>
          <w:i/>
          <w:iCs/>
        </w:rPr>
        <w:t>The</w:t>
      </w:r>
    </w:p>
    <w:p w14:paraId="57AF1141" w14:textId="77777777" w:rsidR="008749A9" w:rsidRDefault="008749A9" w:rsidP="008749A9">
      <w:pPr>
        <w:ind w:left="1440"/>
        <w:rPr>
          <w:iCs/>
        </w:rPr>
      </w:pPr>
      <w:r w:rsidRPr="009A1AB0">
        <w:rPr>
          <w:i/>
          <w:iCs/>
        </w:rPr>
        <w:t>Routledge International Handbook of Sociology and Christianity</w:t>
      </w:r>
      <w:r w:rsidRPr="009A1AB0">
        <w:rPr>
          <w:iCs/>
        </w:rPr>
        <w:t xml:space="preserve"> (pp. 369-379). Routledge.</w:t>
      </w:r>
    </w:p>
    <w:p w14:paraId="6B16B765" w14:textId="77777777" w:rsidR="00EF2A1B" w:rsidRPr="00EF2A1B" w:rsidRDefault="00EF2A1B" w:rsidP="00EF2A1B">
      <w:pPr>
        <w:ind w:left="1440" w:hanging="720"/>
        <w:rPr>
          <w:iCs/>
        </w:rPr>
      </w:pPr>
      <w:r w:rsidRPr="00EF2A1B">
        <w:rPr>
          <w:iCs/>
        </w:rPr>
        <w:t xml:space="preserve">Reichard, J. (2024). </w:t>
      </w:r>
      <w:r w:rsidRPr="00EF2A1B">
        <w:rPr>
          <w:i/>
          <w:iCs/>
        </w:rPr>
        <w:t>Practical Statistics for Social Research (PSSR)</w:t>
      </w:r>
      <w:r w:rsidRPr="00EF2A1B">
        <w:rPr>
          <w:iCs/>
        </w:rPr>
        <w:t xml:space="preserve">. Omega Graduate School. </w:t>
      </w:r>
      <w:hyperlink r:id="rId10" w:history="1">
        <w:r w:rsidRPr="00EF2A1B">
          <w:rPr>
            <w:rStyle w:val="Hyperlink"/>
            <w:iCs/>
          </w:rPr>
          <w:t>https://stats.ogs.edu/</w:t>
        </w:r>
      </w:hyperlink>
    </w:p>
    <w:p w14:paraId="7235DC80" w14:textId="77777777" w:rsidR="008749A9" w:rsidRDefault="008749A9" w:rsidP="00EF2A1B">
      <w:pPr>
        <w:ind w:left="720"/>
        <w:rPr>
          <w:iCs/>
        </w:rPr>
      </w:pPr>
      <w:r w:rsidRPr="000E1C47">
        <w:rPr>
          <w:iCs/>
        </w:rPr>
        <w:t xml:space="preserve">Schmidt, A. J. (2004). </w:t>
      </w:r>
      <w:r w:rsidRPr="000E1C47">
        <w:rPr>
          <w:i/>
          <w:iCs/>
        </w:rPr>
        <w:t>How Christianity Changed the World</w:t>
      </w:r>
      <w:r w:rsidRPr="000E1C47">
        <w:rPr>
          <w:iCs/>
        </w:rPr>
        <w:t>. Zondervan. [SEMINAL</w:t>
      </w:r>
    </w:p>
    <w:p w14:paraId="17591E4D" w14:textId="77777777" w:rsidR="008749A9" w:rsidRPr="00AB5A29" w:rsidRDefault="008749A9" w:rsidP="008749A9">
      <w:pPr>
        <w:ind w:firstLine="720"/>
        <w:rPr>
          <w:iCs/>
        </w:rPr>
      </w:pPr>
      <w:r w:rsidRPr="00AB5A29">
        <w:rPr>
          <w:iCs/>
        </w:rPr>
        <w:t>Wakefield, J. R. H., Bowe, M., &amp; Kellezi, B. (2022). Who helps and why? A longitudinal</w:t>
      </w:r>
    </w:p>
    <w:p w14:paraId="50EC36EE" w14:textId="77777777" w:rsidR="008749A9" w:rsidRDefault="008749A9" w:rsidP="008749A9">
      <w:pPr>
        <w:ind w:left="1440"/>
        <w:rPr>
          <w:iCs/>
        </w:rPr>
      </w:pPr>
      <w:r w:rsidRPr="00AB5A29">
        <w:rPr>
          <w:iCs/>
        </w:rPr>
        <w:t>exploration of volunteer role identity, between</w:t>
      </w:r>
      <w:r w:rsidRPr="00AB5A29">
        <w:rPr>
          <w:rFonts w:ascii="Adobe Arabic" w:hAnsi="Adobe Arabic" w:cs="Adobe Arabic"/>
          <w:iCs/>
        </w:rPr>
        <w:t>‐</w:t>
      </w:r>
      <w:r w:rsidRPr="00AB5A29">
        <w:rPr>
          <w:iCs/>
        </w:rPr>
        <w:t>group closeness, and community identification as predictors of coordinated helping during the COVID</w:t>
      </w:r>
      <w:r w:rsidRPr="00AB5A29">
        <w:rPr>
          <w:rFonts w:ascii="Adobe Arabic" w:hAnsi="Adobe Arabic" w:cs="Adobe Arabic"/>
          <w:iCs/>
        </w:rPr>
        <w:t>‐</w:t>
      </w:r>
      <w:r w:rsidRPr="00AB5A29">
        <w:rPr>
          <w:iCs/>
        </w:rPr>
        <w:t xml:space="preserve">19 pandemic. </w:t>
      </w:r>
      <w:r w:rsidRPr="00AB5A29">
        <w:rPr>
          <w:i/>
          <w:iCs/>
        </w:rPr>
        <w:t>British Journal of Social Psychology</w:t>
      </w:r>
      <w:r w:rsidRPr="00AB5A29">
        <w:rPr>
          <w:iCs/>
        </w:rPr>
        <w:t>. DOI: 10.1111/bjso.12523</w:t>
      </w:r>
    </w:p>
    <w:p w14:paraId="110422D4" w14:textId="77777777" w:rsidR="008749A9" w:rsidRDefault="008749A9" w:rsidP="008749A9">
      <w:pPr>
        <w:ind w:firstLine="720"/>
        <w:rPr>
          <w:iCs/>
        </w:rPr>
      </w:pPr>
      <w:r w:rsidRPr="004B6F3C">
        <w:rPr>
          <w:iCs/>
        </w:rPr>
        <w:t xml:space="preserve">Ward, D. (2014). Interdisciplinary faith-learning integration for social change. </w:t>
      </w:r>
      <w:r w:rsidRPr="004B6F3C">
        <w:rPr>
          <w:i/>
          <w:iCs/>
        </w:rPr>
        <w:t>JIS, V26</w:t>
      </w:r>
      <w:r>
        <w:rPr>
          <w:iCs/>
        </w:rPr>
        <w:t>,</w:t>
      </w:r>
    </w:p>
    <w:p w14:paraId="15D7B4B1" w14:textId="3F03E276" w:rsidR="0041611C" w:rsidRDefault="008749A9" w:rsidP="0007299B">
      <w:pPr>
        <w:ind w:left="1440"/>
      </w:pPr>
      <w:r w:rsidRPr="004B6F3C">
        <w:rPr>
          <w:iCs/>
        </w:rPr>
        <w:t>(1-2),</w:t>
      </w:r>
      <w:r>
        <w:rPr>
          <w:iCs/>
        </w:rPr>
        <w:t xml:space="preserve"> </w:t>
      </w:r>
      <w:r w:rsidRPr="004B6F3C">
        <w:rPr>
          <w:iCs/>
        </w:rPr>
        <w:t xml:space="preserve">29- 56. </w:t>
      </w:r>
      <w:r w:rsidRPr="004B6F3C">
        <w:rPr>
          <w:bCs/>
          <w:iCs/>
        </w:rPr>
        <w:t>[</w:t>
      </w:r>
      <w:r>
        <w:rPr>
          <w:bCs/>
          <w:iCs/>
        </w:rPr>
        <w:t>SEMINAL</w:t>
      </w:r>
      <w:r w:rsidRPr="004B6F3C">
        <w:rPr>
          <w:bCs/>
          <w:iCs/>
        </w:rPr>
        <w:t>]</w:t>
      </w:r>
    </w:p>
    <w:p w14:paraId="608AB196" w14:textId="77777777" w:rsidR="0087211C" w:rsidRPr="0087211C" w:rsidRDefault="0087211C" w:rsidP="00B45538">
      <w:pPr>
        <w:ind w:left="1440" w:hanging="720"/>
      </w:pPr>
      <w:r w:rsidRPr="0087211C">
        <w:t xml:space="preserve">Wright, N. T. (2020). </w:t>
      </w:r>
      <w:r w:rsidRPr="0087211C">
        <w:rPr>
          <w:i/>
          <w:iCs/>
        </w:rPr>
        <w:t>Broken signposts: how Christianity makes sense of the world</w:t>
      </w:r>
      <w:r w:rsidRPr="0087211C">
        <w:t xml:space="preserve"> (First edition.). HarperOne, an imprint of HarperCollinsPublishers.</w:t>
      </w:r>
    </w:p>
    <w:p w14:paraId="5A5095AB" w14:textId="77777777" w:rsidR="0087211C" w:rsidRPr="00B17773" w:rsidRDefault="0087211C" w:rsidP="00170F51"/>
    <w:sectPr w:rsidR="0087211C" w:rsidRPr="00B1777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89E002" w14:textId="77777777" w:rsidR="00ED0E97" w:rsidRDefault="00ED0E97" w:rsidP="00D72F27">
      <w:pPr>
        <w:spacing w:line="240" w:lineRule="auto"/>
      </w:pPr>
      <w:r>
        <w:separator/>
      </w:r>
    </w:p>
  </w:endnote>
  <w:endnote w:type="continuationSeparator" w:id="0">
    <w:p w14:paraId="7464EBC4" w14:textId="77777777" w:rsidR="00ED0E97" w:rsidRDefault="00ED0E97" w:rsidP="00D72F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0000000000000000000"/>
    <w:charset w:val="00"/>
    <w:family w:val="roman"/>
    <w:notTrueType/>
    <w:pitch w:val="default"/>
  </w:font>
  <w:font w:name="Adobe Arabic">
    <w:panose1 w:val="02040503050201020203"/>
    <w:charset w:val="00"/>
    <w:family w:val="auto"/>
    <w:pitch w:val="variable"/>
    <w:sig w:usb0="8000202F" w:usb1="8000A04A" w:usb2="00000008" w:usb3="00000000" w:csb0="00000041" w:csb1="00000000"/>
  </w:font>
  <w:font w:name="游ゴシック Light">
    <w:panose1 w:val="00000000000000000000"/>
    <w:charset w:val="80"/>
    <w:family w:val="roman"/>
    <w:notTrueType/>
    <w:pitch w:val="default"/>
  </w:font>
  <w:font w:name="Calibri Light">
    <w:altName w:val="Arial"/>
    <w:charset w:val="00"/>
    <w:family w:val="swiss"/>
    <w:pitch w:val="variable"/>
    <w:sig w:usb0="E4002EFF" w:usb1="C2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3A6EA" w14:textId="77777777" w:rsidR="00ED0E97" w:rsidRDefault="00ED0E97" w:rsidP="00D72F27">
      <w:pPr>
        <w:spacing w:line="240" w:lineRule="auto"/>
      </w:pPr>
      <w:r>
        <w:separator/>
      </w:r>
    </w:p>
  </w:footnote>
  <w:footnote w:type="continuationSeparator" w:id="0">
    <w:p w14:paraId="47009CB0" w14:textId="77777777" w:rsidR="00ED0E97" w:rsidRDefault="00ED0E97" w:rsidP="00D72F2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035952"/>
      <w:docPartObj>
        <w:docPartGallery w:val="Page Numbers (Top of Page)"/>
        <w:docPartUnique/>
      </w:docPartObj>
    </w:sdtPr>
    <w:sdtEndPr>
      <w:rPr>
        <w:noProof/>
      </w:rPr>
    </w:sdtEndPr>
    <w:sdtContent>
      <w:p w14:paraId="42A6B4BE" w14:textId="62FD9F88" w:rsidR="00ED0E97" w:rsidRDefault="00ED0E97">
        <w:pPr>
          <w:pStyle w:val="Header"/>
          <w:jc w:val="right"/>
        </w:pPr>
        <w:r>
          <w:fldChar w:fldCharType="begin"/>
        </w:r>
        <w:r>
          <w:instrText xml:space="preserve"> PAGE   \* MERGEFORMAT </w:instrText>
        </w:r>
        <w:r>
          <w:fldChar w:fldCharType="separate"/>
        </w:r>
        <w:r w:rsidR="00FA09B4">
          <w:rPr>
            <w:noProof/>
          </w:rPr>
          <w:t>5</w:t>
        </w:r>
        <w:r>
          <w:rPr>
            <w:noProof/>
          </w:rPr>
          <w:fldChar w:fldCharType="end"/>
        </w:r>
      </w:p>
    </w:sdtContent>
  </w:sdt>
  <w:p w14:paraId="6FD638FB" w14:textId="77777777" w:rsidR="00ED0E97" w:rsidRDefault="00ED0E9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4"/>
      <w:numFmt w:val="decimal"/>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6"/>
      <w:numFmt w:val="decimal"/>
      <w:lvlText w:val="%1."/>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8"/>
      <w:numFmt w:val="decimal"/>
      <w:lvlText w:val="%1."/>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0"/>
      <w:numFmt w:val="decimal"/>
      <w:lvlText w:val="%1."/>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2"/>
      <w:numFmt w:val="decimal"/>
      <w:lvlText w:val="%1."/>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4"/>
      <w:numFmt w:val="decimal"/>
      <w:lvlText w:val="%1."/>
      <w:lvlJc w:val="left"/>
      <w:pPr>
        <w:ind w:left="720" w:hanging="360"/>
      </w:pPr>
    </w:lvl>
    <w:lvl w:ilvl="1" w:tplc="000002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C3613C6"/>
    <w:multiLevelType w:val="hybridMultilevel"/>
    <w:tmpl w:val="D0C26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F73F54"/>
    <w:multiLevelType w:val="multilevel"/>
    <w:tmpl w:val="5E52E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2A61364"/>
    <w:multiLevelType w:val="multilevel"/>
    <w:tmpl w:val="268AC8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5304384"/>
    <w:multiLevelType w:val="hybridMultilevel"/>
    <w:tmpl w:val="A3C6562E"/>
    <w:lvl w:ilvl="0" w:tplc="88E68244">
      <w:start w:val="1"/>
      <w:numFmt w:val="bullet"/>
      <w:lvlText w:val="•"/>
      <w:lvlJc w:val="left"/>
      <w:pPr>
        <w:tabs>
          <w:tab w:val="num" w:pos="720"/>
        </w:tabs>
        <w:ind w:left="720" w:hanging="360"/>
      </w:pPr>
      <w:rPr>
        <w:rFonts w:ascii="Arial" w:hAnsi="Arial" w:hint="default"/>
      </w:rPr>
    </w:lvl>
    <w:lvl w:ilvl="1" w:tplc="CA7EBE02" w:tentative="1">
      <w:start w:val="1"/>
      <w:numFmt w:val="bullet"/>
      <w:lvlText w:val="•"/>
      <w:lvlJc w:val="left"/>
      <w:pPr>
        <w:tabs>
          <w:tab w:val="num" w:pos="1440"/>
        </w:tabs>
        <w:ind w:left="1440" w:hanging="360"/>
      </w:pPr>
      <w:rPr>
        <w:rFonts w:ascii="Arial" w:hAnsi="Arial" w:hint="default"/>
      </w:rPr>
    </w:lvl>
    <w:lvl w:ilvl="2" w:tplc="C5BEB9E4" w:tentative="1">
      <w:start w:val="1"/>
      <w:numFmt w:val="bullet"/>
      <w:lvlText w:val="•"/>
      <w:lvlJc w:val="left"/>
      <w:pPr>
        <w:tabs>
          <w:tab w:val="num" w:pos="2160"/>
        </w:tabs>
        <w:ind w:left="2160" w:hanging="360"/>
      </w:pPr>
      <w:rPr>
        <w:rFonts w:ascii="Arial" w:hAnsi="Arial" w:hint="default"/>
      </w:rPr>
    </w:lvl>
    <w:lvl w:ilvl="3" w:tplc="1584E28A" w:tentative="1">
      <w:start w:val="1"/>
      <w:numFmt w:val="bullet"/>
      <w:lvlText w:val="•"/>
      <w:lvlJc w:val="left"/>
      <w:pPr>
        <w:tabs>
          <w:tab w:val="num" w:pos="2880"/>
        </w:tabs>
        <w:ind w:left="2880" w:hanging="360"/>
      </w:pPr>
      <w:rPr>
        <w:rFonts w:ascii="Arial" w:hAnsi="Arial" w:hint="default"/>
      </w:rPr>
    </w:lvl>
    <w:lvl w:ilvl="4" w:tplc="4A32E37A" w:tentative="1">
      <w:start w:val="1"/>
      <w:numFmt w:val="bullet"/>
      <w:lvlText w:val="•"/>
      <w:lvlJc w:val="left"/>
      <w:pPr>
        <w:tabs>
          <w:tab w:val="num" w:pos="3600"/>
        </w:tabs>
        <w:ind w:left="3600" w:hanging="360"/>
      </w:pPr>
      <w:rPr>
        <w:rFonts w:ascii="Arial" w:hAnsi="Arial" w:hint="default"/>
      </w:rPr>
    </w:lvl>
    <w:lvl w:ilvl="5" w:tplc="3A58C8AA" w:tentative="1">
      <w:start w:val="1"/>
      <w:numFmt w:val="bullet"/>
      <w:lvlText w:val="•"/>
      <w:lvlJc w:val="left"/>
      <w:pPr>
        <w:tabs>
          <w:tab w:val="num" w:pos="4320"/>
        </w:tabs>
        <w:ind w:left="4320" w:hanging="360"/>
      </w:pPr>
      <w:rPr>
        <w:rFonts w:ascii="Arial" w:hAnsi="Arial" w:hint="default"/>
      </w:rPr>
    </w:lvl>
    <w:lvl w:ilvl="6" w:tplc="D9DC8EB2" w:tentative="1">
      <w:start w:val="1"/>
      <w:numFmt w:val="bullet"/>
      <w:lvlText w:val="•"/>
      <w:lvlJc w:val="left"/>
      <w:pPr>
        <w:tabs>
          <w:tab w:val="num" w:pos="5040"/>
        </w:tabs>
        <w:ind w:left="5040" w:hanging="360"/>
      </w:pPr>
      <w:rPr>
        <w:rFonts w:ascii="Arial" w:hAnsi="Arial" w:hint="default"/>
      </w:rPr>
    </w:lvl>
    <w:lvl w:ilvl="7" w:tplc="C810C902" w:tentative="1">
      <w:start w:val="1"/>
      <w:numFmt w:val="bullet"/>
      <w:lvlText w:val="•"/>
      <w:lvlJc w:val="left"/>
      <w:pPr>
        <w:tabs>
          <w:tab w:val="num" w:pos="5760"/>
        </w:tabs>
        <w:ind w:left="5760" w:hanging="360"/>
      </w:pPr>
      <w:rPr>
        <w:rFonts w:ascii="Arial" w:hAnsi="Arial" w:hint="default"/>
      </w:rPr>
    </w:lvl>
    <w:lvl w:ilvl="8" w:tplc="FC26D8C6" w:tentative="1">
      <w:start w:val="1"/>
      <w:numFmt w:val="bullet"/>
      <w:lvlText w:val="•"/>
      <w:lvlJc w:val="left"/>
      <w:pPr>
        <w:tabs>
          <w:tab w:val="num" w:pos="6480"/>
        </w:tabs>
        <w:ind w:left="6480" w:hanging="360"/>
      </w:pPr>
      <w:rPr>
        <w:rFonts w:ascii="Arial" w:hAnsi="Arial" w:hint="default"/>
      </w:rPr>
    </w:lvl>
  </w:abstractNum>
  <w:abstractNum w:abstractNumId="11">
    <w:nsid w:val="602F3F8D"/>
    <w:multiLevelType w:val="multilevel"/>
    <w:tmpl w:val="6E2E3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TQwtDQ3MDWwNDUytrBU0lEKTi0uzszPAykwrAUA0DvtkiwAAAA="/>
  </w:docVars>
  <w:rsids>
    <w:rsidRoot w:val="00B17773"/>
    <w:rsid w:val="00003CEA"/>
    <w:rsid w:val="00014E16"/>
    <w:rsid w:val="00026E32"/>
    <w:rsid w:val="000340D2"/>
    <w:rsid w:val="0003639E"/>
    <w:rsid w:val="0005007F"/>
    <w:rsid w:val="00067B4C"/>
    <w:rsid w:val="00070ADC"/>
    <w:rsid w:val="0007299B"/>
    <w:rsid w:val="00072F94"/>
    <w:rsid w:val="000765F7"/>
    <w:rsid w:val="000768A6"/>
    <w:rsid w:val="00077F81"/>
    <w:rsid w:val="00091132"/>
    <w:rsid w:val="000924F6"/>
    <w:rsid w:val="00094EC3"/>
    <w:rsid w:val="00096997"/>
    <w:rsid w:val="000973B9"/>
    <w:rsid w:val="000A3723"/>
    <w:rsid w:val="000A4E03"/>
    <w:rsid w:val="000A5C4C"/>
    <w:rsid w:val="000A6F25"/>
    <w:rsid w:val="000B1E49"/>
    <w:rsid w:val="000B4CA9"/>
    <w:rsid w:val="000B543A"/>
    <w:rsid w:val="000F669A"/>
    <w:rsid w:val="000F75FE"/>
    <w:rsid w:val="001133AD"/>
    <w:rsid w:val="00113884"/>
    <w:rsid w:val="00124769"/>
    <w:rsid w:val="00127498"/>
    <w:rsid w:val="00131B8A"/>
    <w:rsid w:val="00134B63"/>
    <w:rsid w:val="00140CB0"/>
    <w:rsid w:val="0014108B"/>
    <w:rsid w:val="001534CB"/>
    <w:rsid w:val="00163E22"/>
    <w:rsid w:val="00163F84"/>
    <w:rsid w:val="0016420B"/>
    <w:rsid w:val="0016465C"/>
    <w:rsid w:val="00170F51"/>
    <w:rsid w:val="0017179F"/>
    <w:rsid w:val="001833C0"/>
    <w:rsid w:val="00184830"/>
    <w:rsid w:val="0018538D"/>
    <w:rsid w:val="001862C0"/>
    <w:rsid w:val="00196C94"/>
    <w:rsid w:val="00197B4F"/>
    <w:rsid w:val="001A29AB"/>
    <w:rsid w:val="001A4D62"/>
    <w:rsid w:val="001A5167"/>
    <w:rsid w:val="001A66B7"/>
    <w:rsid w:val="001A7B9B"/>
    <w:rsid w:val="001C1E42"/>
    <w:rsid w:val="001C488A"/>
    <w:rsid w:val="001C734C"/>
    <w:rsid w:val="001D2E82"/>
    <w:rsid w:val="001E1C8D"/>
    <w:rsid w:val="001E68F0"/>
    <w:rsid w:val="001F60B9"/>
    <w:rsid w:val="001F6681"/>
    <w:rsid w:val="00202C8A"/>
    <w:rsid w:val="00203A6A"/>
    <w:rsid w:val="00204899"/>
    <w:rsid w:val="00210A0E"/>
    <w:rsid w:val="00212F35"/>
    <w:rsid w:val="002250D0"/>
    <w:rsid w:val="002416FD"/>
    <w:rsid w:val="00245309"/>
    <w:rsid w:val="00252286"/>
    <w:rsid w:val="00255BA5"/>
    <w:rsid w:val="0026579A"/>
    <w:rsid w:val="00270475"/>
    <w:rsid w:val="0028699F"/>
    <w:rsid w:val="00286A85"/>
    <w:rsid w:val="002A5154"/>
    <w:rsid w:val="002A749C"/>
    <w:rsid w:val="002B0B73"/>
    <w:rsid w:val="002B5593"/>
    <w:rsid w:val="002B5B07"/>
    <w:rsid w:val="002B68CE"/>
    <w:rsid w:val="002B6D45"/>
    <w:rsid w:val="002C777B"/>
    <w:rsid w:val="002D6C10"/>
    <w:rsid w:val="002D797B"/>
    <w:rsid w:val="002E5D46"/>
    <w:rsid w:val="002E688C"/>
    <w:rsid w:val="002F1303"/>
    <w:rsid w:val="002F609C"/>
    <w:rsid w:val="002F6F29"/>
    <w:rsid w:val="00306BA7"/>
    <w:rsid w:val="003143D3"/>
    <w:rsid w:val="003148FC"/>
    <w:rsid w:val="00320B75"/>
    <w:rsid w:val="003243A8"/>
    <w:rsid w:val="0034289B"/>
    <w:rsid w:val="00343BD8"/>
    <w:rsid w:val="003447F1"/>
    <w:rsid w:val="003476A0"/>
    <w:rsid w:val="00354AF0"/>
    <w:rsid w:val="003633C9"/>
    <w:rsid w:val="00365547"/>
    <w:rsid w:val="00366984"/>
    <w:rsid w:val="0037179D"/>
    <w:rsid w:val="00377C3D"/>
    <w:rsid w:val="00395959"/>
    <w:rsid w:val="003A2C46"/>
    <w:rsid w:val="003B3673"/>
    <w:rsid w:val="003B3F60"/>
    <w:rsid w:val="003B4976"/>
    <w:rsid w:val="003D4969"/>
    <w:rsid w:val="003D7946"/>
    <w:rsid w:val="003E0A62"/>
    <w:rsid w:val="003E3F1F"/>
    <w:rsid w:val="003E6728"/>
    <w:rsid w:val="003E6793"/>
    <w:rsid w:val="003F2853"/>
    <w:rsid w:val="004126B0"/>
    <w:rsid w:val="0041611C"/>
    <w:rsid w:val="00424D8E"/>
    <w:rsid w:val="0043127D"/>
    <w:rsid w:val="00432897"/>
    <w:rsid w:val="00436181"/>
    <w:rsid w:val="004421E7"/>
    <w:rsid w:val="004535A2"/>
    <w:rsid w:val="004634F6"/>
    <w:rsid w:val="0046379F"/>
    <w:rsid w:val="00481FF9"/>
    <w:rsid w:val="0049298A"/>
    <w:rsid w:val="004A29FA"/>
    <w:rsid w:val="004E0FDC"/>
    <w:rsid w:val="004E2142"/>
    <w:rsid w:val="004F2E3B"/>
    <w:rsid w:val="004F6AA6"/>
    <w:rsid w:val="00502FA1"/>
    <w:rsid w:val="00503363"/>
    <w:rsid w:val="00511A1D"/>
    <w:rsid w:val="00512C11"/>
    <w:rsid w:val="00523956"/>
    <w:rsid w:val="00530EC2"/>
    <w:rsid w:val="00534D80"/>
    <w:rsid w:val="0053505F"/>
    <w:rsid w:val="00547344"/>
    <w:rsid w:val="00551BF8"/>
    <w:rsid w:val="00551CBC"/>
    <w:rsid w:val="0055255F"/>
    <w:rsid w:val="00555646"/>
    <w:rsid w:val="00556576"/>
    <w:rsid w:val="00556F4F"/>
    <w:rsid w:val="0056058E"/>
    <w:rsid w:val="00561554"/>
    <w:rsid w:val="005643A2"/>
    <w:rsid w:val="00567DC3"/>
    <w:rsid w:val="00572E8B"/>
    <w:rsid w:val="00577434"/>
    <w:rsid w:val="005835BF"/>
    <w:rsid w:val="005835F0"/>
    <w:rsid w:val="00586917"/>
    <w:rsid w:val="00586FFD"/>
    <w:rsid w:val="005921BF"/>
    <w:rsid w:val="00592832"/>
    <w:rsid w:val="00594D80"/>
    <w:rsid w:val="00595D44"/>
    <w:rsid w:val="005A0017"/>
    <w:rsid w:val="005A6CBC"/>
    <w:rsid w:val="005A6EE7"/>
    <w:rsid w:val="005B4149"/>
    <w:rsid w:val="005B4F62"/>
    <w:rsid w:val="005B5F8F"/>
    <w:rsid w:val="005B6AB1"/>
    <w:rsid w:val="005D2712"/>
    <w:rsid w:val="005D40EB"/>
    <w:rsid w:val="005D7A2E"/>
    <w:rsid w:val="005E6226"/>
    <w:rsid w:val="005F1E3B"/>
    <w:rsid w:val="005F2A99"/>
    <w:rsid w:val="005F7050"/>
    <w:rsid w:val="0060572D"/>
    <w:rsid w:val="006230D4"/>
    <w:rsid w:val="006234C6"/>
    <w:rsid w:val="0063085B"/>
    <w:rsid w:val="006350F3"/>
    <w:rsid w:val="00643984"/>
    <w:rsid w:val="00647228"/>
    <w:rsid w:val="00651046"/>
    <w:rsid w:val="00651C80"/>
    <w:rsid w:val="00651E9A"/>
    <w:rsid w:val="00654FB6"/>
    <w:rsid w:val="00655CCA"/>
    <w:rsid w:val="00656986"/>
    <w:rsid w:val="006622E8"/>
    <w:rsid w:val="0066413A"/>
    <w:rsid w:val="00667A58"/>
    <w:rsid w:val="00672FBF"/>
    <w:rsid w:val="0067301A"/>
    <w:rsid w:val="00673E4F"/>
    <w:rsid w:val="006759D8"/>
    <w:rsid w:val="006858DC"/>
    <w:rsid w:val="00696EF5"/>
    <w:rsid w:val="006A387F"/>
    <w:rsid w:val="006A58A7"/>
    <w:rsid w:val="006B3B33"/>
    <w:rsid w:val="006B6168"/>
    <w:rsid w:val="006B76A2"/>
    <w:rsid w:val="006C1214"/>
    <w:rsid w:val="006C1873"/>
    <w:rsid w:val="006C2F43"/>
    <w:rsid w:val="006C3754"/>
    <w:rsid w:val="006D3D3A"/>
    <w:rsid w:val="006E2DF0"/>
    <w:rsid w:val="006E585A"/>
    <w:rsid w:val="006E5D70"/>
    <w:rsid w:val="006F5B2A"/>
    <w:rsid w:val="006F660F"/>
    <w:rsid w:val="007038A1"/>
    <w:rsid w:val="007140F0"/>
    <w:rsid w:val="0072360B"/>
    <w:rsid w:val="00735458"/>
    <w:rsid w:val="00747CE7"/>
    <w:rsid w:val="007528D9"/>
    <w:rsid w:val="007535FD"/>
    <w:rsid w:val="007606F1"/>
    <w:rsid w:val="00760846"/>
    <w:rsid w:val="00775C0F"/>
    <w:rsid w:val="007771F1"/>
    <w:rsid w:val="00781F9D"/>
    <w:rsid w:val="007838C7"/>
    <w:rsid w:val="00783D47"/>
    <w:rsid w:val="007873C5"/>
    <w:rsid w:val="007943DD"/>
    <w:rsid w:val="00797A5B"/>
    <w:rsid w:val="007A38DB"/>
    <w:rsid w:val="007B204B"/>
    <w:rsid w:val="007B2A90"/>
    <w:rsid w:val="007B5CB0"/>
    <w:rsid w:val="007C527B"/>
    <w:rsid w:val="007C7D84"/>
    <w:rsid w:val="007D202B"/>
    <w:rsid w:val="007D52C0"/>
    <w:rsid w:val="007E6AD2"/>
    <w:rsid w:val="007E7A18"/>
    <w:rsid w:val="007F5F5D"/>
    <w:rsid w:val="0080100B"/>
    <w:rsid w:val="00813AE0"/>
    <w:rsid w:val="00815A3E"/>
    <w:rsid w:val="008316F1"/>
    <w:rsid w:val="00831908"/>
    <w:rsid w:val="0083290B"/>
    <w:rsid w:val="00836BD8"/>
    <w:rsid w:val="00837D26"/>
    <w:rsid w:val="00842385"/>
    <w:rsid w:val="0084666E"/>
    <w:rsid w:val="00847D9F"/>
    <w:rsid w:val="00853328"/>
    <w:rsid w:val="008542EA"/>
    <w:rsid w:val="00854568"/>
    <w:rsid w:val="0087211C"/>
    <w:rsid w:val="0087371C"/>
    <w:rsid w:val="00873B9F"/>
    <w:rsid w:val="008749A9"/>
    <w:rsid w:val="00881FDF"/>
    <w:rsid w:val="00892123"/>
    <w:rsid w:val="008A00C9"/>
    <w:rsid w:val="008A65D6"/>
    <w:rsid w:val="008D3EC6"/>
    <w:rsid w:val="008D697A"/>
    <w:rsid w:val="008F69F3"/>
    <w:rsid w:val="008F78FD"/>
    <w:rsid w:val="00900276"/>
    <w:rsid w:val="009009D8"/>
    <w:rsid w:val="00904032"/>
    <w:rsid w:val="00912F78"/>
    <w:rsid w:val="00914121"/>
    <w:rsid w:val="00917CD3"/>
    <w:rsid w:val="009206AD"/>
    <w:rsid w:val="009264E2"/>
    <w:rsid w:val="00937C03"/>
    <w:rsid w:val="0094001C"/>
    <w:rsid w:val="009409BC"/>
    <w:rsid w:val="00940E3E"/>
    <w:rsid w:val="00942576"/>
    <w:rsid w:val="009529A9"/>
    <w:rsid w:val="009609DE"/>
    <w:rsid w:val="00964291"/>
    <w:rsid w:val="00972875"/>
    <w:rsid w:val="0098099D"/>
    <w:rsid w:val="00983F9C"/>
    <w:rsid w:val="00991346"/>
    <w:rsid w:val="009964A9"/>
    <w:rsid w:val="009A3739"/>
    <w:rsid w:val="009B08D5"/>
    <w:rsid w:val="009B1CAF"/>
    <w:rsid w:val="009B3546"/>
    <w:rsid w:val="009B6AA1"/>
    <w:rsid w:val="009C347E"/>
    <w:rsid w:val="009D364F"/>
    <w:rsid w:val="009D3CA4"/>
    <w:rsid w:val="009E558A"/>
    <w:rsid w:val="009F0360"/>
    <w:rsid w:val="00A1056A"/>
    <w:rsid w:val="00A23B07"/>
    <w:rsid w:val="00A240C9"/>
    <w:rsid w:val="00A32158"/>
    <w:rsid w:val="00A33DA3"/>
    <w:rsid w:val="00A41E07"/>
    <w:rsid w:val="00A5204F"/>
    <w:rsid w:val="00A5224A"/>
    <w:rsid w:val="00A80CF4"/>
    <w:rsid w:val="00A8122F"/>
    <w:rsid w:val="00A82845"/>
    <w:rsid w:val="00A8418D"/>
    <w:rsid w:val="00A954B2"/>
    <w:rsid w:val="00A97900"/>
    <w:rsid w:val="00AA4B5A"/>
    <w:rsid w:val="00AA5CD1"/>
    <w:rsid w:val="00AA5FCA"/>
    <w:rsid w:val="00AB1294"/>
    <w:rsid w:val="00AB1694"/>
    <w:rsid w:val="00AB2C93"/>
    <w:rsid w:val="00AC35AF"/>
    <w:rsid w:val="00AC43F4"/>
    <w:rsid w:val="00AC74E5"/>
    <w:rsid w:val="00AD4652"/>
    <w:rsid w:val="00AF0ABF"/>
    <w:rsid w:val="00AF3748"/>
    <w:rsid w:val="00B058B4"/>
    <w:rsid w:val="00B078E5"/>
    <w:rsid w:val="00B158CA"/>
    <w:rsid w:val="00B17773"/>
    <w:rsid w:val="00B237B8"/>
    <w:rsid w:val="00B27892"/>
    <w:rsid w:val="00B35969"/>
    <w:rsid w:val="00B365B5"/>
    <w:rsid w:val="00B43449"/>
    <w:rsid w:val="00B437AE"/>
    <w:rsid w:val="00B45538"/>
    <w:rsid w:val="00B474DD"/>
    <w:rsid w:val="00B61FBC"/>
    <w:rsid w:val="00B62A55"/>
    <w:rsid w:val="00B630A5"/>
    <w:rsid w:val="00B71A6F"/>
    <w:rsid w:val="00B726E1"/>
    <w:rsid w:val="00B76C79"/>
    <w:rsid w:val="00B771CB"/>
    <w:rsid w:val="00B86B54"/>
    <w:rsid w:val="00B92D25"/>
    <w:rsid w:val="00B94CD8"/>
    <w:rsid w:val="00B94E47"/>
    <w:rsid w:val="00BA1862"/>
    <w:rsid w:val="00BA2400"/>
    <w:rsid w:val="00BA293A"/>
    <w:rsid w:val="00BA3C94"/>
    <w:rsid w:val="00BB3814"/>
    <w:rsid w:val="00BC096A"/>
    <w:rsid w:val="00BD2B2B"/>
    <w:rsid w:val="00BD4FB9"/>
    <w:rsid w:val="00BF091F"/>
    <w:rsid w:val="00C009D3"/>
    <w:rsid w:val="00C07091"/>
    <w:rsid w:val="00C110A6"/>
    <w:rsid w:val="00C23D7F"/>
    <w:rsid w:val="00C24208"/>
    <w:rsid w:val="00C26B1B"/>
    <w:rsid w:val="00C350DC"/>
    <w:rsid w:val="00C5353D"/>
    <w:rsid w:val="00C57738"/>
    <w:rsid w:val="00C61280"/>
    <w:rsid w:val="00C6225F"/>
    <w:rsid w:val="00C63AD8"/>
    <w:rsid w:val="00C65965"/>
    <w:rsid w:val="00C67758"/>
    <w:rsid w:val="00C808A2"/>
    <w:rsid w:val="00C90DE1"/>
    <w:rsid w:val="00CA2AC2"/>
    <w:rsid w:val="00CA46B0"/>
    <w:rsid w:val="00CB3509"/>
    <w:rsid w:val="00CC7BE4"/>
    <w:rsid w:val="00CD5A79"/>
    <w:rsid w:val="00CE2AA4"/>
    <w:rsid w:val="00CF5906"/>
    <w:rsid w:val="00D029EF"/>
    <w:rsid w:val="00D050FA"/>
    <w:rsid w:val="00D13106"/>
    <w:rsid w:val="00D13DC2"/>
    <w:rsid w:val="00D164BA"/>
    <w:rsid w:val="00D23F12"/>
    <w:rsid w:val="00D25B56"/>
    <w:rsid w:val="00D37132"/>
    <w:rsid w:val="00D46F68"/>
    <w:rsid w:val="00D479A3"/>
    <w:rsid w:val="00D64EA1"/>
    <w:rsid w:val="00D66955"/>
    <w:rsid w:val="00D6787E"/>
    <w:rsid w:val="00D72F27"/>
    <w:rsid w:val="00D82BBC"/>
    <w:rsid w:val="00D83F29"/>
    <w:rsid w:val="00D85132"/>
    <w:rsid w:val="00D8569D"/>
    <w:rsid w:val="00D8624A"/>
    <w:rsid w:val="00D86896"/>
    <w:rsid w:val="00D93208"/>
    <w:rsid w:val="00D96ADC"/>
    <w:rsid w:val="00DA017E"/>
    <w:rsid w:val="00DA250D"/>
    <w:rsid w:val="00DA4AA5"/>
    <w:rsid w:val="00DA6FB0"/>
    <w:rsid w:val="00DB0ED9"/>
    <w:rsid w:val="00DD02A7"/>
    <w:rsid w:val="00DD051B"/>
    <w:rsid w:val="00DE621F"/>
    <w:rsid w:val="00DF28F8"/>
    <w:rsid w:val="00DF6994"/>
    <w:rsid w:val="00E1746C"/>
    <w:rsid w:val="00E17A97"/>
    <w:rsid w:val="00E2491C"/>
    <w:rsid w:val="00E32459"/>
    <w:rsid w:val="00E45643"/>
    <w:rsid w:val="00E55F8A"/>
    <w:rsid w:val="00E64760"/>
    <w:rsid w:val="00E668A7"/>
    <w:rsid w:val="00E7081D"/>
    <w:rsid w:val="00E7195C"/>
    <w:rsid w:val="00E74C31"/>
    <w:rsid w:val="00E81E28"/>
    <w:rsid w:val="00EA490C"/>
    <w:rsid w:val="00EA4F95"/>
    <w:rsid w:val="00EA6096"/>
    <w:rsid w:val="00EB0848"/>
    <w:rsid w:val="00EB272E"/>
    <w:rsid w:val="00EB6B32"/>
    <w:rsid w:val="00EC0CD9"/>
    <w:rsid w:val="00EC22E9"/>
    <w:rsid w:val="00EC6A23"/>
    <w:rsid w:val="00ED0E97"/>
    <w:rsid w:val="00EE435B"/>
    <w:rsid w:val="00EF2A1B"/>
    <w:rsid w:val="00EF7F6F"/>
    <w:rsid w:val="00F003D4"/>
    <w:rsid w:val="00F02044"/>
    <w:rsid w:val="00F20B63"/>
    <w:rsid w:val="00F24A0B"/>
    <w:rsid w:val="00F45C96"/>
    <w:rsid w:val="00F476E1"/>
    <w:rsid w:val="00F47F60"/>
    <w:rsid w:val="00F604D6"/>
    <w:rsid w:val="00F663B4"/>
    <w:rsid w:val="00F91612"/>
    <w:rsid w:val="00FA09B4"/>
    <w:rsid w:val="00FA34EE"/>
    <w:rsid w:val="00FB25BA"/>
    <w:rsid w:val="00FC08E8"/>
    <w:rsid w:val="00FD5564"/>
    <w:rsid w:val="00FD5E5F"/>
    <w:rsid w:val="00FF6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F9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F51"/>
    <w:pPr>
      <w:spacing w:after="0" w:line="48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B17773"/>
    <w:pPr>
      <w:jc w:val="center"/>
      <w:outlineLvl w:val="0"/>
    </w:pPr>
    <w:rPr>
      <w:b/>
      <w:bCs/>
    </w:rPr>
  </w:style>
  <w:style w:type="paragraph" w:styleId="Heading2">
    <w:name w:val="heading 2"/>
    <w:basedOn w:val="Normal"/>
    <w:next w:val="Normal"/>
    <w:link w:val="Heading2Char"/>
    <w:uiPriority w:val="9"/>
    <w:unhideWhenUsed/>
    <w:qFormat/>
    <w:rsid w:val="00512C11"/>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773"/>
    <w:rPr>
      <w:rFonts w:ascii="Times New Roman" w:hAnsi="Times New Roman" w:cs="Times New Roman"/>
      <w:b/>
      <w:bCs/>
      <w:sz w:val="24"/>
      <w:szCs w:val="24"/>
    </w:rPr>
  </w:style>
  <w:style w:type="paragraph" w:styleId="ListParagraph">
    <w:name w:val="List Paragraph"/>
    <w:basedOn w:val="Normal"/>
    <w:uiPriority w:val="34"/>
    <w:qFormat/>
    <w:rsid w:val="00170F51"/>
    <w:pPr>
      <w:ind w:left="720"/>
      <w:contextualSpacing/>
    </w:pPr>
  </w:style>
  <w:style w:type="character" w:customStyle="1" w:styleId="Heading2Char">
    <w:name w:val="Heading 2 Char"/>
    <w:basedOn w:val="DefaultParagraphFont"/>
    <w:link w:val="Heading2"/>
    <w:uiPriority w:val="9"/>
    <w:rsid w:val="00512C11"/>
    <w:rPr>
      <w:rFonts w:ascii="Times New Roman" w:hAnsi="Times New Roman" w:cs="Times New Roman"/>
      <w:b/>
      <w:bCs/>
      <w:sz w:val="24"/>
      <w:szCs w:val="24"/>
    </w:rPr>
  </w:style>
  <w:style w:type="paragraph" w:styleId="Title">
    <w:name w:val="Title"/>
    <w:basedOn w:val="Normal"/>
    <w:next w:val="Normal"/>
    <w:link w:val="TitleChar"/>
    <w:qFormat/>
    <w:rsid w:val="00DE621F"/>
    <w:pPr>
      <w:spacing w:after="160" w:line="259" w:lineRule="auto"/>
      <w:jc w:val="center"/>
    </w:pPr>
    <w:rPr>
      <w:b/>
      <w:bCs/>
    </w:rPr>
  </w:style>
  <w:style w:type="character" w:customStyle="1" w:styleId="TitleChar">
    <w:name w:val="Title Char"/>
    <w:basedOn w:val="DefaultParagraphFont"/>
    <w:link w:val="Title"/>
    <w:uiPriority w:val="10"/>
    <w:rsid w:val="00DE621F"/>
    <w:rPr>
      <w:rFonts w:ascii="Times New Roman" w:hAnsi="Times New Roman" w:cs="Times New Roman"/>
      <w:b/>
      <w:bCs/>
      <w:sz w:val="24"/>
      <w:szCs w:val="24"/>
    </w:rPr>
  </w:style>
  <w:style w:type="paragraph" w:styleId="Header">
    <w:name w:val="header"/>
    <w:basedOn w:val="Normal"/>
    <w:link w:val="HeaderChar"/>
    <w:uiPriority w:val="99"/>
    <w:unhideWhenUsed/>
    <w:rsid w:val="00D72F27"/>
    <w:pPr>
      <w:tabs>
        <w:tab w:val="center" w:pos="4680"/>
        <w:tab w:val="right" w:pos="9360"/>
      </w:tabs>
      <w:spacing w:line="240" w:lineRule="auto"/>
    </w:pPr>
  </w:style>
  <w:style w:type="character" w:customStyle="1" w:styleId="HeaderChar">
    <w:name w:val="Header Char"/>
    <w:basedOn w:val="DefaultParagraphFont"/>
    <w:link w:val="Header"/>
    <w:uiPriority w:val="99"/>
    <w:rsid w:val="00D72F27"/>
    <w:rPr>
      <w:rFonts w:ascii="Times New Roman" w:hAnsi="Times New Roman" w:cs="Times New Roman"/>
      <w:sz w:val="24"/>
      <w:szCs w:val="24"/>
    </w:rPr>
  </w:style>
  <w:style w:type="paragraph" w:styleId="Footer">
    <w:name w:val="footer"/>
    <w:basedOn w:val="Normal"/>
    <w:link w:val="FooterChar"/>
    <w:uiPriority w:val="99"/>
    <w:unhideWhenUsed/>
    <w:rsid w:val="00D72F27"/>
    <w:pPr>
      <w:tabs>
        <w:tab w:val="center" w:pos="4680"/>
        <w:tab w:val="right" w:pos="9360"/>
      </w:tabs>
      <w:spacing w:line="240" w:lineRule="auto"/>
    </w:pPr>
  </w:style>
  <w:style w:type="character" w:customStyle="1" w:styleId="FooterChar">
    <w:name w:val="Footer Char"/>
    <w:basedOn w:val="DefaultParagraphFont"/>
    <w:link w:val="Footer"/>
    <w:uiPriority w:val="99"/>
    <w:rsid w:val="00D72F27"/>
    <w:rPr>
      <w:rFonts w:ascii="Times New Roman" w:hAnsi="Times New Roman" w:cs="Times New Roman"/>
      <w:sz w:val="24"/>
      <w:szCs w:val="24"/>
    </w:rPr>
  </w:style>
  <w:style w:type="character" w:styleId="Hyperlink">
    <w:name w:val="Hyperlink"/>
    <w:basedOn w:val="DefaultParagraphFont"/>
    <w:uiPriority w:val="99"/>
    <w:unhideWhenUsed/>
    <w:rsid w:val="008749A9"/>
    <w:rPr>
      <w:color w:val="0563C1" w:themeColor="hyperlink"/>
      <w:u w:val="single"/>
    </w:rPr>
  </w:style>
  <w:style w:type="paragraph" w:customStyle="1" w:styleId="normal0">
    <w:name w:val="normal"/>
    <w:rsid w:val="002250D0"/>
    <w:pPr>
      <w:spacing w:after="0" w:line="480" w:lineRule="auto"/>
    </w:pPr>
    <w:rPr>
      <w:rFonts w:ascii="Times New Roman" w:eastAsia="Times New Roman" w:hAnsi="Times New Roman" w:cs="Times New Roman"/>
      <w:kern w:val="0"/>
      <w:sz w:val="24"/>
      <w:szCs w:val="24"/>
      <w14:ligatures w14: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F51"/>
    <w:pPr>
      <w:spacing w:after="0" w:line="48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B17773"/>
    <w:pPr>
      <w:jc w:val="center"/>
      <w:outlineLvl w:val="0"/>
    </w:pPr>
    <w:rPr>
      <w:b/>
      <w:bCs/>
    </w:rPr>
  </w:style>
  <w:style w:type="paragraph" w:styleId="Heading2">
    <w:name w:val="heading 2"/>
    <w:basedOn w:val="Normal"/>
    <w:next w:val="Normal"/>
    <w:link w:val="Heading2Char"/>
    <w:uiPriority w:val="9"/>
    <w:unhideWhenUsed/>
    <w:qFormat/>
    <w:rsid w:val="00512C11"/>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773"/>
    <w:rPr>
      <w:rFonts w:ascii="Times New Roman" w:hAnsi="Times New Roman" w:cs="Times New Roman"/>
      <w:b/>
      <w:bCs/>
      <w:sz w:val="24"/>
      <w:szCs w:val="24"/>
    </w:rPr>
  </w:style>
  <w:style w:type="paragraph" w:styleId="ListParagraph">
    <w:name w:val="List Paragraph"/>
    <w:basedOn w:val="Normal"/>
    <w:uiPriority w:val="34"/>
    <w:qFormat/>
    <w:rsid w:val="00170F51"/>
    <w:pPr>
      <w:ind w:left="720"/>
      <w:contextualSpacing/>
    </w:pPr>
  </w:style>
  <w:style w:type="character" w:customStyle="1" w:styleId="Heading2Char">
    <w:name w:val="Heading 2 Char"/>
    <w:basedOn w:val="DefaultParagraphFont"/>
    <w:link w:val="Heading2"/>
    <w:uiPriority w:val="9"/>
    <w:rsid w:val="00512C11"/>
    <w:rPr>
      <w:rFonts w:ascii="Times New Roman" w:hAnsi="Times New Roman" w:cs="Times New Roman"/>
      <w:b/>
      <w:bCs/>
      <w:sz w:val="24"/>
      <w:szCs w:val="24"/>
    </w:rPr>
  </w:style>
  <w:style w:type="paragraph" w:styleId="Title">
    <w:name w:val="Title"/>
    <w:basedOn w:val="Normal"/>
    <w:next w:val="Normal"/>
    <w:link w:val="TitleChar"/>
    <w:qFormat/>
    <w:rsid w:val="00DE621F"/>
    <w:pPr>
      <w:spacing w:after="160" w:line="259" w:lineRule="auto"/>
      <w:jc w:val="center"/>
    </w:pPr>
    <w:rPr>
      <w:b/>
      <w:bCs/>
    </w:rPr>
  </w:style>
  <w:style w:type="character" w:customStyle="1" w:styleId="TitleChar">
    <w:name w:val="Title Char"/>
    <w:basedOn w:val="DefaultParagraphFont"/>
    <w:link w:val="Title"/>
    <w:uiPriority w:val="10"/>
    <w:rsid w:val="00DE621F"/>
    <w:rPr>
      <w:rFonts w:ascii="Times New Roman" w:hAnsi="Times New Roman" w:cs="Times New Roman"/>
      <w:b/>
      <w:bCs/>
      <w:sz w:val="24"/>
      <w:szCs w:val="24"/>
    </w:rPr>
  </w:style>
  <w:style w:type="paragraph" w:styleId="Header">
    <w:name w:val="header"/>
    <w:basedOn w:val="Normal"/>
    <w:link w:val="HeaderChar"/>
    <w:uiPriority w:val="99"/>
    <w:unhideWhenUsed/>
    <w:rsid w:val="00D72F27"/>
    <w:pPr>
      <w:tabs>
        <w:tab w:val="center" w:pos="4680"/>
        <w:tab w:val="right" w:pos="9360"/>
      </w:tabs>
      <w:spacing w:line="240" w:lineRule="auto"/>
    </w:pPr>
  </w:style>
  <w:style w:type="character" w:customStyle="1" w:styleId="HeaderChar">
    <w:name w:val="Header Char"/>
    <w:basedOn w:val="DefaultParagraphFont"/>
    <w:link w:val="Header"/>
    <w:uiPriority w:val="99"/>
    <w:rsid w:val="00D72F27"/>
    <w:rPr>
      <w:rFonts w:ascii="Times New Roman" w:hAnsi="Times New Roman" w:cs="Times New Roman"/>
      <w:sz w:val="24"/>
      <w:szCs w:val="24"/>
    </w:rPr>
  </w:style>
  <w:style w:type="paragraph" w:styleId="Footer">
    <w:name w:val="footer"/>
    <w:basedOn w:val="Normal"/>
    <w:link w:val="FooterChar"/>
    <w:uiPriority w:val="99"/>
    <w:unhideWhenUsed/>
    <w:rsid w:val="00D72F27"/>
    <w:pPr>
      <w:tabs>
        <w:tab w:val="center" w:pos="4680"/>
        <w:tab w:val="right" w:pos="9360"/>
      </w:tabs>
      <w:spacing w:line="240" w:lineRule="auto"/>
    </w:pPr>
  </w:style>
  <w:style w:type="character" w:customStyle="1" w:styleId="FooterChar">
    <w:name w:val="Footer Char"/>
    <w:basedOn w:val="DefaultParagraphFont"/>
    <w:link w:val="Footer"/>
    <w:uiPriority w:val="99"/>
    <w:rsid w:val="00D72F27"/>
    <w:rPr>
      <w:rFonts w:ascii="Times New Roman" w:hAnsi="Times New Roman" w:cs="Times New Roman"/>
      <w:sz w:val="24"/>
      <w:szCs w:val="24"/>
    </w:rPr>
  </w:style>
  <w:style w:type="character" w:styleId="Hyperlink">
    <w:name w:val="Hyperlink"/>
    <w:basedOn w:val="DefaultParagraphFont"/>
    <w:uiPriority w:val="99"/>
    <w:unhideWhenUsed/>
    <w:rsid w:val="008749A9"/>
    <w:rPr>
      <w:color w:val="0563C1" w:themeColor="hyperlink"/>
      <w:u w:val="single"/>
    </w:rPr>
  </w:style>
  <w:style w:type="paragraph" w:customStyle="1" w:styleId="normal0">
    <w:name w:val="normal"/>
    <w:rsid w:val="002250D0"/>
    <w:pPr>
      <w:spacing w:after="0" w:line="48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462832">
      <w:bodyDiv w:val="1"/>
      <w:marLeft w:val="0"/>
      <w:marRight w:val="0"/>
      <w:marTop w:val="0"/>
      <w:marBottom w:val="0"/>
      <w:divBdr>
        <w:top w:val="none" w:sz="0" w:space="0" w:color="auto"/>
        <w:left w:val="none" w:sz="0" w:space="0" w:color="auto"/>
        <w:bottom w:val="none" w:sz="0" w:space="0" w:color="auto"/>
        <w:right w:val="none" w:sz="0" w:space="0" w:color="auto"/>
      </w:divBdr>
    </w:div>
    <w:div w:id="1064986193">
      <w:bodyDiv w:val="1"/>
      <w:marLeft w:val="0"/>
      <w:marRight w:val="0"/>
      <w:marTop w:val="0"/>
      <w:marBottom w:val="0"/>
      <w:divBdr>
        <w:top w:val="none" w:sz="0" w:space="0" w:color="auto"/>
        <w:left w:val="none" w:sz="0" w:space="0" w:color="auto"/>
        <w:bottom w:val="none" w:sz="0" w:space="0" w:color="auto"/>
        <w:right w:val="none" w:sz="0" w:space="0" w:color="auto"/>
      </w:divBdr>
    </w:div>
    <w:div w:id="170840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indianapublications.com/Journals/IJHSS" TargetMode="External"/><Relationship Id="rId9" Type="http://schemas.openxmlformats.org/officeDocument/2006/relationships/hyperlink" Target="https://doi.org/10.1080/10495142.2019.1689220" TargetMode="External"/><Relationship Id="rId10" Type="http://schemas.openxmlformats.org/officeDocument/2006/relationships/hyperlink" Target="https://stats.og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1675</Words>
  <Characters>9552</Characters>
  <Application>Microsoft Macintosh Word</Application>
  <DocSecurity>0</DocSecurity>
  <Lines>79</Lines>
  <Paragraphs>22</Paragraphs>
  <ScaleCrop>false</ScaleCrop>
  <Company/>
  <LinksUpToDate>false</LinksUpToDate>
  <CharactersWithSpaces>11205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Reichard</dc:creator>
  <cp:keywords/>
  <dc:description/>
  <cp:lastModifiedBy>K B</cp:lastModifiedBy>
  <cp:revision>9</cp:revision>
  <dcterms:created xsi:type="dcterms:W3CDTF">2024-05-13T20:26:00Z</dcterms:created>
  <dcterms:modified xsi:type="dcterms:W3CDTF">2024-05-13T21:00:00Z</dcterms:modified>
</cp:coreProperties>
</file>