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42DF" w:rsidRDefault="009242DF">
      <w:pPr>
        <w:keepLines/>
        <w:pBdr>
          <w:top w:val="nil"/>
          <w:left w:val="nil"/>
          <w:bottom w:val="nil"/>
          <w:right w:val="nil"/>
          <w:between w:val="nil"/>
        </w:pBdr>
        <w:tabs>
          <w:tab w:val="right" w:pos="8640"/>
        </w:tabs>
        <w:ind w:left="720" w:hanging="720"/>
      </w:pPr>
    </w:p>
    <w:p w14:paraId="00000002" w14:textId="77777777" w:rsidR="009242DF" w:rsidRDefault="009242DF">
      <w:pPr>
        <w:pBdr>
          <w:top w:val="nil"/>
          <w:left w:val="nil"/>
          <w:bottom w:val="nil"/>
          <w:right w:val="nil"/>
          <w:between w:val="nil"/>
        </w:pBdr>
        <w:tabs>
          <w:tab w:val="right" w:pos="8640"/>
          <w:tab w:val="right" w:pos="8640"/>
        </w:tabs>
        <w:jc w:val="center"/>
        <w:rPr>
          <w:color w:val="000000"/>
        </w:rPr>
      </w:pPr>
    </w:p>
    <w:p w14:paraId="00000003" w14:textId="77777777" w:rsidR="009242DF" w:rsidRDefault="009242DF">
      <w:pPr>
        <w:pBdr>
          <w:top w:val="nil"/>
          <w:left w:val="nil"/>
          <w:bottom w:val="nil"/>
          <w:right w:val="nil"/>
          <w:between w:val="nil"/>
        </w:pBdr>
        <w:tabs>
          <w:tab w:val="right" w:pos="8640"/>
          <w:tab w:val="right" w:pos="8640"/>
        </w:tabs>
        <w:jc w:val="center"/>
        <w:rPr>
          <w:color w:val="000000"/>
        </w:rPr>
      </w:pPr>
    </w:p>
    <w:p w14:paraId="00000004"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5"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6"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7" w14:textId="78BC8B34" w:rsidR="009242DF" w:rsidRDefault="002C1D7A">
      <w:pPr>
        <w:spacing w:line="240" w:lineRule="auto"/>
        <w:ind w:firstLine="0"/>
        <w:jc w:val="center"/>
      </w:pPr>
      <w:r>
        <w:t xml:space="preserve">LDR 810: </w:t>
      </w:r>
      <w:r w:rsidR="00855AD1">
        <w:t>Cross</w:t>
      </w:r>
      <w:r w:rsidR="00B347E8">
        <w:t>-</w:t>
      </w:r>
      <w:r w:rsidR="00855AD1">
        <w:t>Cultural Dynamics</w:t>
      </w:r>
    </w:p>
    <w:p w14:paraId="00000008" w14:textId="77777777" w:rsidR="009242DF" w:rsidRDefault="009242DF">
      <w:pPr>
        <w:spacing w:line="240" w:lineRule="auto"/>
        <w:ind w:firstLine="0"/>
        <w:jc w:val="center"/>
      </w:pPr>
    </w:p>
    <w:p w14:paraId="00000009" w14:textId="532A3CDF" w:rsidR="009242DF" w:rsidRDefault="00441AEE">
      <w:pPr>
        <w:spacing w:line="240" w:lineRule="auto"/>
        <w:ind w:firstLine="0"/>
        <w:jc w:val="center"/>
      </w:pPr>
      <w:r>
        <w:t>Richard F. Gamble</w:t>
      </w:r>
    </w:p>
    <w:p w14:paraId="0000000A" w14:textId="77777777" w:rsidR="009242DF" w:rsidRDefault="009242DF">
      <w:pPr>
        <w:spacing w:line="240" w:lineRule="auto"/>
        <w:ind w:firstLine="0"/>
        <w:jc w:val="center"/>
      </w:pPr>
    </w:p>
    <w:p w14:paraId="0000000B" w14:textId="77777777" w:rsidR="009242DF" w:rsidRDefault="00000000">
      <w:pPr>
        <w:spacing w:line="240" w:lineRule="auto"/>
        <w:ind w:firstLine="0"/>
        <w:jc w:val="center"/>
      </w:pPr>
      <w:r>
        <w:t>Omega Graduate School</w:t>
      </w:r>
    </w:p>
    <w:p w14:paraId="0000000C" w14:textId="77777777" w:rsidR="009242DF" w:rsidRDefault="009242DF">
      <w:pPr>
        <w:spacing w:line="240" w:lineRule="auto"/>
        <w:ind w:firstLine="0"/>
        <w:jc w:val="center"/>
      </w:pPr>
    </w:p>
    <w:p w14:paraId="0000000D" w14:textId="62E8FB1E" w:rsidR="009242DF" w:rsidRDefault="00441AEE">
      <w:pPr>
        <w:spacing w:line="240" w:lineRule="auto"/>
        <w:ind w:firstLine="0"/>
        <w:jc w:val="center"/>
      </w:pPr>
      <w:r>
        <w:t>April 1, 2024</w:t>
      </w:r>
    </w:p>
    <w:p w14:paraId="0000000E" w14:textId="77777777" w:rsidR="009242DF" w:rsidRDefault="009242DF">
      <w:pPr>
        <w:spacing w:line="240" w:lineRule="auto"/>
        <w:ind w:firstLine="0"/>
        <w:jc w:val="center"/>
      </w:pPr>
    </w:p>
    <w:p w14:paraId="0000000F" w14:textId="77777777" w:rsidR="009242DF" w:rsidRDefault="009242DF">
      <w:pPr>
        <w:spacing w:line="240" w:lineRule="auto"/>
        <w:ind w:firstLine="0"/>
        <w:jc w:val="center"/>
      </w:pPr>
    </w:p>
    <w:p w14:paraId="00000010" w14:textId="77777777" w:rsidR="009242DF" w:rsidRDefault="009242DF">
      <w:pPr>
        <w:spacing w:line="240" w:lineRule="auto"/>
        <w:ind w:firstLine="0"/>
        <w:jc w:val="center"/>
      </w:pPr>
    </w:p>
    <w:p w14:paraId="00000011" w14:textId="77777777" w:rsidR="009242DF" w:rsidRDefault="009242DF">
      <w:pPr>
        <w:spacing w:line="240" w:lineRule="auto"/>
        <w:ind w:firstLine="0"/>
        <w:jc w:val="center"/>
      </w:pPr>
    </w:p>
    <w:p w14:paraId="00000012" w14:textId="77777777" w:rsidR="009242DF" w:rsidRDefault="009242DF">
      <w:pPr>
        <w:spacing w:line="240" w:lineRule="auto"/>
        <w:ind w:firstLine="0"/>
        <w:jc w:val="center"/>
      </w:pPr>
    </w:p>
    <w:p w14:paraId="00000013" w14:textId="77777777" w:rsidR="009242DF" w:rsidRDefault="00000000">
      <w:pPr>
        <w:spacing w:line="240" w:lineRule="auto"/>
        <w:ind w:firstLine="0"/>
        <w:jc w:val="center"/>
      </w:pPr>
      <w:r>
        <w:t>Professor</w:t>
      </w:r>
    </w:p>
    <w:p w14:paraId="00000014" w14:textId="77777777" w:rsidR="009242DF" w:rsidRDefault="009242DF">
      <w:pPr>
        <w:spacing w:line="240" w:lineRule="auto"/>
        <w:ind w:firstLine="0"/>
        <w:jc w:val="center"/>
      </w:pPr>
    </w:p>
    <w:p w14:paraId="00000015" w14:textId="77777777" w:rsidR="009242DF" w:rsidRDefault="009242DF">
      <w:pPr>
        <w:spacing w:line="240" w:lineRule="auto"/>
        <w:ind w:firstLine="0"/>
        <w:jc w:val="center"/>
      </w:pPr>
    </w:p>
    <w:p w14:paraId="00000016" w14:textId="67535A6B" w:rsidR="009242DF" w:rsidRDefault="00855AD1">
      <w:pPr>
        <w:spacing w:line="240" w:lineRule="auto"/>
        <w:ind w:firstLine="0"/>
        <w:jc w:val="center"/>
      </w:pPr>
      <w:r>
        <w:t>Jared Sorber</w:t>
      </w:r>
      <w:r w:rsidR="00441AEE">
        <w:t>, PhD</w:t>
      </w:r>
    </w:p>
    <w:p w14:paraId="00000017" w14:textId="77777777" w:rsidR="009242DF" w:rsidRDefault="009242DF">
      <w:pPr>
        <w:pBdr>
          <w:top w:val="nil"/>
          <w:left w:val="nil"/>
          <w:bottom w:val="nil"/>
          <w:right w:val="nil"/>
          <w:between w:val="nil"/>
        </w:pBdr>
        <w:tabs>
          <w:tab w:val="right" w:pos="8640"/>
          <w:tab w:val="right" w:pos="8640"/>
        </w:tabs>
        <w:ind w:firstLine="0"/>
        <w:jc w:val="center"/>
      </w:pPr>
    </w:p>
    <w:p w14:paraId="00000018" w14:textId="77777777" w:rsidR="009242DF" w:rsidRDefault="00000000">
      <w:pPr>
        <w:tabs>
          <w:tab w:val="right" w:pos="8640"/>
          <w:tab w:val="right" w:pos="8640"/>
        </w:tabs>
        <w:spacing w:line="240" w:lineRule="auto"/>
        <w:ind w:firstLine="0"/>
      </w:pPr>
      <w:r>
        <w:br w:type="page"/>
      </w:r>
    </w:p>
    <w:p w14:paraId="00000019" w14:textId="66D42040" w:rsidR="009242DF" w:rsidRPr="00441AEE" w:rsidRDefault="00441AEE" w:rsidP="00441AEE">
      <w:pPr>
        <w:tabs>
          <w:tab w:val="right" w:pos="8640"/>
          <w:tab w:val="right" w:pos="8640"/>
        </w:tabs>
        <w:ind w:firstLine="0"/>
        <w:jc w:val="center"/>
        <w:rPr>
          <w:b/>
          <w:bCs/>
        </w:rPr>
      </w:pPr>
      <w:r>
        <w:rPr>
          <w:b/>
          <w:bCs/>
        </w:rPr>
        <w:lastRenderedPageBreak/>
        <w:t xml:space="preserve">Assignment </w:t>
      </w:r>
      <w:r w:rsidR="002C1D7A">
        <w:rPr>
          <w:b/>
          <w:bCs/>
        </w:rPr>
        <w:t xml:space="preserve">#1 </w:t>
      </w:r>
      <w:r>
        <w:rPr>
          <w:b/>
          <w:bCs/>
        </w:rPr>
        <w:t xml:space="preserve">Instructions from </w:t>
      </w:r>
      <w:r w:rsidR="00855AD1">
        <w:rPr>
          <w:b/>
          <w:bCs/>
        </w:rPr>
        <w:t xml:space="preserve">LDR 810 </w:t>
      </w:r>
      <w:r>
        <w:rPr>
          <w:b/>
          <w:bCs/>
        </w:rPr>
        <w:t>Syllabus</w:t>
      </w:r>
    </w:p>
    <w:p w14:paraId="0000001B" w14:textId="28F0BBC8" w:rsidR="009242DF" w:rsidRDefault="00441AEE" w:rsidP="00441AEE">
      <w:pPr>
        <w:tabs>
          <w:tab w:val="right" w:pos="8640"/>
          <w:tab w:val="right" w:pos="8640"/>
        </w:tabs>
        <w:ind w:firstLine="0"/>
      </w:pPr>
      <w:r w:rsidRPr="00441AEE">
        <w:rPr>
          <w:noProof/>
        </w:rPr>
        <w:drawing>
          <wp:inline distT="0" distB="0" distL="0" distR="0" wp14:anchorId="3660A52C" wp14:editId="34AD67B2">
            <wp:extent cx="5166808" cy="1371719"/>
            <wp:effectExtent l="0" t="0" r="0" b="0"/>
            <wp:docPr id="733871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71656" name=""/>
                    <pic:cNvPicPr/>
                  </pic:nvPicPr>
                  <pic:blipFill>
                    <a:blip r:embed="rId8"/>
                    <a:stretch>
                      <a:fillRect/>
                    </a:stretch>
                  </pic:blipFill>
                  <pic:spPr>
                    <a:xfrm>
                      <a:off x="0" y="0"/>
                      <a:ext cx="5166808" cy="1371719"/>
                    </a:xfrm>
                    <a:prstGeom prst="rect">
                      <a:avLst/>
                    </a:prstGeom>
                  </pic:spPr>
                </pic:pic>
              </a:graphicData>
            </a:graphic>
          </wp:inline>
        </w:drawing>
      </w:r>
    </w:p>
    <w:p w14:paraId="47DE50D9" w14:textId="77777777" w:rsidR="00441AEE" w:rsidRDefault="00441AEE" w:rsidP="00441AEE">
      <w:pPr>
        <w:tabs>
          <w:tab w:val="right" w:pos="8640"/>
          <w:tab w:val="right" w:pos="8640"/>
        </w:tabs>
        <w:ind w:firstLine="0"/>
      </w:pPr>
    </w:p>
    <w:p w14:paraId="0000001C" w14:textId="77777777" w:rsidR="009242DF" w:rsidRDefault="009242DF">
      <w:pPr>
        <w:tabs>
          <w:tab w:val="right" w:pos="8640"/>
          <w:tab w:val="right" w:pos="8640"/>
        </w:tabs>
      </w:pPr>
    </w:p>
    <w:p w14:paraId="0000001D" w14:textId="77777777" w:rsidR="009242DF" w:rsidRDefault="009242DF">
      <w:pPr>
        <w:tabs>
          <w:tab w:val="right" w:pos="8640"/>
          <w:tab w:val="right" w:pos="8640"/>
        </w:tabs>
      </w:pPr>
    </w:p>
    <w:p w14:paraId="0000001E" w14:textId="77777777" w:rsidR="009242DF" w:rsidRDefault="009242DF">
      <w:pPr>
        <w:tabs>
          <w:tab w:val="right" w:pos="8640"/>
          <w:tab w:val="right" w:pos="8640"/>
        </w:tabs>
      </w:pPr>
    </w:p>
    <w:p w14:paraId="0000001F" w14:textId="77777777" w:rsidR="009242DF" w:rsidRDefault="009242DF">
      <w:pPr>
        <w:tabs>
          <w:tab w:val="right" w:pos="8640"/>
          <w:tab w:val="right" w:pos="8640"/>
        </w:tabs>
      </w:pPr>
    </w:p>
    <w:p w14:paraId="00000020" w14:textId="77777777" w:rsidR="009242DF" w:rsidRDefault="009242DF">
      <w:pPr>
        <w:tabs>
          <w:tab w:val="right" w:pos="8640"/>
          <w:tab w:val="right" w:pos="8640"/>
        </w:tabs>
      </w:pPr>
    </w:p>
    <w:p w14:paraId="00000021" w14:textId="77777777" w:rsidR="009242DF" w:rsidRDefault="009242DF">
      <w:pPr>
        <w:tabs>
          <w:tab w:val="right" w:pos="8640"/>
          <w:tab w:val="right" w:pos="8640"/>
        </w:tabs>
      </w:pPr>
    </w:p>
    <w:p w14:paraId="00000022" w14:textId="77777777" w:rsidR="009242DF" w:rsidRDefault="009242DF">
      <w:pPr>
        <w:tabs>
          <w:tab w:val="right" w:pos="8640"/>
          <w:tab w:val="right" w:pos="8640"/>
        </w:tabs>
      </w:pPr>
    </w:p>
    <w:p w14:paraId="00000023" w14:textId="77777777" w:rsidR="009242DF" w:rsidRDefault="009242DF">
      <w:pPr>
        <w:tabs>
          <w:tab w:val="right" w:pos="8640"/>
          <w:tab w:val="right" w:pos="8640"/>
        </w:tabs>
      </w:pPr>
    </w:p>
    <w:p w14:paraId="00000024" w14:textId="77777777" w:rsidR="009242DF" w:rsidRDefault="009242DF">
      <w:pPr>
        <w:tabs>
          <w:tab w:val="right" w:pos="8640"/>
          <w:tab w:val="right" w:pos="8640"/>
        </w:tabs>
      </w:pPr>
    </w:p>
    <w:p w14:paraId="00000025" w14:textId="77777777" w:rsidR="009242DF" w:rsidRDefault="009242DF">
      <w:pPr>
        <w:tabs>
          <w:tab w:val="right" w:pos="8640"/>
          <w:tab w:val="right" w:pos="8640"/>
        </w:tabs>
      </w:pPr>
    </w:p>
    <w:p w14:paraId="00000026" w14:textId="77777777" w:rsidR="009242DF" w:rsidRDefault="009242DF">
      <w:pPr>
        <w:tabs>
          <w:tab w:val="right" w:pos="8640"/>
          <w:tab w:val="right" w:pos="8640"/>
        </w:tabs>
      </w:pPr>
    </w:p>
    <w:p w14:paraId="00000027" w14:textId="77777777" w:rsidR="009242DF" w:rsidRDefault="009242DF">
      <w:pPr>
        <w:tabs>
          <w:tab w:val="right" w:pos="8640"/>
          <w:tab w:val="right" w:pos="8640"/>
        </w:tabs>
      </w:pPr>
    </w:p>
    <w:p w14:paraId="00000028" w14:textId="77777777" w:rsidR="009242DF" w:rsidRDefault="009242DF">
      <w:pPr>
        <w:tabs>
          <w:tab w:val="right" w:pos="8640"/>
          <w:tab w:val="right" w:pos="8640"/>
        </w:tabs>
      </w:pPr>
    </w:p>
    <w:p w14:paraId="00000029" w14:textId="77777777" w:rsidR="009242DF" w:rsidRDefault="009242DF">
      <w:pPr>
        <w:tabs>
          <w:tab w:val="right" w:pos="8640"/>
          <w:tab w:val="right" w:pos="8640"/>
        </w:tabs>
      </w:pPr>
    </w:p>
    <w:p w14:paraId="0000002A" w14:textId="77777777" w:rsidR="009242DF" w:rsidRDefault="009242DF">
      <w:pPr>
        <w:tabs>
          <w:tab w:val="right" w:pos="8640"/>
          <w:tab w:val="right" w:pos="8640"/>
        </w:tabs>
      </w:pPr>
    </w:p>
    <w:p w14:paraId="0000002B" w14:textId="77777777" w:rsidR="009242DF" w:rsidRDefault="009242DF">
      <w:pPr>
        <w:tabs>
          <w:tab w:val="right" w:pos="8640"/>
          <w:tab w:val="right" w:pos="8640"/>
        </w:tabs>
      </w:pPr>
    </w:p>
    <w:p w14:paraId="0000002C" w14:textId="77777777" w:rsidR="009242DF" w:rsidRDefault="009242DF">
      <w:pPr>
        <w:tabs>
          <w:tab w:val="right" w:pos="8640"/>
          <w:tab w:val="right" w:pos="8640"/>
        </w:tabs>
      </w:pPr>
    </w:p>
    <w:p w14:paraId="00000030" w14:textId="5469CE56" w:rsidR="009242DF" w:rsidRPr="00441AEE" w:rsidRDefault="00441AEE" w:rsidP="00441AEE">
      <w:pPr>
        <w:tabs>
          <w:tab w:val="right" w:pos="8640"/>
          <w:tab w:val="right" w:pos="8640"/>
        </w:tabs>
        <w:ind w:firstLine="0"/>
        <w:jc w:val="center"/>
        <w:rPr>
          <w:b/>
          <w:bCs/>
        </w:rPr>
      </w:pPr>
      <w:r w:rsidRPr="00441AEE">
        <w:rPr>
          <w:b/>
          <w:bCs/>
        </w:rPr>
        <w:lastRenderedPageBreak/>
        <w:t>LDR 81</w:t>
      </w:r>
      <w:r w:rsidR="00855AD1">
        <w:rPr>
          <w:b/>
          <w:bCs/>
        </w:rPr>
        <w:t>0</w:t>
      </w:r>
      <w:r w:rsidRPr="00441AEE">
        <w:rPr>
          <w:b/>
          <w:bCs/>
        </w:rPr>
        <w:t>: Assignment 1</w:t>
      </w:r>
    </w:p>
    <w:p w14:paraId="4BDBC6B6" w14:textId="77777777" w:rsidR="008F094C" w:rsidRDefault="00441AEE" w:rsidP="00441AEE">
      <w:pPr>
        <w:tabs>
          <w:tab w:val="right" w:pos="8640"/>
          <w:tab w:val="right" w:pos="8640"/>
        </w:tabs>
        <w:ind w:firstLine="0"/>
        <w:rPr>
          <w:b/>
          <w:bCs/>
        </w:rPr>
      </w:pPr>
      <w:r w:rsidRPr="008F094C">
        <w:rPr>
          <w:b/>
          <w:bCs/>
        </w:rPr>
        <w:t xml:space="preserve">Selected Essential Element: </w:t>
      </w:r>
    </w:p>
    <w:p w14:paraId="11F86F0C" w14:textId="17B8AC14" w:rsidR="00855AD1" w:rsidRPr="00855AD1" w:rsidRDefault="00855AD1" w:rsidP="00855AD1">
      <w:pPr>
        <w:tabs>
          <w:tab w:val="clear" w:pos="8640"/>
        </w:tabs>
        <w:ind w:firstLine="0"/>
      </w:pPr>
      <w:r>
        <w:rPr>
          <w:b/>
          <w:bCs/>
        </w:rPr>
        <w:tab/>
      </w:r>
      <w:r w:rsidRPr="00855AD1">
        <w:t>Interdisciplinary Cross-Cultural Communication</w:t>
      </w:r>
    </w:p>
    <w:p w14:paraId="52269B25" w14:textId="4FC25385" w:rsidR="00441AEE" w:rsidRPr="008F094C" w:rsidRDefault="00441AEE" w:rsidP="00441AEE">
      <w:pPr>
        <w:tabs>
          <w:tab w:val="right" w:pos="8640"/>
          <w:tab w:val="right" w:pos="8640"/>
        </w:tabs>
        <w:ind w:firstLine="0"/>
        <w:rPr>
          <w:b/>
          <w:bCs/>
        </w:rPr>
      </w:pPr>
      <w:r w:rsidRPr="008F094C">
        <w:rPr>
          <w:b/>
          <w:bCs/>
        </w:rPr>
        <w:t>Discussion Paper</w:t>
      </w:r>
    </w:p>
    <w:p w14:paraId="66BCBDC0" w14:textId="5F4FB004" w:rsidR="00441AEE" w:rsidRDefault="00441AEE" w:rsidP="00441AEE">
      <w:pPr>
        <w:tabs>
          <w:tab w:val="clear" w:pos="8640"/>
        </w:tabs>
        <w:ind w:firstLine="0"/>
      </w:pPr>
      <w:r>
        <w:tab/>
      </w:r>
      <w:r w:rsidR="002C1D7A">
        <w:t>Currently at O</w:t>
      </w:r>
      <w:r w:rsidR="00542F02">
        <w:t>mega Graduate School</w:t>
      </w:r>
      <w:r w:rsidR="00DE7CCC">
        <w:t xml:space="preserve"> (OGS)</w:t>
      </w:r>
      <w:r w:rsidR="002C1D7A">
        <w:t xml:space="preserve">, </w:t>
      </w:r>
      <w:r w:rsidR="00542F02">
        <w:t>the staff</w:t>
      </w:r>
      <w:r w:rsidR="002C1D7A">
        <w:t xml:space="preserve"> serve</w:t>
      </w:r>
      <w:r w:rsidR="00B347E8">
        <w:t>s</w:t>
      </w:r>
      <w:r w:rsidR="002C1D7A">
        <w:t xml:space="preserve"> students located in eight different countries </w:t>
      </w:r>
      <w:r w:rsidR="00542F02">
        <w:t>spanning</w:t>
      </w:r>
      <w:r w:rsidR="002C1D7A">
        <w:t xml:space="preserve"> three different continents. </w:t>
      </w:r>
      <w:r w:rsidR="00542F02">
        <w:t xml:space="preserve">This diversity </w:t>
      </w:r>
      <w:r w:rsidR="00DE7CCC">
        <w:t xml:space="preserve">of the student body, and the value the school places on diversity and inclusion, </w:t>
      </w:r>
      <w:r w:rsidR="00542F02">
        <w:t>ha</w:t>
      </w:r>
      <w:r w:rsidR="00B347E8">
        <w:t>ve</w:t>
      </w:r>
      <w:r w:rsidR="00542F02">
        <w:t xml:space="preserve"> always been </w:t>
      </w:r>
      <w:r w:rsidR="00B347E8">
        <w:t>areas</w:t>
      </w:r>
      <w:r w:rsidR="00542F02">
        <w:t xml:space="preserve"> that I have admired</w:t>
      </w:r>
      <w:r w:rsidR="00DE7CCC">
        <w:t xml:space="preserve"> about OGS. Over the six years that I have worked at the school, I have had to grow in my understanding of both cross-cultural understanding and communication. For example, I began to notice that the way I needed to communicate with an American student was not the same way I needed to communicate the same information to a student in Ethiopia due to cultural differences. One of the reasons that I am excited about taking LDR 810 Cross-Cultural Dynamics is that I believe it will equip me to communicate better with the international students that I serve at OGS in my role as Registrar.</w:t>
      </w:r>
    </w:p>
    <w:p w14:paraId="1BC47C43" w14:textId="3234AB3B" w:rsidR="00DE7CCC" w:rsidRDefault="00DE7CCC" w:rsidP="00441AEE">
      <w:pPr>
        <w:tabs>
          <w:tab w:val="clear" w:pos="8640"/>
        </w:tabs>
        <w:ind w:firstLine="0"/>
      </w:pPr>
      <w:r>
        <w:tab/>
        <w:t xml:space="preserve">The essential element that I am choosing to discuss in this brief assignment #1 is interdisciplinary cross-cultural communication. I have found two helpful, peer-reviewed journal articles to help orient me to some of the issues that arise in this essential element. The first </w:t>
      </w:r>
      <w:r w:rsidR="00B347E8">
        <w:t xml:space="preserve">source, </w:t>
      </w:r>
      <w:r>
        <w:t>Mogea</w:t>
      </w:r>
      <w:r w:rsidR="00B347E8">
        <w:t xml:space="preserve"> (</w:t>
      </w:r>
      <w:r>
        <w:t>2023)</w:t>
      </w:r>
      <w:r w:rsidR="00B347E8">
        <w:t>,</w:t>
      </w:r>
      <w:r>
        <w:t xml:space="preserve"> </w:t>
      </w:r>
      <w:r w:rsidR="00B347E8">
        <w:t>addressed</w:t>
      </w:r>
      <w:r>
        <w:t xml:space="preserve"> roadblocks that exist in cross-cultural communication in organizations. Mogea (2023) </w:t>
      </w:r>
      <w:r w:rsidR="00E150F4">
        <w:t>focused on eight of these barriers:</w:t>
      </w:r>
    </w:p>
    <w:p w14:paraId="44E4C68A" w14:textId="3E27D0C5" w:rsidR="00DE7CCC" w:rsidRDefault="00E70D5A" w:rsidP="00DE7CCC">
      <w:pPr>
        <w:pStyle w:val="ListParagraph"/>
        <w:numPr>
          <w:ilvl w:val="0"/>
          <w:numId w:val="1"/>
        </w:numPr>
        <w:tabs>
          <w:tab w:val="clear" w:pos="8640"/>
        </w:tabs>
      </w:pPr>
      <w:r>
        <w:t>differences in background and experience, which cause different interpretations of the same communication;</w:t>
      </w:r>
    </w:p>
    <w:p w14:paraId="20849668" w14:textId="720E9AB5" w:rsidR="00E70D5A" w:rsidRDefault="00E150F4" w:rsidP="00DE7CCC">
      <w:pPr>
        <w:pStyle w:val="ListParagraph"/>
        <w:numPr>
          <w:ilvl w:val="0"/>
          <w:numId w:val="1"/>
        </w:numPr>
        <w:tabs>
          <w:tab w:val="clear" w:pos="8640"/>
        </w:tabs>
      </w:pPr>
      <w:r>
        <w:t>“</w:t>
      </w:r>
      <w:r w:rsidR="00E70D5A">
        <w:t>selective listening</w:t>
      </w:r>
      <w:r>
        <w:t>”</w:t>
      </w:r>
      <w:r w:rsidR="00E70D5A">
        <w:t xml:space="preserve">, in which the hearer only </w:t>
      </w:r>
      <w:r>
        <w:t>“</w:t>
      </w:r>
      <w:r w:rsidR="00E70D5A">
        <w:t>attends</w:t>
      </w:r>
      <w:r>
        <w:t>”</w:t>
      </w:r>
      <w:r w:rsidR="00E70D5A">
        <w:t xml:space="preserve"> to what reinforces their belief system;</w:t>
      </w:r>
    </w:p>
    <w:p w14:paraId="15919E17" w14:textId="2999BA8C" w:rsidR="00E70D5A" w:rsidRDefault="00E70D5A" w:rsidP="00DE7CCC">
      <w:pPr>
        <w:pStyle w:val="ListParagraph"/>
        <w:numPr>
          <w:ilvl w:val="0"/>
          <w:numId w:val="1"/>
        </w:numPr>
        <w:tabs>
          <w:tab w:val="clear" w:pos="8640"/>
        </w:tabs>
      </w:pPr>
      <w:r>
        <w:lastRenderedPageBreak/>
        <w:t xml:space="preserve">making pre-emptive judgments about the communicator before they have had a chance to speak fully </w:t>
      </w:r>
      <w:r w:rsidR="00B347E8">
        <w:t xml:space="preserve">about </w:t>
      </w:r>
      <w:r>
        <w:t>what is on their mind;</w:t>
      </w:r>
    </w:p>
    <w:p w14:paraId="31085FBF" w14:textId="64D2CD8A" w:rsidR="00E70D5A" w:rsidRDefault="00E150F4" w:rsidP="00DE7CCC">
      <w:pPr>
        <w:pStyle w:val="ListParagraph"/>
        <w:numPr>
          <w:ilvl w:val="0"/>
          <w:numId w:val="1"/>
        </w:numPr>
        <w:tabs>
          <w:tab w:val="clear" w:pos="8640"/>
        </w:tabs>
      </w:pPr>
      <w:r>
        <w:t>a</w:t>
      </w:r>
      <w:r w:rsidR="00E70D5A">
        <w:t xml:space="preserve">utomatically accepting information </w:t>
      </w:r>
      <w:r w:rsidR="00B347E8">
        <w:t>from</w:t>
      </w:r>
      <w:r w:rsidR="00E70D5A">
        <w:t xml:space="preserve"> someone whom the hearer deems as trustworthy;</w:t>
      </w:r>
    </w:p>
    <w:p w14:paraId="1455866C" w14:textId="1F80CAB4" w:rsidR="00E70D5A" w:rsidRDefault="00E70D5A" w:rsidP="00DE7CCC">
      <w:pPr>
        <w:pStyle w:val="ListParagraph"/>
        <w:numPr>
          <w:ilvl w:val="0"/>
          <w:numId w:val="1"/>
        </w:numPr>
        <w:tabs>
          <w:tab w:val="clear" w:pos="8640"/>
        </w:tabs>
      </w:pPr>
      <w:r>
        <w:t>groups using the same words in different ways;</w:t>
      </w:r>
    </w:p>
    <w:p w14:paraId="667988A0" w14:textId="5FA68E78" w:rsidR="00E70D5A" w:rsidRDefault="00E70D5A" w:rsidP="00DE7CCC">
      <w:pPr>
        <w:pStyle w:val="ListParagraph"/>
        <w:numPr>
          <w:ilvl w:val="0"/>
          <w:numId w:val="1"/>
        </w:numPr>
        <w:tabs>
          <w:tab w:val="clear" w:pos="8640"/>
        </w:tabs>
      </w:pPr>
      <w:r>
        <w:t>manipulating information so that negative information is heard positively by the listener;</w:t>
      </w:r>
    </w:p>
    <w:p w14:paraId="0B8A5300" w14:textId="3B0A8907" w:rsidR="00E70D5A" w:rsidRDefault="00E70D5A" w:rsidP="00DE7CCC">
      <w:pPr>
        <w:pStyle w:val="ListParagraph"/>
        <w:numPr>
          <w:ilvl w:val="0"/>
          <w:numId w:val="1"/>
        </w:numPr>
        <w:tabs>
          <w:tab w:val="clear" w:pos="8640"/>
        </w:tabs>
      </w:pPr>
      <w:r>
        <w:t>using language that only makes sense within a specific group;</w:t>
      </w:r>
    </w:p>
    <w:p w14:paraId="57E7A995" w14:textId="79F271B3" w:rsidR="00E70D5A" w:rsidRDefault="00E70D5A" w:rsidP="00DE7CCC">
      <w:pPr>
        <w:pStyle w:val="ListParagraph"/>
        <w:numPr>
          <w:ilvl w:val="0"/>
          <w:numId w:val="1"/>
        </w:numPr>
        <w:tabs>
          <w:tab w:val="clear" w:pos="8640"/>
        </w:tabs>
      </w:pPr>
      <w:r>
        <w:t>and differences in status that can distort information</w:t>
      </w:r>
      <w:r w:rsidR="00E150F4">
        <w:t>.</w:t>
      </w:r>
      <w:r>
        <w:t xml:space="preserve"> </w:t>
      </w:r>
      <w:r w:rsidR="00E150F4">
        <w:t>(</w:t>
      </w:r>
      <w:r>
        <w:t>pp. 24-25)</w:t>
      </w:r>
    </w:p>
    <w:p w14:paraId="757C14B7" w14:textId="5737AB25" w:rsidR="00862C85" w:rsidRDefault="00862C85" w:rsidP="00862C85">
      <w:pPr>
        <w:tabs>
          <w:tab w:val="clear" w:pos="8640"/>
        </w:tabs>
        <w:ind w:firstLine="0"/>
      </w:pPr>
      <w:r>
        <w:t>I have been guilty of using in-group language when tutoring students. For example, OGS staff, including me, often use OGS</w:t>
      </w:r>
      <w:r w:rsidR="00B347E8">
        <w:t>-</w:t>
      </w:r>
      <w:r>
        <w:t>specific language, such as “tutorial method” or “contextualization,” w</w:t>
      </w:r>
      <w:r w:rsidR="00B347E8">
        <w:t>hen tutoring</w:t>
      </w:r>
      <w:r>
        <w:t xml:space="preserve"> new students without explaining the specific meaning of those terms ahead of time. Or, in tutoring sessions with international master’s students, I have often used colloquial idioms from American sports to get points across without understanding that the student probably does not know what I am talking about. This is an area of improvement that I need to address. </w:t>
      </w:r>
    </w:p>
    <w:p w14:paraId="24A96A16" w14:textId="2569D39D" w:rsidR="00DF6D22" w:rsidRDefault="00DF6D22" w:rsidP="00DF6D22">
      <w:pPr>
        <w:tabs>
          <w:tab w:val="clear" w:pos="8640"/>
        </w:tabs>
      </w:pPr>
      <w:r>
        <w:t xml:space="preserve">The second source (Jakucionyte, 2020) focused on the differences in how people across American and Lithuanian cultures communicate gratitude and apology. Jakucionyte (2020) found that while both Americans and Lithuanians “use the speech acts of gratitude and apology,” there is a difference in the directness </w:t>
      </w:r>
      <w:r w:rsidR="00B347E8">
        <w:t>with</w:t>
      </w:r>
      <w:r>
        <w:t xml:space="preserve"> which they are communicated (p. 175). </w:t>
      </w:r>
      <w:r w:rsidR="00E150F4">
        <w:t xml:space="preserve">Americans tended to communicate feelings of gratitude and apology </w:t>
      </w:r>
      <w:r w:rsidR="00E150F4" w:rsidRPr="00B347E8">
        <w:rPr>
          <w:i/>
          <w:iCs/>
        </w:rPr>
        <w:t>directly</w:t>
      </w:r>
      <w:r w:rsidR="00E150F4">
        <w:t xml:space="preserve"> and often. Lithuanians on the other hand do not communicate gratitude or apology as often or directly; instead, the feelings are often </w:t>
      </w:r>
      <w:r w:rsidR="00E150F4" w:rsidRPr="00B347E8">
        <w:rPr>
          <w:i/>
          <w:iCs/>
        </w:rPr>
        <w:t>implied</w:t>
      </w:r>
      <w:r w:rsidR="00E150F4">
        <w:t xml:space="preserve"> (p. 175). They conclude that “language learning” is not solely about learning “vocabulary or grammar or sentence structure” (p. 176). </w:t>
      </w:r>
      <w:r w:rsidR="00B347E8">
        <w:t>Rather, i</w:t>
      </w:r>
      <w:r w:rsidR="00E150F4">
        <w:t>n addition to these</w:t>
      </w:r>
      <w:r w:rsidR="00862C85">
        <w:t xml:space="preserve"> foundations</w:t>
      </w:r>
      <w:r w:rsidR="00E150F4">
        <w:t xml:space="preserve">, </w:t>
      </w:r>
      <w:r w:rsidR="00E150F4">
        <w:lastRenderedPageBreak/>
        <w:t xml:space="preserve">it is essential for “language learners” to understand the “cultural norms, peculiarities of cross-cultural communication or creative reactions that are being expressed” (p. 176). </w:t>
      </w:r>
      <w:r w:rsidR="00862C85">
        <w:t xml:space="preserve">This makes a lot of sense to me. It is not enough to know the words; it is crucial to know </w:t>
      </w:r>
      <w:r w:rsidR="00862C85" w:rsidRPr="00B347E8">
        <w:rPr>
          <w:i/>
          <w:iCs/>
        </w:rPr>
        <w:t>when</w:t>
      </w:r>
      <w:r w:rsidR="00862C85">
        <w:t xml:space="preserve"> and </w:t>
      </w:r>
      <w:r w:rsidR="00862C85" w:rsidRPr="00B347E8">
        <w:rPr>
          <w:i/>
          <w:iCs/>
        </w:rPr>
        <w:t>how</w:t>
      </w:r>
      <w:r w:rsidR="00862C85">
        <w:t xml:space="preserve"> to use them when communicating </w:t>
      </w:r>
      <w:r w:rsidR="00B347E8">
        <w:t>with</w:t>
      </w:r>
      <w:r w:rsidR="00862C85">
        <w:t xml:space="preserve">in a different culture. </w:t>
      </w:r>
    </w:p>
    <w:p w14:paraId="24A8F046" w14:textId="77777777" w:rsidR="00B347E8" w:rsidRDefault="00B347E8" w:rsidP="00441AEE">
      <w:pPr>
        <w:tabs>
          <w:tab w:val="right" w:pos="8640"/>
          <w:tab w:val="right" w:pos="8640"/>
        </w:tabs>
        <w:ind w:firstLine="0"/>
        <w:rPr>
          <w:b/>
          <w:bCs/>
        </w:rPr>
      </w:pPr>
    </w:p>
    <w:p w14:paraId="5AE6DC46" w14:textId="1862E2F1" w:rsidR="00441AEE" w:rsidRPr="00B347E8" w:rsidRDefault="00441AEE" w:rsidP="00441AEE">
      <w:pPr>
        <w:tabs>
          <w:tab w:val="right" w:pos="8640"/>
          <w:tab w:val="right" w:pos="8640"/>
        </w:tabs>
        <w:ind w:firstLine="0"/>
      </w:pPr>
      <w:r w:rsidRPr="008F094C">
        <w:rPr>
          <w:b/>
          <w:bCs/>
        </w:rPr>
        <w:t xml:space="preserve">Word Count: </w:t>
      </w:r>
      <w:r w:rsidR="00B347E8" w:rsidRPr="00B347E8">
        <w:t>565</w:t>
      </w:r>
    </w:p>
    <w:p w14:paraId="0E9EF358" w14:textId="77777777" w:rsidR="00441AEE" w:rsidRDefault="00441AEE" w:rsidP="00441AEE">
      <w:pPr>
        <w:tabs>
          <w:tab w:val="right" w:pos="8640"/>
          <w:tab w:val="right" w:pos="8640"/>
        </w:tabs>
        <w:ind w:firstLine="0"/>
      </w:pPr>
    </w:p>
    <w:p w14:paraId="00000031" w14:textId="77777777" w:rsidR="009242DF" w:rsidRDefault="009242DF">
      <w:pPr>
        <w:tabs>
          <w:tab w:val="right" w:pos="8640"/>
          <w:tab w:val="right" w:pos="8640"/>
        </w:tabs>
      </w:pPr>
    </w:p>
    <w:p w14:paraId="00000032" w14:textId="77777777" w:rsidR="009242DF" w:rsidRDefault="009242DF">
      <w:pPr>
        <w:tabs>
          <w:tab w:val="right" w:pos="8640"/>
          <w:tab w:val="right" w:pos="8640"/>
        </w:tabs>
      </w:pPr>
    </w:p>
    <w:p w14:paraId="00000033" w14:textId="77777777" w:rsidR="009242DF" w:rsidRDefault="009242DF">
      <w:pPr>
        <w:tabs>
          <w:tab w:val="right" w:pos="8640"/>
          <w:tab w:val="right" w:pos="8640"/>
        </w:tabs>
      </w:pPr>
    </w:p>
    <w:p w14:paraId="00000034" w14:textId="77777777" w:rsidR="009242DF" w:rsidRDefault="009242DF">
      <w:pPr>
        <w:tabs>
          <w:tab w:val="right" w:pos="8640"/>
          <w:tab w:val="right" w:pos="8640"/>
        </w:tabs>
      </w:pPr>
    </w:p>
    <w:p w14:paraId="00000035" w14:textId="77777777" w:rsidR="009242DF" w:rsidRDefault="009242DF">
      <w:pPr>
        <w:tabs>
          <w:tab w:val="right" w:pos="8640"/>
          <w:tab w:val="right" w:pos="8640"/>
        </w:tabs>
      </w:pPr>
    </w:p>
    <w:p w14:paraId="00000036" w14:textId="77777777" w:rsidR="009242DF" w:rsidRDefault="009242DF">
      <w:pPr>
        <w:tabs>
          <w:tab w:val="right" w:pos="8640"/>
          <w:tab w:val="right" w:pos="8640"/>
        </w:tabs>
      </w:pPr>
    </w:p>
    <w:p w14:paraId="00000037" w14:textId="77777777" w:rsidR="009242DF" w:rsidRDefault="009242DF">
      <w:pPr>
        <w:tabs>
          <w:tab w:val="right" w:pos="8640"/>
          <w:tab w:val="right" w:pos="8640"/>
        </w:tabs>
      </w:pPr>
    </w:p>
    <w:p w14:paraId="00000038" w14:textId="77777777" w:rsidR="009242DF" w:rsidRDefault="009242DF">
      <w:pPr>
        <w:tabs>
          <w:tab w:val="right" w:pos="8640"/>
          <w:tab w:val="right" w:pos="8640"/>
        </w:tabs>
      </w:pPr>
    </w:p>
    <w:p w14:paraId="00000039" w14:textId="77777777" w:rsidR="009242DF" w:rsidRDefault="00000000">
      <w:pPr>
        <w:tabs>
          <w:tab w:val="right" w:pos="8640"/>
          <w:tab w:val="right" w:pos="8640"/>
        </w:tabs>
      </w:pPr>
      <w:r>
        <w:br w:type="page"/>
      </w:r>
    </w:p>
    <w:p w14:paraId="0000003A" w14:textId="059352A1" w:rsidR="009242DF" w:rsidRPr="00CE3AE8" w:rsidRDefault="00441AEE" w:rsidP="00812818">
      <w:pPr>
        <w:tabs>
          <w:tab w:val="right" w:pos="8640"/>
          <w:tab w:val="right" w:pos="8640"/>
        </w:tabs>
        <w:ind w:firstLine="0"/>
        <w:jc w:val="center"/>
        <w:rPr>
          <w:b/>
          <w:bCs/>
        </w:rPr>
      </w:pPr>
      <w:r w:rsidRPr="00CE3AE8">
        <w:rPr>
          <w:b/>
          <w:bCs/>
        </w:rPr>
        <w:lastRenderedPageBreak/>
        <w:t>References</w:t>
      </w:r>
    </w:p>
    <w:p w14:paraId="0FBF9B23" w14:textId="6190B761" w:rsidR="00855AD1" w:rsidRDefault="00855AD1" w:rsidP="00855AD1">
      <w:pPr>
        <w:tabs>
          <w:tab w:val="right" w:pos="8640"/>
          <w:tab w:val="right" w:pos="8640"/>
        </w:tabs>
        <w:ind w:left="720" w:hanging="720"/>
      </w:pPr>
      <w:r>
        <w:t xml:space="preserve">Jakucionyte, V. (2020). Cross-cultural communication: Creativity and politeness strategies across cultures. A comparison of Lithuanian and American cultures. </w:t>
      </w:r>
      <w:r w:rsidRPr="00855AD1">
        <w:rPr>
          <w:i/>
          <w:iCs/>
        </w:rPr>
        <w:t>Creativity Studies</w:t>
      </w:r>
      <w:r>
        <w:t xml:space="preserve">, </w:t>
      </w:r>
      <w:r w:rsidRPr="00855AD1">
        <w:rPr>
          <w:i/>
          <w:iCs/>
        </w:rPr>
        <w:t>13</w:t>
      </w:r>
      <w:r>
        <w:t xml:space="preserve">(1), 164-178. </w:t>
      </w:r>
      <w:hyperlink r:id="rId9" w:history="1">
        <w:r w:rsidRPr="004A75AA">
          <w:rPr>
            <w:rStyle w:val="Hyperlink"/>
          </w:rPr>
          <w:t>https://doi.org/10.3846/cs.2020.9025</w:t>
        </w:r>
      </w:hyperlink>
    </w:p>
    <w:p w14:paraId="138FC376" w14:textId="0F5869C6" w:rsidR="00855AD1" w:rsidRPr="00855AD1" w:rsidRDefault="00855AD1" w:rsidP="00855AD1">
      <w:pPr>
        <w:tabs>
          <w:tab w:val="right" w:pos="8640"/>
          <w:tab w:val="right" w:pos="8640"/>
        </w:tabs>
        <w:ind w:left="720" w:hanging="720"/>
      </w:pPr>
      <w:r>
        <w:t xml:space="preserve">Mogea, T. (2023). Cross-cultural communication barriers in organizations. </w:t>
      </w:r>
      <w:r w:rsidRPr="00855AD1">
        <w:rPr>
          <w:i/>
          <w:iCs/>
        </w:rPr>
        <w:t>C</w:t>
      </w:r>
      <w:r w:rsidR="00812818">
        <w:rPr>
          <w:i/>
          <w:iCs/>
        </w:rPr>
        <w:t>ENDEKIA</w:t>
      </w:r>
      <w:r w:rsidRPr="00855AD1">
        <w:rPr>
          <w:i/>
          <w:iCs/>
        </w:rPr>
        <w:t xml:space="preserve">: </w:t>
      </w:r>
      <w:proofErr w:type="spellStart"/>
      <w:r w:rsidRPr="00855AD1">
        <w:rPr>
          <w:i/>
          <w:iCs/>
        </w:rPr>
        <w:t>Jurnal</w:t>
      </w:r>
      <w:proofErr w:type="spellEnd"/>
      <w:r w:rsidRPr="00855AD1">
        <w:rPr>
          <w:i/>
          <w:iCs/>
        </w:rPr>
        <w:t xml:space="preserve"> </w:t>
      </w:r>
      <w:proofErr w:type="spellStart"/>
      <w:r w:rsidRPr="00855AD1">
        <w:rPr>
          <w:i/>
          <w:iCs/>
        </w:rPr>
        <w:t>Ilmu</w:t>
      </w:r>
      <w:proofErr w:type="spellEnd"/>
      <w:r w:rsidRPr="00855AD1">
        <w:rPr>
          <w:i/>
          <w:iCs/>
        </w:rPr>
        <w:t xml:space="preserve"> </w:t>
      </w:r>
      <w:proofErr w:type="spellStart"/>
      <w:r w:rsidRPr="00855AD1">
        <w:rPr>
          <w:i/>
          <w:iCs/>
        </w:rPr>
        <w:t>Sosial</w:t>
      </w:r>
      <w:proofErr w:type="spellEnd"/>
      <w:r w:rsidRPr="00855AD1">
        <w:rPr>
          <w:i/>
          <w:iCs/>
        </w:rPr>
        <w:t>, Bahasa dan Pendidikan</w:t>
      </w:r>
      <w:r>
        <w:t xml:space="preserve">, </w:t>
      </w:r>
      <w:r w:rsidRPr="00812818">
        <w:rPr>
          <w:i/>
          <w:iCs/>
        </w:rPr>
        <w:t>3</w:t>
      </w:r>
      <w:r>
        <w:t xml:space="preserve">(2), </w:t>
      </w:r>
      <w:r w:rsidR="00812818">
        <w:t xml:space="preserve">20-33. </w:t>
      </w:r>
      <w:hyperlink r:id="rId10" w:history="1">
        <w:r w:rsidR="002C1D7A" w:rsidRPr="00F056A9">
          <w:rPr>
            <w:rStyle w:val="Hyperlink"/>
          </w:rPr>
          <w:t>https://doi.org/10.55606/cendikia.v3i2.951</w:t>
        </w:r>
      </w:hyperlink>
      <w:r w:rsidR="002C1D7A">
        <w:t xml:space="preserve"> </w:t>
      </w:r>
    </w:p>
    <w:p w14:paraId="3F1739D6" w14:textId="77777777" w:rsidR="00441AEE" w:rsidRDefault="00441AEE" w:rsidP="00441AEE">
      <w:pPr>
        <w:tabs>
          <w:tab w:val="right" w:pos="8640"/>
          <w:tab w:val="right" w:pos="8640"/>
        </w:tabs>
        <w:ind w:firstLine="0"/>
      </w:pPr>
    </w:p>
    <w:p w14:paraId="0000003B" w14:textId="77777777" w:rsidR="009242DF" w:rsidRDefault="009242DF">
      <w:pPr>
        <w:pStyle w:val="Title"/>
        <w:tabs>
          <w:tab w:val="right" w:pos="8640"/>
          <w:tab w:val="right" w:pos="8640"/>
        </w:tabs>
        <w:spacing w:line="276" w:lineRule="auto"/>
        <w:jc w:val="left"/>
      </w:pPr>
    </w:p>
    <w:p w14:paraId="0000003C" w14:textId="77777777" w:rsidR="009242DF" w:rsidRDefault="009242DF">
      <w:pPr>
        <w:pStyle w:val="Title"/>
        <w:tabs>
          <w:tab w:val="right" w:pos="8640"/>
          <w:tab w:val="right" w:pos="8640"/>
        </w:tabs>
        <w:spacing w:line="276" w:lineRule="auto"/>
        <w:jc w:val="left"/>
      </w:pPr>
    </w:p>
    <w:p w14:paraId="0000003D" w14:textId="77777777" w:rsidR="009242DF" w:rsidRDefault="009242DF">
      <w:pPr>
        <w:tabs>
          <w:tab w:val="right" w:pos="8640"/>
          <w:tab w:val="right" w:pos="8640"/>
        </w:tabs>
        <w:spacing w:line="240" w:lineRule="auto"/>
        <w:ind w:firstLine="0"/>
      </w:pPr>
    </w:p>
    <w:sectPr w:rsidR="009242DF">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661E" w14:textId="77777777" w:rsidR="00380934" w:rsidRDefault="00380934">
      <w:pPr>
        <w:spacing w:line="240" w:lineRule="auto"/>
      </w:pPr>
      <w:r>
        <w:separator/>
      </w:r>
    </w:p>
  </w:endnote>
  <w:endnote w:type="continuationSeparator" w:id="0">
    <w:p w14:paraId="1B783459" w14:textId="77777777" w:rsidR="00380934" w:rsidRDefault="003809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AD51C" w14:textId="77777777" w:rsidR="00380934" w:rsidRDefault="00380934">
      <w:pPr>
        <w:spacing w:line="240" w:lineRule="auto"/>
      </w:pPr>
      <w:r>
        <w:separator/>
      </w:r>
    </w:p>
  </w:footnote>
  <w:footnote w:type="continuationSeparator" w:id="0">
    <w:p w14:paraId="4E13286C" w14:textId="77777777" w:rsidR="00380934" w:rsidRDefault="003809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B9B9A98" w:rsidR="009242DF" w:rsidRDefault="00441AEE">
    <w:pPr>
      <w:pBdr>
        <w:top w:val="nil"/>
        <w:left w:val="nil"/>
        <w:bottom w:val="nil"/>
        <w:right w:val="nil"/>
        <w:between w:val="nil"/>
      </w:pBdr>
      <w:tabs>
        <w:tab w:val="right" w:pos="8640"/>
        <w:tab w:val="right" w:pos="9360"/>
      </w:tabs>
      <w:ind w:firstLine="0"/>
      <w:rPr>
        <w:color w:val="000000"/>
      </w:rPr>
    </w:pPr>
    <w:r>
      <w:rPr>
        <w:sz w:val="20"/>
        <w:szCs w:val="20"/>
      </w:rPr>
      <w:t>Richard Gamble, LDR 81</w:t>
    </w:r>
    <w:r w:rsidR="00855AD1">
      <w:rPr>
        <w:sz w:val="20"/>
        <w:szCs w:val="20"/>
      </w:rPr>
      <w:t>0</w:t>
    </w:r>
    <w:r>
      <w:rPr>
        <w:sz w:val="20"/>
        <w:szCs w:val="20"/>
      </w:rPr>
      <w:t xml:space="preserve">, </w:t>
    </w:r>
    <w:r w:rsidR="00855AD1">
      <w:rPr>
        <w:sz w:val="20"/>
        <w:szCs w:val="20"/>
      </w:rPr>
      <w:t>Cross-Cultural Dynamics</w:t>
    </w:r>
    <w:r>
      <w:rPr>
        <w:sz w:val="20"/>
        <w:szCs w:val="20"/>
      </w:rPr>
      <w:t xml:space="preserve">, Assignment 1, 4/1/2024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449C7">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7FA4"/>
    <w:multiLevelType w:val="hybridMultilevel"/>
    <w:tmpl w:val="183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69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M7QwsjAwMDW0NDZX0lEKTi0uzszPAykwqQUAOix6aCwAAAA="/>
  </w:docVars>
  <w:rsids>
    <w:rsidRoot w:val="009242DF"/>
    <w:rsid w:val="000144A1"/>
    <w:rsid w:val="00210524"/>
    <w:rsid w:val="00246040"/>
    <w:rsid w:val="002C1D7A"/>
    <w:rsid w:val="00380934"/>
    <w:rsid w:val="003B0151"/>
    <w:rsid w:val="00441AEE"/>
    <w:rsid w:val="00542F02"/>
    <w:rsid w:val="00544205"/>
    <w:rsid w:val="00812818"/>
    <w:rsid w:val="00855AD1"/>
    <w:rsid w:val="00862C85"/>
    <w:rsid w:val="00871408"/>
    <w:rsid w:val="008F094C"/>
    <w:rsid w:val="009242DF"/>
    <w:rsid w:val="00B347E8"/>
    <w:rsid w:val="00BA5101"/>
    <w:rsid w:val="00C449C7"/>
    <w:rsid w:val="00CE3AE8"/>
    <w:rsid w:val="00DE7CCC"/>
    <w:rsid w:val="00DF6D22"/>
    <w:rsid w:val="00E150F4"/>
    <w:rsid w:val="00E70D5A"/>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C496"/>
  <w15:docId w15:val="{CA0631A3-6397-4083-9158-07781A8E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55AD1"/>
    <w:rPr>
      <w:color w:val="605E5C"/>
      <w:shd w:val="clear" w:color="auto" w:fill="E1DFDD"/>
    </w:rPr>
  </w:style>
  <w:style w:type="paragraph" w:styleId="ListParagraph">
    <w:name w:val="List Paragraph"/>
    <w:basedOn w:val="Normal"/>
    <w:uiPriority w:val="34"/>
    <w:qFormat/>
    <w:rsid w:val="00DE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55606/cendikia.v3i2.951" TargetMode="External"/><Relationship Id="rId4" Type="http://schemas.openxmlformats.org/officeDocument/2006/relationships/settings" Target="settings.xml"/><Relationship Id="rId9" Type="http://schemas.openxmlformats.org/officeDocument/2006/relationships/hyperlink" Target="https://doi.org/10.3846/cs.2020.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Richard Gamble</cp:lastModifiedBy>
  <cp:revision>8</cp:revision>
  <dcterms:created xsi:type="dcterms:W3CDTF">2024-03-20T01:59:00Z</dcterms:created>
  <dcterms:modified xsi:type="dcterms:W3CDTF">2024-04-02T02:27:00Z</dcterms:modified>
</cp:coreProperties>
</file>