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054D7" w14:textId="77777777" w:rsidR="00C531D1" w:rsidRDefault="00C531D1" w:rsidP="00826D7C">
      <w:pPr>
        <w:pStyle w:val="NormalWeb"/>
        <w:jc w:val="center"/>
        <w:rPr>
          <w:b/>
          <w:bCs/>
        </w:rPr>
      </w:pPr>
    </w:p>
    <w:p w14:paraId="762D6541" w14:textId="77777777" w:rsidR="00C531D1" w:rsidRDefault="00C531D1" w:rsidP="00826D7C">
      <w:pPr>
        <w:pStyle w:val="NormalWeb"/>
        <w:jc w:val="center"/>
        <w:rPr>
          <w:b/>
          <w:bCs/>
        </w:rPr>
      </w:pPr>
    </w:p>
    <w:p w14:paraId="4C3756AD" w14:textId="6F539FFB" w:rsidR="009634F1" w:rsidRPr="009634F1" w:rsidRDefault="009634F1" w:rsidP="00826D7C">
      <w:pPr>
        <w:pStyle w:val="NormalWeb"/>
        <w:jc w:val="center"/>
        <w:rPr>
          <w:b/>
          <w:bCs/>
        </w:rPr>
      </w:pPr>
      <w:r w:rsidRPr="009634F1">
        <w:rPr>
          <w:b/>
          <w:bCs/>
        </w:rPr>
        <w:t>Interdisciplinary Cross-cultural Understanding</w:t>
      </w:r>
    </w:p>
    <w:p w14:paraId="163B3DFB" w14:textId="77777777" w:rsidR="009634F1" w:rsidRDefault="009634F1" w:rsidP="00826D7C">
      <w:pPr>
        <w:pStyle w:val="NormalWeb"/>
        <w:jc w:val="center"/>
        <w:rPr>
          <w:b/>
          <w:bCs/>
        </w:rPr>
      </w:pPr>
    </w:p>
    <w:p w14:paraId="4ED6AC0C" w14:textId="25C71E7B" w:rsidR="00826D7C" w:rsidRPr="00C531D1" w:rsidRDefault="00826D7C" w:rsidP="00826D7C">
      <w:pPr>
        <w:pStyle w:val="NormalWeb"/>
        <w:jc w:val="center"/>
        <w:rPr>
          <w:b/>
          <w:bCs/>
        </w:rPr>
      </w:pPr>
      <w:r w:rsidRPr="00C531D1">
        <w:rPr>
          <w:b/>
          <w:bCs/>
        </w:rPr>
        <w:t xml:space="preserve">LDR  </w:t>
      </w:r>
      <w:r w:rsidR="00D15226" w:rsidRPr="00C531D1">
        <w:rPr>
          <w:b/>
          <w:bCs/>
        </w:rPr>
        <w:t>810-42 Cross-Cultural</w:t>
      </w:r>
      <w:r w:rsidRPr="00C531D1">
        <w:rPr>
          <w:b/>
          <w:bCs/>
        </w:rPr>
        <w:t xml:space="preserve"> Dynamics</w:t>
      </w:r>
      <w:r w:rsidRPr="00C531D1">
        <w:rPr>
          <w:b/>
          <w:bCs/>
        </w:rPr>
        <w:t xml:space="preserve"> </w:t>
      </w:r>
    </w:p>
    <w:p w14:paraId="1C9316A9" w14:textId="77777777" w:rsidR="00826D7C" w:rsidRPr="00C531D1" w:rsidRDefault="00826D7C" w:rsidP="00826D7C">
      <w:pPr>
        <w:pStyle w:val="NormalWeb"/>
        <w:jc w:val="center"/>
        <w:rPr>
          <w:b/>
          <w:bCs/>
        </w:rPr>
      </w:pPr>
    </w:p>
    <w:p w14:paraId="51D9241D" w14:textId="77777777" w:rsidR="00826D7C" w:rsidRPr="00C531D1" w:rsidRDefault="00826D7C" w:rsidP="00826D7C">
      <w:pPr>
        <w:tabs>
          <w:tab w:val="right" w:pos="8640"/>
        </w:tabs>
        <w:jc w:val="center"/>
        <w:rPr>
          <w:b/>
          <w:bCs/>
          <w:color w:val="000000"/>
        </w:rPr>
      </w:pPr>
    </w:p>
    <w:p w14:paraId="124B5AC2" w14:textId="77777777" w:rsidR="00826D7C" w:rsidRPr="00C531D1" w:rsidRDefault="00826D7C" w:rsidP="00826D7C">
      <w:pPr>
        <w:tabs>
          <w:tab w:val="right" w:pos="8640"/>
        </w:tabs>
        <w:spacing w:line="480" w:lineRule="auto"/>
        <w:jc w:val="center"/>
        <w:rPr>
          <w:b/>
          <w:bCs/>
          <w:color w:val="000000"/>
        </w:rPr>
      </w:pPr>
      <w:r w:rsidRPr="00C531D1">
        <w:rPr>
          <w:b/>
          <w:bCs/>
          <w:color w:val="000000"/>
        </w:rPr>
        <w:t>Peter Abraham Airewele</w:t>
      </w:r>
    </w:p>
    <w:p w14:paraId="6FE57F5E" w14:textId="77777777" w:rsidR="00826D7C" w:rsidRPr="00C531D1" w:rsidRDefault="00826D7C" w:rsidP="00826D7C">
      <w:pPr>
        <w:tabs>
          <w:tab w:val="right" w:pos="8640"/>
        </w:tabs>
        <w:spacing w:line="480" w:lineRule="auto"/>
        <w:jc w:val="center"/>
        <w:rPr>
          <w:b/>
          <w:bCs/>
          <w:color w:val="000000"/>
        </w:rPr>
      </w:pPr>
      <w:r w:rsidRPr="00C531D1">
        <w:rPr>
          <w:b/>
          <w:bCs/>
          <w:color w:val="000000"/>
        </w:rPr>
        <w:t>Omega Graduate School</w:t>
      </w:r>
    </w:p>
    <w:p w14:paraId="52543082" w14:textId="77777777" w:rsidR="00826D7C" w:rsidRPr="00C531D1" w:rsidRDefault="00826D7C" w:rsidP="00826D7C">
      <w:pPr>
        <w:tabs>
          <w:tab w:val="right" w:pos="8640"/>
        </w:tabs>
        <w:spacing w:line="480" w:lineRule="auto"/>
        <w:jc w:val="center"/>
        <w:rPr>
          <w:b/>
          <w:bCs/>
        </w:rPr>
      </w:pPr>
      <w:r w:rsidRPr="00C531D1">
        <w:rPr>
          <w:b/>
          <w:bCs/>
        </w:rPr>
        <w:t xml:space="preserve">Course Professor: </w:t>
      </w:r>
    </w:p>
    <w:p w14:paraId="02D5D2B5" w14:textId="77777777" w:rsidR="00826D7C" w:rsidRPr="00C531D1" w:rsidRDefault="00826D7C" w:rsidP="00826D7C">
      <w:pPr>
        <w:tabs>
          <w:tab w:val="right" w:pos="8640"/>
        </w:tabs>
        <w:spacing w:line="480" w:lineRule="auto"/>
        <w:jc w:val="center"/>
        <w:rPr>
          <w:b/>
          <w:bCs/>
        </w:rPr>
      </w:pPr>
      <w:r w:rsidRPr="00C531D1">
        <w:rPr>
          <w:b/>
          <w:bCs/>
        </w:rPr>
        <w:t>Dr. Jared Sorber (PhD)</w:t>
      </w:r>
    </w:p>
    <w:p w14:paraId="6001174F" w14:textId="77777777" w:rsidR="00826D7C" w:rsidRPr="00C531D1" w:rsidRDefault="00826D7C" w:rsidP="00826D7C">
      <w:pPr>
        <w:tabs>
          <w:tab w:val="right" w:pos="8640"/>
        </w:tabs>
        <w:spacing w:line="480" w:lineRule="auto"/>
        <w:jc w:val="center"/>
        <w:rPr>
          <w:b/>
          <w:bCs/>
          <w:color w:val="000000"/>
        </w:rPr>
      </w:pPr>
    </w:p>
    <w:p w14:paraId="24E81C54" w14:textId="77777777" w:rsidR="00826D7C" w:rsidRPr="00C531D1" w:rsidRDefault="00826D7C" w:rsidP="00826D7C">
      <w:pPr>
        <w:tabs>
          <w:tab w:val="right" w:pos="8640"/>
        </w:tabs>
        <w:spacing w:line="480" w:lineRule="auto"/>
        <w:jc w:val="center"/>
        <w:rPr>
          <w:b/>
          <w:bCs/>
          <w:color w:val="000000"/>
        </w:rPr>
      </w:pPr>
    </w:p>
    <w:p w14:paraId="779378D6" w14:textId="77777777" w:rsidR="00826D7C" w:rsidRPr="00C531D1" w:rsidRDefault="00826D7C" w:rsidP="00826D7C">
      <w:pPr>
        <w:tabs>
          <w:tab w:val="right" w:pos="8640"/>
        </w:tabs>
        <w:spacing w:line="480" w:lineRule="auto"/>
        <w:jc w:val="center"/>
        <w:rPr>
          <w:b/>
          <w:bCs/>
          <w:color w:val="000000"/>
        </w:rPr>
      </w:pPr>
    </w:p>
    <w:p w14:paraId="6F8F9E07" w14:textId="0A6E7CF8" w:rsidR="00826D7C" w:rsidRPr="00C531D1" w:rsidRDefault="00E2014D" w:rsidP="00826D7C">
      <w:pPr>
        <w:tabs>
          <w:tab w:val="right" w:pos="8640"/>
        </w:tabs>
        <w:spacing w:line="480" w:lineRule="auto"/>
        <w:jc w:val="center"/>
        <w:rPr>
          <w:b/>
          <w:bCs/>
          <w:color w:val="000000"/>
        </w:rPr>
      </w:pPr>
      <w:r>
        <w:rPr>
          <w:b/>
          <w:bCs/>
          <w:color w:val="000000"/>
        </w:rPr>
        <w:t>February 1</w:t>
      </w:r>
      <w:r w:rsidR="00826D7C" w:rsidRPr="00C531D1">
        <w:rPr>
          <w:b/>
          <w:bCs/>
          <w:color w:val="000000"/>
        </w:rPr>
        <w:t>, 2024</w:t>
      </w:r>
    </w:p>
    <w:p w14:paraId="73AE6F25" w14:textId="77777777" w:rsidR="00826D7C" w:rsidRPr="00C531D1" w:rsidRDefault="00826D7C" w:rsidP="00826D7C">
      <w:pPr>
        <w:tabs>
          <w:tab w:val="right" w:pos="8640"/>
        </w:tabs>
        <w:spacing w:line="480" w:lineRule="auto"/>
        <w:jc w:val="center"/>
        <w:rPr>
          <w:color w:val="000000"/>
        </w:rPr>
      </w:pPr>
    </w:p>
    <w:p w14:paraId="05EAE158" w14:textId="77777777" w:rsidR="00826D7C" w:rsidRPr="00C531D1" w:rsidRDefault="00826D7C" w:rsidP="00826D7C">
      <w:pPr>
        <w:tabs>
          <w:tab w:val="right" w:pos="8640"/>
        </w:tabs>
        <w:spacing w:line="480" w:lineRule="auto"/>
      </w:pPr>
      <w:r w:rsidRPr="00C531D1">
        <w:br w:type="page"/>
      </w:r>
    </w:p>
    <w:p w14:paraId="05B30FE5" w14:textId="77777777" w:rsidR="00826D7C" w:rsidRPr="00C531D1" w:rsidRDefault="00826D7C" w:rsidP="00826D7C">
      <w:pPr>
        <w:pStyle w:val="NormalWeb"/>
        <w:jc w:val="center"/>
      </w:pPr>
      <w:r w:rsidRPr="00C531D1">
        <w:rPr>
          <w:b/>
          <w:bCs/>
        </w:rPr>
        <w:lastRenderedPageBreak/>
        <w:t>Content Questions</w:t>
      </w:r>
    </w:p>
    <w:p w14:paraId="41757FC2" w14:textId="526E08BE" w:rsidR="00826D7C" w:rsidRPr="00C531D1" w:rsidRDefault="00826D7C" w:rsidP="00A26864">
      <w:pPr>
        <w:pStyle w:val="NormalWeb"/>
        <w:spacing w:line="480" w:lineRule="auto"/>
        <w:jc w:val="center"/>
        <w:rPr>
          <w:b/>
          <w:bCs/>
        </w:rPr>
      </w:pPr>
      <w:r w:rsidRPr="00C531D1">
        <w:rPr>
          <w:b/>
          <w:bCs/>
        </w:rPr>
        <w:t>Assignment #1 – Course Essential Elements</w:t>
      </w:r>
    </w:p>
    <w:p w14:paraId="53B31ED3" w14:textId="77777777" w:rsidR="00826D7C" w:rsidRPr="00C531D1" w:rsidRDefault="00826D7C" w:rsidP="00826D7C">
      <w:pPr>
        <w:pStyle w:val="NormalWeb"/>
        <w:spacing w:line="480" w:lineRule="auto"/>
      </w:pPr>
      <w:r w:rsidRPr="00C531D1">
        <w:t xml:space="preserve">1. Select One (1) Core Essential Element from the Syllabus Outline: </w:t>
      </w:r>
    </w:p>
    <w:p w14:paraId="19B26D54" w14:textId="77777777" w:rsidR="00826D7C" w:rsidRPr="00C531D1" w:rsidRDefault="00826D7C" w:rsidP="00826D7C">
      <w:pPr>
        <w:pStyle w:val="NormalWeb"/>
        <w:spacing w:line="480" w:lineRule="auto"/>
      </w:pPr>
      <w:r w:rsidRPr="00C531D1">
        <w:t xml:space="preserve">a. Create a 350-word original discussion paper (with cited sources) during the first week of the term. Post this document in DIAL. </w:t>
      </w:r>
    </w:p>
    <w:p w14:paraId="6D18FFD6" w14:textId="64829D84" w:rsidR="00826D7C" w:rsidRPr="00C531D1" w:rsidRDefault="00826D7C" w:rsidP="00826D7C">
      <w:pPr>
        <w:pStyle w:val="NormalWeb"/>
        <w:spacing w:line="480" w:lineRule="auto"/>
      </w:pPr>
      <w:r w:rsidRPr="00C531D1">
        <w:t xml:space="preserve">b. Professor will check for quality of content and word-count requirements. </w:t>
      </w:r>
      <w:r w:rsidR="002D110A">
        <w:t>The grade</w:t>
      </w:r>
      <w:r w:rsidRPr="00C531D1">
        <w:t xml:space="preserve"> assigned will be Credit or No Credit (CR/NC).</w:t>
      </w:r>
    </w:p>
    <w:p w14:paraId="05C7B618" w14:textId="77777777" w:rsidR="00826D7C" w:rsidRPr="00C531D1" w:rsidRDefault="00826D7C" w:rsidP="00826D7C">
      <w:pPr>
        <w:pStyle w:val="NormalWeb"/>
      </w:pPr>
    </w:p>
    <w:p w14:paraId="1FE5F52D" w14:textId="77777777" w:rsidR="008E68A4" w:rsidRPr="00C531D1" w:rsidRDefault="008E68A4" w:rsidP="00826D7C">
      <w:pPr>
        <w:pStyle w:val="NormalWeb"/>
      </w:pPr>
    </w:p>
    <w:p w14:paraId="7433CEFF" w14:textId="77777777" w:rsidR="008E68A4" w:rsidRPr="00C531D1" w:rsidRDefault="008E68A4" w:rsidP="00826D7C">
      <w:pPr>
        <w:pStyle w:val="NormalWeb"/>
      </w:pPr>
    </w:p>
    <w:p w14:paraId="449145A6" w14:textId="77777777" w:rsidR="008E68A4" w:rsidRPr="00C531D1" w:rsidRDefault="008E68A4" w:rsidP="00826D7C">
      <w:pPr>
        <w:pStyle w:val="NormalWeb"/>
      </w:pPr>
    </w:p>
    <w:p w14:paraId="21B3DB02" w14:textId="77777777" w:rsidR="008E68A4" w:rsidRPr="00C531D1" w:rsidRDefault="008E68A4" w:rsidP="00826D7C">
      <w:pPr>
        <w:pStyle w:val="NormalWeb"/>
      </w:pPr>
    </w:p>
    <w:p w14:paraId="0273FB64" w14:textId="77777777" w:rsidR="008E68A4" w:rsidRPr="00C531D1" w:rsidRDefault="008E68A4" w:rsidP="00826D7C">
      <w:pPr>
        <w:pStyle w:val="NormalWeb"/>
      </w:pPr>
    </w:p>
    <w:p w14:paraId="63E6873F" w14:textId="77777777" w:rsidR="008E68A4" w:rsidRPr="00C531D1" w:rsidRDefault="008E68A4" w:rsidP="00826D7C">
      <w:pPr>
        <w:pStyle w:val="NormalWeb"/>
      </w:pPr>
    </w:p>
    <w:p w14:paraId="2126F5D9" w14:textId="77777777" w:rsidR="008E68A4" w:rsidRPr="00C531D1" w:rsidRDefault="008E68A4" w:rsidP="00826D7C">
      <w:pPr>
        <w:pStyle w:val="NormalWeb"/>
      </w:pPr>
    </w:p>
    <w:p w14:paraId="4B0786ED" w14:textId="77777777" w:rsidR="008E68A4" w:rsidRPr="00C531D1" w:rsidRDefault="008E68A4" w:rsidP="00826D7C">
      <w:pPr>
        <w:pStyle w:val="NormalWeb"/>
      </w:pPr>
    </w:p>
    <w:p w14:paraId="59A157E9" w14:textId="77777777" w:rsidR="00826D7C" w:rsidRPr="00C531D1" w:rsidRDefault="00826D7C" w:rsidP="00826D7C">
      <w:pPr>
        <w:pStyle w:val="NormalWeb"/>
      </w:pPr>
    </w:p>
    <w:p w14:paraId="1DB67165" w14:textId="77777777" w:rsidR="00826D7C" w:rsidRPr="00C531D1" w:rsidRDefault="00826D7C" w:rsidP="00826D7C">
      <w:pPr>
        <w:pStyle w:val="NormalWeb"/>
      </w:pPr>
    </w:p>
    <w:p w14:paraId="7B28EACE" w14:textId="77777777" w:rsidR="00826D7C" w:rsidRPr="00C531D1" w:rsidRDefault="00826D7C" w:rsidP="00826D7C">
      <w:pPr>
        <w:pStyle w:val="NormalWeb"/>
      </w:pPr>
    </w:p>
    <w:p w14:paraId="6BC4ED19" w14:textId="77777777" w:rsidR="00826D7C" w:rsidRPr="00C531D1" w:rsidRDefault="00826D7C" w:rsidP="00826D7C">
      <w:pPr>
        <w:pStyle w:val="NormalWeb"/>
      </w:pPr>
    </w:p>
    <w:p w14:paraId="7CC8D97B" w14:textId="77777777" w:rsidR="00826D7C" w:rsidRPr="00C531D1" w:rsidRDefault="00826D7C" w:rsidP="00826D7C">
      <w:pPr>
        <w:pStyle w:val="NormalWeb"/>
      </w:pPr>
    </w:p>
    <w:p w14:paraId="1D8618A4" w14:textId="77777777" w:rsidR="00E2485E" w:rsidRPr="00E2485E" w:rsidRDefault="00E2485E" w:rsidP="00E2485E">
      <w:pPr>
        <w:spacing w:before="100" w:beforeAutospacing="1" w:after="100" w:afterAutospacing="1"/>
        <w:jc w:val="center"/>
        <w:rPr>
          <w:b/>
          <w:bCs/>
        </w:rPr>
      </w:pPr>
      <w:bookmarkStart w:id="0" w:name="_Hlk157901981"/>
      <w:r w:rsidRPr="00E2485E">
        <w:rPr>
          <w:b/>
          <w:bCs/>
        </w:rPr>
        <w:t>Interdisciplinary Cross-cultural Understanding</w:t>
      </w:r>
    </w:p>
    <w:p w14:paraId="3C6C1515" w14:textId="1099C91D" w:rsidR="00E2485E" w:rsidRPr="00E2485E" w:rsidRDefault="00E2485E" w:rsidP="00E2485E">
      <w:pPr>
        <w:spacing w:before="100" w:beforeAutospacing="1" w:after="100" w:afterAutospacing="1" w:line="480" w:lineRule="auto"/>
      </w:pPr>
      <w:r w:rsidRPr="00E2485E">
        <w:rPr>
          <w:rFonts w:eastAsiaTheme="minorHAnsi"/>
          <w:kern w:val="2"/>
          <w14:ligatures w14:val="standardContextual"/>
        </w:rPr>
        <w:t>Cross-cultural understanding is the capability to identify, interpret, and relate appropriately with people with different circumstances and occasions prompted by distinct cultural dynamics. Ogs.edu. (2024) states that Various cultures, religious traditions, cults, and ideologies are critiqued to develop a framework for understanding how to be psychologically prepared to enter another cultural system. The additive “critiqued to develop a framework” implies assessment and evaluation that enhances cultural education and understanding of other cultural differences. This highlights the interdisciplinarity of cross-cultural dynamics and how simple and often unintended words, behaviors, signs, and symbols can lead to misunderstandings, embarrassment, conflict, and even lost business opportunities (</w:t>
      </w:r>
      <w:r w:rsidRPr="00E2485E">
        <w:rPr>
          <w:rFonts w:eastAsiaTheme="minorHAnsi"/>
          <w:color w:val="222222"/>
          <w:kern w:val="2"/>
          <w:shd w:val="clear" w:color="auto" w:fill="FFFFFF"/>
          <w14:ligatures w14:val="standardContextual"/>
        </w:rPr>
        <w:t>Nardon</w:t>
      </w:r>
      <w:r w:rsidRPr="00E2485E">
        <w:rPr>
          <w:rFonts w:eastAsiaTheme="minorHAnsi"/>
          <w:kern w:val="2"/>
          <w14:ligatures w14:val="standardContextual"/>
        </w:rPr>
        <w:t xml:space="preserve"> et al., 2011).  </w:t>
      </w:r>
      <w:r w:rsidRPr="00E2485E">
        <w:rPr>
          <w:rFonts w:eastAsiaTheme="minorHAnsi"/>
          <w:color w:val="333333"/>
          <w:kern w:val="2"/>
          <w:shd w:val="clear" w:color="auto" w:fill="FFFFFF"/>
          <w14:ligatures w14:val="standardContextual"/>
        </w:rPr>
        <w:t xml:space="preserve">More interpersonal and impersonal communication strategies have been found to promote public relations </w:t>
      </w:r>
      <w:r w:rsidRPr="00E2485E">
        <w:rPr>
          <w:rFonts w:eastAsiaTheme="minorHAnsi"/>
          <w:kern w:val="2"/>
          <w14:ligatures w14:val="standardContextual"/>
        </w:rPr>
        <w:t xml:space="preserve">(Zhu et al., 2006).  </w:t>
      </w:r>
      <w:r w:rsidRPr="00E2485E">
        <w:rPr>
          <w:rFonts w:eastAsiaTheme="minorHAnsi"/>
          <w:color w:val="000000"/>
          <w:kern w:val="2"/>
          <w:shd w:val="clear" w:color="auto" w:fill="FFFFFF"/>
          <w14:ligatures w14:val="standardContextual"/>
        </w:rPr>
        <w:t>Cross</w:t>
      </w:r>
      <w:r w:rsidRPr="00E2485E">
        <w:rPr>
          <w:rFonts w:eastAsiaTheme="minorHAnsi"/>
          <w:color w:val="222222"/>
          <w:kern w:val="2"/>
          <w:shd w:val="clear" w:color="auto" w:fill="FFFFFF"/>
          <w14:ligatures w14:val="standardContextual"/>
        </w:rPr>
        <w:t>-</w:t>
      </w:r>
      <w:r w:rsidRPr="00E2485E">
        <w:rPr>
          <w:rFonts w:eastAsiaTheme="minorHAnsi"/>
          <w:color w:val="000000"/>
          <w:kern w:val="2"/>
          <w:shd w:val="clear" w:color="auto" w:fill="FFFFFF"/>
          <w14:ligatures w14:val="standardContextual"/>
        </w:rPr>
        <w:t>cultural</w:t>
      </w:r>
      <w:r w:rsidRPr="00E2485E">
        <w:rPr>
          <w:rFonts w:eastAsiaTheme="minorHAnsi"/>
          <w:color w:val="222222"/>
          <w:kern w:val="2"/>
          <w:shd w:val="clear" w:color="auto" w:fill="FFFFFF"/>
          <w14:ligatures w14:val="standardContextual"/>
        </w:rPr>
        <w:t> literacy is a prerequisite for </w:t>
      </w:r>
      <w:r w:rsidRPr="00E2485E">
        <w:rPr>
          <w:rFonts w:eastAsiaTheme="minorHAnsi"/>
          <w:color w:val="000000"/>
          <w:kern w:val="2"/>
          <w:shd w:val="clear" w:color="auto" w:fill="FFFFFF"/>
          <w14:ligatures w14:val="standardContextual"/>
        </w:rPr>
        <w:t>communication</w:t>
      </w:r>
      <w:r w:rsidRPr="00E2485E">
        <w:rPr>
          <w:rFonts w:eastAsiaTheme="minorHAnsi"/>
          <w:color w:val="222222"/>
          <w:kern w:val="2"/>
          <w:shd w:val="clear" w:color="auto" w:fill="FFFFFF"/>
          <w14:ligatures w14:val="standardContextual"/>
        </w:rPr>
        <w:t xml:space="preserve"> in a multicultural society </w:t>
      </w:r>
      <w:r w:rsidRPr="00E2485E">
        <w:rPr>
          <w:rFonts w:eastAsiaTheme="minorHAnsi"/>
          <w:kern w:val="2"/>
          <w14:ligatures w14:val="standardContextual"/>
        </w:rPr>
        <w:t>(</w:t>
      </w:r>
      <w:r w:rsidRPr="00E2485E">
        <w:rPr>
          <w:rFonts w:eastAsiaTheme="minorHAnsi"/>
          <w:color w:val="222222"/>
          <w:kern w:val="2"/>
          <w:shd w:val="clear" w:color="auto" w:fill="FFFFFF"/>
          <w14:ligatures w14:val="standardContextual"/>
        </w:rPr>
        <w:t xml:space="preserve">Sergeeva et al., 2019) for easy comprehension by the communities of Churches, peoples, employees, and families. These populations have varied personalities, and the American culture is independent, assertive leadership, and social </w:t>
      </w:r>
      <w:r w:rsidR="00E16D6F" w:rsidRPr="00E2485E">
        <w:rPr>
          <w:rFonts w:eastAsiaTheme="minorHAnsi"/>
          <w:color w:val="222222"/>
          <w:kern w:val="2"/>
          <w:shd w:val="clear" w:color="auto" w:fill="FFFFFF"/>
          <w14:ligatures w14:val="standardContextual"/>
        </w:rPr>
        <w:t>media oriented</w:t>
      </w:r>
      <w:r w:rsidRPr="00E2485E">
        <w:rPr>
          <w:rFonts w:eastAsiaTheme="minorHAnsi"/>
          <w:color w:val="222222"/>
          <w:kern w:val="2"/>
          <w:shd w:val="clear" w:color="auto" w:fill="FFFFFF"/>
          <w14:ligatures w14:val="standardContextual"/>
        </w:rPr>
        <w:t xml:space="preserve">. The African culture is pluralistic, family-oriented, group effort leadership. The indigenous peoples of nations become aware of their own and other cultural traditions and values through cultural literacy and education, cultural tourism, religious association, secular affiliations, or deliberate vested interests, without ethnocentric bias, consciously or unconsciously. Communities accommodate cultural shocks when they find people with sharp and heavy language accents, signs and symbols, peculiar behaviors, clothing styles, traditional cuisines, and striking attitudes. The ability to process these cultural differences with other people’s cultural values and accept them the way they are reflects some deep understanding.  </w:t>
      </w:r>
      <w:r w:rsidRPr="00E2485E">
        <w:rPr>
          <w:color w:val="222222"/>
          <w:shd w:val="clear" w:color="auto" w:fill="FFFFFF"/>
        </w:rPr>
        <w:t>The Dalai Lama of Tibet once met Pope Benedict in Rome in 2006. Despite their contrasting cultural values, religious pluralism, and representation, they demonstrated communicative interaction (Kalbirova et al., 2016); they shared cultural understanding, tolerance, and accommodation.  C</w:t>
      </w:r>
      <w:r w:rsidRPr="00E2485E">
        <w:rPr>
          <w:rFonts w:eastAsiaTheme="minorHAnsi"/>
          <w:color w:val="000000"/>
          <w:kern w:val="2"/>
          <w:shd w:val="clear" w:color="auto" w:fill="FFFFFF"/>
          <w14:ligatures w14:val="standardContextual"/>
        </w:rPr>
        <w:t>omplex relationships, religiosity, and voting behaviors (</w:t>
      </w:r>
      <w:r w:rsidRPr="00E2485E">
        <w:rPr>
          <w:rFonts w:eastAsiaTheme="minorHAnsi"/>
          <w:color w:val="222222"/>
          <w:kern w:val="2"/>
          <w:shd w:val="clear" w:color="auto" w:fill="FFFFFF"/>
          <w14:ligatures w14:val="standardContextual"/>
        </w:rPr>
        <w:t>Supple et al., 2023) still exist in the US. However, these cultural-</w:t>
      </w:r>
      <w:r w:rsidRPr="00E2485E">
        <w:rPr>
          <w:color w:val="222222"/>
          <w:shd w:val="clear" w:color="auto" w:fill="FFFFFF"/>
        </w:rPr>
        <w:t xml:space="preserve">political dynamics offer a vivid understanding of why Evangelicals are pro-conservative policies, with the progressives leaning toward liberal policy considerations.  This is either doctrinal or much more based on unflinching dogmatic persuasions. </w:t>
      </w:r>
    </w:p>
    <w:p w14:paraId="1F735E2F" w14:textId="77777777" w:rsidR="00D56909" w:rsidRPr="00C531D1" w:rsidRDefault="00D56909" w:rsidP="009F1C7F">
      <w:pPr>
        <w:pStyle w:val="NormalWeb"/>
        <w:rPr>
          <w:color w:val="222222"/>
          <w:shd w:val="clear" w:color="auto" w:fill="FFFFFF"/>
        </w:rPr>
      </w:pPr>
    </w:p>
    <w:p w14:paraId="030ECEE4" w14:textId="77777777" w:rsidR="00A05022" w:rsidRPr="00C531D1" w:rsidRDefault="00A05022" w:rsidP="009F1C7F">
      <w:pPr>
        <w:pStyle w:val="NormalWeb"/>
        <w:rPr>
          <w:color w:val="222222"/>
          <w:shd w:val="clear" w:color="auto" w:fill="FFFFFF"/>
        </w:rPr>
      </w:pPr>
    </w:p>
    <w:p w14:paraId="76056ECD" w14:textId="77777777" w:rsidR="00A05022" w:rsidRPr="00C531D1" w:rsidRDefault="00A05022" w:rsidP="009F1C7F">
      <w:pPr>
        <w:pStyle w:val="NormalWeb"/>
        <w:rPr>
          <w:color w:val="222222"/>
          <w:shd w:val="clear" w:color="auto" w:fill="FFFFFF"/>
        </w:rPr>
      </w:pPr>
    </w:p>
    <w:p w14:paraId="3533DBA2" w14:textId="77777777" w:rsidR="00A05022" w:rsidRPr="00C531D1" w:rsidRDefault="00A05022" w:rsidP="009F1C7F">
      <w:pPr>
        <w:pStyle w:val="NormalWeb"/>
        <w:rPr>
          <w:color w:val="222222"/>
          <w:shd w:val="clear" w:color="auto" w:fill="FFFFFF"/>
        </w:rPr>
      </w:pPr>
    </w:p>
    <w:p w14:paraId="6D3191D3" w14:textId="77777777" w:rsidR="00A05022" w:rsidRPr="00C531D1" w:rsidRDefault="00A05022" w:rsidP="009F1C7F">
      <w:pPr>
        <w:pStyle w:val="NormalWeb"/>
        <w:rPr>
          <w:color w:val="222222"/>
          <w:shd w:val="clear" w:color="auto" w:fill="FFFFFF"/>
        </w:rPr>
      </w:pPr>
    </w:p>
    <w:p w14:paraId="1AFA5750" w14:textId="77777777" w:rsidR="00A05022" w:rsidRPr="00C531D1" w:rsidRDefault="00A05022" w:rsidP="009F1C7F">
      <w:pPr>
        <w:pStyle w:val="NormalWeb"/>
        <w:rPr>
          <w:color w:val="222222"/>
          <w:shd w:val="clear" w:color="auto" w:fill="FFFFFF"/>
        </w:rPr>
      </w:pPr>
    </w:p>
    <w:p w14:paraId="09DFBDD5" w14:textId="77777777" w:rsidR="00A05022" w:rsidRPr="00C531D1" w:rsidRDefault="00A05022" w:rsidP="009F1C7F">
      <w:pPr>
        <w:pStyle w:val="NormalWeb"/>
        <w:rPr>
          <w:color w:val="222222"/>
          <w:shd w:val="clear" w:color="auto" w:fill="FFFFFF"/>
        </w:rPr>
      </w:pPr>
    </w:p>
    <w:p w14:paraId="09B86901" w14:textId="77777777" w:rsidR="00A05022" w:rsidRPr="00C531D1" w:rsidRDefault="00A05022" w:rsidP="009F1C7F">
      <w:pPr>
        <w:pStyle w:val="NormalWeb"/>
        <w:rPr>
          <w:color w:val="222222"/>
          <w:shd w:val="clear" w:color="auto" w:fill="FFFFFF"/>
        </w:rPr>
      </w:pPr>
    </w:p>
    <w:p w14:paraId="76A7E0E7" w14:textId="77777777" w:rsidR="00A05022" w:rsidRPr="00C531D1" w:rsidRDefault="00A05022" w:rsidP="009F1C7F">
      <w:pPr>
        <w:pStyle w:val="NormalWeb"/>
        <w:rPr>
          <w:color w:val="222222"/>
          <w:shd w:val="clear" w:color="auto" w:fill="FFFFFF"/>
        </w:rPr>
      </w:pPr>
    </w:p>
    <w:p w14:paraId="44E74C32" w14:textId="77777777" w:rsidR="00A05022" w:rsidRPr="00C531D1" w:rsidRDefault="00A05022" w:rsidP="009F1C7F">
      <w:pPr>
        <w:pStyle w:val="NormalWeb"/>
        <w:rPr>
          <w:color w:val="222222"/>
          <w:shd w:val="clear" w:color="auto" w:fill="FFFFFF"/>
        </w:rPr>
      </w:pPr>
    </w:p>
    <w:p w14:paraId="07573A9E" w14:textId="77777777" w:rsidR="00A05022" w:rsidRPr="00C531D1" w:rsidRDefault="00A05022" w:rsidP="009F1C7F">
      <w:pPr>
        <w:pStyle w:val="NormalWeb"/>
        <w:rPr>
          <w:color w:val="222222"/>
          <w:shd w:val="clear" w:color="auto" w:fill="FFFFFF"/>
        </w:rPr>
      </w:pPr>
    </w:p>
    <w:p w14:paraId="4BDA19B8" w14:textId="77777777" w:rsidR="00A05022" w:rsidRPr="00C531D1" w:rsidRDefault="00A05022" w:rsidP="009F1C7F">
      <w:pPr>
        <w:pStyle w:val="NormalWeb"/>
        <w:rPr>
          <w:color w:val="222222"/>
          <w:shd w:val="clear" w:color="auto" w:fill="FFFFFF"/>
        </w:rPr>
      </w:pPr>
    </w:p>
    <w:p w14:paraId="3587C61B" w14:textId="77777777" w:rsidR="00A05022" w:rsidRPr="00C531D1" w:rsidRDefault="00A05022" w:rsidP="009F1C7F">
      <w:pPr>
        <w:pStyle w:val="NormalWeb"/>
        <w:rPr>
          <w:color w:val="222222"/>
          <w:shd w:val="clear" w:color="auto" w:fill="FFFFFF"/>
        </w:rPr>
      </w:pPr>
    </w:p>
    <w:p w14:paraId="6EED318C" w14:textId="77777777" w:rsidR="00A05022" w:rsidRPr="00C531D1" w:rsidRDefault="00A05022" w:rsidP="009F1C7F">
      <w:pPr>
        <w:pStyle w:val="NormalWeb"/>
        <w:rPr>
          <w:color w:val="222222"/>
          <w:shd w:val="clear" w:color="auto" w:fill="FFFFFF"/>
        </w:rPr>
      </w:pPr>
    </w:p>
    <w:p w14:paraId="429C8764" w14:textId="77777777" w:rsidR="00A05022" w:rsidRPr="00C531D1" w:rsidRDefault="00A05022" w:rsidP="009F1C7F">
      <w:pPr>
        <w:pStyle w:val="NormalWeb"/>
        <w:rPr>
          <w:color w:val="222222"/>
          <w:shd w:val="clear" w:color="auto" w:fill="FFFFFF"/>
        </w:rPr>
      </w:pPr>
    </w:p>
    <w:p w14:paraId="2CFD8F5A" w14:textId="77777777" w:rsidR="00A05022" w:rsidRPr="00C531D1" w:rsidRDefault="00A05022" w:rsidP="009F1C7F">
      <w:pPr>
        <w:pStyle w:val="NormalWeb"/>
        <w:rPr>
          <w:color w:val="222222"/>
          <w:shd w:val="clear" w:color="auto" w:fill="FFFFFF"/>
        </w:rPr>
      </w:pPr>
    </w:p>
    <w:p w14:paraId="782724E5" w14:textId="59BBDAC5" w:rsidR="00D56909" w:rsidRPr="00C531D1" w:rsidRDefault="006C4D54" w:rsidP="00A05022">
      <w:pPr>
        <w:pStyle w:val="NormalWeb"/>
        <w:jc w:val="center"/>
        <w:rPr>
          <w:b/>
          <w:bCs/>
          <w:color w:val="222222"/>
          <w:shd w:val="clear" w:color="auto" w:fill="FFFFFF"/>
        </w:rPr>
      </w:pPr>
      <w:r w:rsidRPr="00C531D1">
        <w:rPr>
          <w:b/>
          <w:bCs/>
          <w:color w:val="222222"/>
          <w:shd w:val="clear" w:color="auto" w:fill="FFFFFF"/>
        </w:rPr>
        <w:t>W</w:t>
      </w:r>
      <w:r w:rsidR="00A05022" w:rsidRPr="00C531D1">
        <w:rPr>
          <w:b/>
          <w:bCs/>
          <w:color w:val="222222"/>
          <w:shd w:val="clear" w:color="auto" w:fill="FFFFFF"/>
        </w:rPr>
        <w:t>orks Cited</w:t>
      </w:r>
    </w:p>
    <w:p w14:paraId="40725E29" w14:textId="77777777" w:rsidR="00D91FE1" w:rsidRPr="00C531D1" w:rsidRDefault="00D91FE1" w:rsidP="00D91FE1">
      <w:pPr>
        <w:pStyle w:val="NoSpacing"/>
        <w:spacing w:line="480" w:lineRule="auto"/>
        <w:rPr>
          <w:shd w:val="clear" w:color="auto" w:fill="FFFFFF"/>
        </w:rPr>
      </w:pPr>
      <w:r w:rsidRPr="00C531D1">
        <w:t xml:space="preserve"> </w:t>
      </w:r>
      <w:r w:rsidRPr="00C531D1">
        <w:rPr>
          <w:color w:val="000000"/>
          <w:shd w:val="clear" w:color="auto" w:fill="F5F5F5"/>
        </w:rPr>
        <w:t xml:space="preserve"> </w:t>
      </w:r>
      <w:r w:rsidRPr="00C531D1">
        <w:rPr>
          <w:shd w:val="clear" w:color="auto" w:fill="FFFFFF"/>
        </w:rPr>
        <w:t xml:space="preserve">Kalbirova, T., Karabayeva, A., Umirbekova, A., Shokaeva, K., &amp; Anarbek, L. (2016). </w:t>
      </w:r>
    </w:p>
    <w:p w14:paraId="7E9320D5" w14:textId="5685248E" w:rsidR="00D91FE1" w:rsidRPr="00C531D1" w:rsidRDefault="00D91FE1" w:rsidP="00D91FE1">
      <w:pPr>
        <w:pStyle w:val="NoSpacing"/>
        <w:spacing w:line="480" w:lineRule="auto"/>
        <w:ind w:firstLine="720"/>
        <w:rPr>
          <w:shd w:val="clear" w:color="auto" w:fill="FFFFFF"/>
        </w:rPr>
      </w:pPr>
      <w:r w:rsidRPr="00C531D1">
        <w:rPr>
          <w:shd w:val="clear" w:color="auto" w:fill="FFFFFF"/>
        </w:rPr>
        <w:t>Development of</w:t>
      </w:r>
      <w:r w:rsidRPr="00C531D1">
        <w:rPr>
          <w:shd w:val="clear" w:color="auto" w:fill="FFFFFF"/>
        </w:rPr>
        <w:t xml:space="preserve"> </w:t>
      </w:r>
      <w:r w:rsidRPr="00C531D1">
        <w:rPr>
          <w:shd w:val="clear" w:color="auto" w:fill="FFFFFF"/>
        </w:rPr>
        <w:t xml:space="preserve">cross-cultural competence as a factor of cultural-linguistic personality </w:t>
      </w:r>
    </w:p>
    <w:p w14:paraId="23CB11B0" w14:textId="1F6975E7" w:rsidR="00D91FE1" w:rsidRPr="00C531D1" w:rsidRDefault="00D91FE1" w:rsidP="00D91FE1">
      <w:pPr>
        <w:pStyle w:val="NoSpacing"/>
        <w:spacing w:line="480" w:lineRule="auto"/>
        <w:ind w:firstLine="720"/>
        <w:rPr>
          <w:shd w:val="clear" w:color="auto" w:fill="FFFFFF"/>
        </w:rPr>
      </w:pPr>
      <w:r w:rsidRPr="00C531D1">
        <w:rPr>
          <w:shd w:val="clear" w:color="auto" w:fill="FFFFFF"/>
        </w:rPr>
        <w:t>formation. </w:t>
      </w:r>
      <w:r w:rsidRPr="00C531D1">
        <w:rPr>
          <w:i/>
          <w:iCs/>
          <w:shd w:val="clear" w:color="auto" w:fill="FFFFFF"/>
        </w:rPr>
        <w:t>Theoretical &amp; Applied Science</w:t>
      </w:r>
      <w:r w:rsidRPr="00C531D1">
        <w:rPr>
          <w:shd w:val="clear" w:color="auto" w:fill="FFFFFF"/>
        </w:rPr>
        <w:t>, (3), 149-153.</w:t>
      </w:r>
    </w:p>
    <w:p w14:paraId="7C1B3B63" w14:textId="77777777" w:rsidR="00F1566A" w:rsidRPr="00C531D1" w:rsidRDefault="00F1566A" w:rsidP="00F1566A">
      <w:pPr>
        <w:pStyle w:val="NoSpacing"/>
        <w:spacing w:line="480" w:lineRule="auto"/>
        <w:rPr>
          <w:shd w:val="clear" w:color="auto" w:fill="FFFFFF"/>
        </w:rPr>
      </w:pPr>
      <w:r w:rsidRPr="00C531D1">
        <w:rPr>
          <w:shd w:val="clear" w:color="auto" w:fill="FFFFFF"/>
        </w:rPr>
        <w:t xml:space="preserve">Nardon, L., Steers, R. M., &amp; Sanchez-Runde, C. J. (2011). Seeking common ground: Strategies  </w:t>
      </w:r>
    </w:p>
    <w:p w14:paraId="3BC240F9" w14:textId="77777777" w:rsidR="00F1566A" w:rsidRPr="00C531D1" w:rsidRDefault="00F1566A" w:rsidP="00F1566A">
      <w:pPr>
        <w:pStyle w:val="NoSpacing"/>
        <w:spacing w:line="480" w:lineRule="auto"/>
        <w:ind w:firstLine="720"/>
      </w:pPr>
      <w:r w:rsidRPr="00C531D1">
        <w:rPr>
          <w:shd w:val="clear" w:color="auto" w:fill="FFFFFF"/>
        </w:rPr>
        <w:t>to enhance multicultural communication. </w:t>
      </w:r>
      <w:r w:rsidRPr="00C531D1">
        <w:rPr>
          <w:i/>
          <w:iCs/>
          <w:shd w:val="clear" w:color="auto" w:fill="FFFFFF"/>
        </w:rPr>
        <w:t>Organizational Dynamics</w:t>
      </w:r>
      <w:r w:rsidRPr="00C531D1">
        <w:rPr>
          <w:shd w:val="clear" w:color="auto" w:fill="FFFFFF"/>
        </w:rPr>
        <w:t>, </w:t>
      </w:r>
      <w:r w:rsidRPr="00C531D1">
        <w:rPr>
          <w:i/>
          <w:iCs/>
          <w:shd w:val="clear" w:color="auto" w:fill="FFFFFF"/>
        </w:rPr>
        <w:t>40</w:t>
      </w:r>
      <w:r w:rsidRPr="00C531D1">
        <w:rPr>
          <w:shd w:val="clear" w:color="auto" w:fill="FFFFFF"/>
        </w:rPr>
        <w:t>(2), 85–95.</w:t>
      </w:r>
    </w:p>
    <w:p w14:paraId="06D496C1" w14:textId="77777777" w:rsidR="00471421" w:rsidRPr="00C531D1" w:rsidRDefault="00603952" w:rsidP="004862F0">
      <w:pPr>
        <w:pStyle w:val="NoSpacing"/>
        <w:spacing w:line="480" w:lineRule="auto"/>
        <w:rPr>
          <w:shd w:val="clear" w:color="auto" w:fill="FFFFFF"/>
        </w:rPr>
      </w:pPr>
      <w:r w:rsidRPr="00C531D1">
        <w:rPr>
          <w:shd w:val="clear" w:color="auto" w:fill="FFFFFF"/>
        </w:rPr>
        <w:t>O</w:t>
      </w:r>
      <w:r w:rsidR="00E70401" w:rsidRPr="00C531D1">
        <w:rPr>
          <w:shd w:val="clear" w:color="auto" w:fill="FFFFFF"/>
        </w:rPr>
        <w:t>gs</w:t>
      </w:r>
      <w:r w:rsidRPr="00C531D1">
        <w:rPr>
          <w:shd w:val="clear" w:color="auto" w:fill="FFFFFF"/>
        </w:rPr>
        <w:t>.E</w:t>
      </w:r>
      <w:r w:rsidR="00E70401" w:rsidRPr="00C531D1">
        <w:rPr>
          <w:shd w:val="clear" w:color="auto" w:fill="FFFFFF"/>
        </w:rPr>
        <w:t>du</w:t>
      </w:r>
      <w:r w:rsidR="00026A07" w:rsidRPr="00C531D1">
        <w:rPr>
          <w:shd w:val="clear" w:color="auto" w:fill="FFFFFF"/>
        </w:rPr>
        <w:t>.(</w:t>
      </w:r>
      <w:r w:rsidRPr="00C531D1">
        <w:rPr>
          <w:shd w:val="clear" w:color="auto" w:fill="FFFFFF"/>
        </w:rPr>
        <w:t>2024</w:t>
      </w:r>
      <w:r w:rsidR="00026A07" w:rsidRPr="00C531D1">
        <w:rPr>
          <w:shd w:val="clear" w:color="auto" w:fill="FFFFFF"/>
        </w:rPr>
        <w:t>)</w:t>
      </w:r>
      <w:r w:rsidR="00556B50" w:rsidRPr="00C531D1">
        <w:rPr>
          <w:shd w:val="clear" w:color="auto" w:fill="FFFFFF"/>
        </w:rPr>
        <w:t>.</w:t>
      </w:r>
      <w:r w:rsidR="00026A07" w:rsidRPr="00C531D1">
        <w:rPr>
          <w:shd w:val="clear" w:color="auto" w:fill="FFFFFF"/>
        </w:rPr>
        <w:t xml:space="preserve"> </w:t>
      </w:r>
      <w:r w:rsidR="00A42ED6" w:rsidRPr="00C531D1">
        <w:rPr>
          <w:shd w:val="clear" w:color="auto" w:fill="FFFFFF"/>
        </w:rPr>
        <w:t>LDR 810-42</w:t>
      </w:r>
      <w:r w:rsidR="00F44954" w:rsidRPr="00C531D1">
        <w:rPr>
          <w:shd w:val="clear" w:color="auto" w:fill="FFFFFF"/>
        </w:rPr>
        <w:t xml:space="preserve">. </w:t>
      </w:r>
      <w:r w:rsidR="00A42ED6" w:rsidRPr="00C531D1">
        <w:rPr>
          <w:shd w:val="clear" w:color="auto" w:fill="FFFFFF"/>
        </w:rPr>
        <w:t>Cross-Cultural Dynamics</w:t>
      </w:r>
      <w:r w:rsidR="006157D9" w:rsidRPr="00C531D1">
        <w:rPr>
          <w:shd w:val="clear" w:color="auto" w:fill="FFFFFF"/>
        </w:rPr>
        <w:t>. Core</w:t>
      </w:r>
      <w:r w:rsidR="00A42ED6" w:rsidRPr="00C531D1">
        <w:rPr>
          <w:shd w:val="clear" w:color="auto" w:fill="FFFFFF"/>
        </w:rPr>
        <w:t xml:space="preserve"> Number</w:t>
      </w:r>
      <w:r w:rsidR="006157D9" w:rsidRPr="00C531D1">
        <w:rPr>
          <w:shd w:val="clear" w:color="auto" w:fill="FFFFFF"/>
        </w:rPr>
        <w:t xml:space="preserve"> </w:t>
      </w:r>
      <w:r w:rsidR="00A42ED6" w:rsidRPr="00C531D1">
        <w:rPr>
          <w:shd w:val="clear" w:color="auto" w:fill="FFFFFF"/>
        </w:rPr>
        <w:t>DPhil/DSL, Core 4</w:t>
      </w:r>
      <w:r w:rsidR="00556B50" w:rsidRPr="00C531D1">
        <w:rPr>
          <w:shd w:val="clear" w:color="auto" w:fill="FFFFFF"/>
        </w:rPr>
        <w:t xml:space="preserve">. </w:t>
      </w:r>
    </w:p>
    <w:p w14:paraId="764295B0" w14:textId="0D681760" w:rsidR="009F1C7F" w:rsidRPr="00C531D1" w:rsidRDefault="00556B50" w:rsidP="00F1566A">
      <w:pPr>
        <w:pStyle w:val="NoSpacing"/>
        <w:spacing w:line="480" w:lineRule="auto"/>
        <w:ind w:firstLine="720"/>
      </w:pPr>
      <w:r w:rsidRPr="00C531D1">
        <w:rPr>
          <w:shd w:val="clear" w:color="auto" w:fill="FFFFFF"/>
        </w:rPr>
        <w:t>Professor Jared Sorber, Ph.D.</w:t>
      </w:r>
      <w:r w:rsidR="00934D2D" w:rsidRPr="00C531D1">
        <w:rPr>
          <w:shd w:val="clear" w:color="auto" w:fill="FFFFFF"/>
        </w:rPr>
        <w:t xml:space="preserve">, </w:t>
      </w:r>
      <w:r w:rsidR="00E70401" w:rsidRPr="00C531D1">
        <w:rPr>
          <w:shd w:val="clear" w:color="auto" w:fill="FFFFFF"/>
        </w:rPr>
        <w:t>Omega Graduate School</w:t>
      </w:r>
      <w:r w:rsidR="00454B12" w:rsidRPr="00C531D1">
        <w:rPr>
          <w:shd w:val="clear" w:color="auto" w:fill="FFFFFF"/>
        </w:rPr>
        <w:t xml:space="preserve"> Resources.</w:t>
      </w:r>
      <w:bookmarkEnd w:id="0"/>
    </w:p>
    <w:p w14:paraId="066C045E" w14:textId="77777777" w:rsidR="00431D9B" w:rsidRPr="00C531D1" w:rsidRDefault="00913E14" w:rsidP="004862F0">
      <w:pPr>
        <w:pStyle w:val="NoSpacing"/>
        <w:spacing w:line="480" w:lineRule="auto"/>
        <w:rPr>
          <w:rFonts w:eastAsiaTheme="minorHAnsi"/>
          <w:kern w:val="2"/>
          <w:shd w:val="clear" w:color="auto" w:fill="FFFFFF"/>
          <w14:ligatures w14:val="standardContextual"/>
        </w:rPr>
      </w:pPr>
      <w:r w:rsidRPr="00C531D1">
        <w:rPr>
          <w:rFonts w:eastAsiaTheme="minorHAnsi"/>
          <w:kern w:val="2"/>
          <w:shd w:val="clear" w:color="auto" w:fill="FFFFFF"/>
          <w14:ligatures w14:val="standardContextual"/>
        </w:rPr>
        <w:t xml:space="preserve">Sergeeva, M. G., Shafazhinskaya, N. E., Smirnova, M. A., Poliakova, I. V., Polozhentseva, I. V., </w:t>
      </w:r>
    </w:p>
    <w:p w14:paraId="57F62063" w14:textId="76C53415" w:rsidR="00913E14" w:rsidRPr="00C531D1" w:rsidRDefault="00913E14" w:rsidP="00431D9B">
      <w:pPr>
        <w:pStyle w:val="NoSpacing"/>
        <w:spacing w:line="480" w:lineRule="auto"/>
        <w:ind w:left="720"/>
        <w:rPr>
          <w:rFonts w:eastAsiaTheme="minorHAnsi"/>
          <w:kern w:val="2"/>
          <w:shd w:val="clear" w:color="auto" w:fill="FFFFFF"/>
          <w14:ligatures w14:val="standardContextual"/>
        </w:rPr>
      </w:pPr>
      <w:r w:rsidRPr="00C531D1">
        <w:rPr>
          <w:rFonts w:eastAsiaTheme="minorHAnsi"/>
          <w:kern w:val="2"/>
          <w:shd w:val="clear" w:color="auto" w:fill="FFFFFF"/>
          <w14:ligatures w14:val="standardContextual"/>
        </w:rPr>
        <w:t>Goltseva, O. S., &amp; Kolosova, G. M. (2019). Development of teachers’ cross-cultural literacy in the system of further vocational education. </w:t>
      </w:r>
      <w:r w:rsidRPr="00C531D1">
        <w:rPr>
          <w:rFonts w:eastAsiaTheme="minorHAnsi"/>
          <w:i/>
          <w:iCs/>
          <w:kern w:val="2"/>
          <w:shd w:val="clear" w:color="auto" w:fill="FFFFFF"/>
          <w14:ligatures w14:val="standardContextual"/>
        </w:rPr>
        <w:t>Religación. Revista de Ciencias Sociales y Humanidades</w:t>
      </w:r>
      <w:r w:rsidRPr="00C531D1">
        <w:rPr>
          <w:rFonts w:eastAsiaTheme="minorHAnsi"/>
          <w:kern w:val="2"/>
          <w:shd w:val="clear" w:color="auto" w:fill="FFFFFF"/>
          <w14:ligatures w14:val="standardContextual"/>
        </w:rPr>
        <w:t>, </w:t>
      </w:r>
      <w:r w:rsidRPr="00C531D1">
        <w:rPr>
          <w:rFonts w:eastAsiaTheme="minorHAnsi"/>
          <w:i/>
          <w:iCs/>
          <w:kern w:val="2"/>
          <w:shd w:val="clear" w:color="auto" w:fill="FFFFFF"/>
          <w14:ligatures w14:val="standardContextual"/>
        </w:rPr>
        <w:t>4</w:t>
      </w:r>
      <w:r w:rsidRPr="00C531D1">
        <w:rPr>
          <w:rFonts w:eastAsiaTheme="minorHAnsi"/>
          <w:kern w:val="2"/>
          <w:shd w:val="clear" w:color="auto" w:fill="FFFFFF"/>
          <w14:ligatures w14:val="standardContextual"/>
        </w:rPr>
        <w:t>(13), 249-254.</w:t>
      </w:r>
    </w:p>
    <w:p w14:paraId="3447E826" w14:textId="3E2FAFED" w:rsidR="00AB23A2" w:rsidRPr="00C531D1" w:rsidRDefault="004D3A51" w:rsidP="00AB23A2">
      <w:pPr>
        <w:pStyle w:val="NoSpacing"/>
        <w:spacing w:line="480" w:lineRule="auto"/>
        <w:rPr>
          <w:color w:val="222222"/>
          <w:shd w:val="clear" w:color="auto" w:fill="FFFFFF"/>
        </w:rPr>
      </w:pPr>
      <w:r w:rsidRPr="00C531D1">
        <w:rPr>
          <w:color w:val="222222"/>
          <w:shd w:val="clear" w:color="auto" w:fill="FFFFFF"/>
        </w:rPr>
        <w:t xml:space="preserve">Supple, R. (2023). Is Faith the Ultimate </w:t>
      </w:r>
      <w:r w:rsidR="00273E76" w:rsidRPr="00C531D1">
        <w:rPr>
          <w:color w:val="222222"/>
          <w:shd w:val="clear" w:color="auto" w:fill="FFFFFF"/>
        </w:rPr>
        <w:t>Divider?</w:t>
      </w:r>
      <w:r w:rsidRPr="00C531D1">
        <w:rPr>
          <w:color w:val="222222"/>
          <w:shd w:val="clear" w:color="auto" w:fill="FFFFFF"/>
        </w:rPr>
        <w:t xml:space="preserve"> The Intersections Between Religion and </w:t>
      </w:r>
    </w:p>
    <w:p w14:paraId="4CB7240B" w14:textId="4E97E563" w:rsidR="004D3A51" w:rsidRPr="00C531D1" w:rsidRDefault="004D3A51" w:rsidP="00AB23A2">
      <w:pPr>
        <w:pStyle w:val="NoSpacing"/>
        <w:spacing w:line="480" w:lineRule="auto"/>
        <w:ind w:firstLine="720"/>
        <w:rPr>
          <w:rFonts w:eastAsiaTheme="minorHAnsi"/>
          <w:kern w:val="2"/>
          <w14:ligatures w14:val="standardContextual"/>
        </w:rPr>
      </w:pPr>
      <w:r w:rsidRPr="00C531D1">
        <w:rPr>
          <w:color w:val="222222"/>
          <w:shd w:val="clear" w:color="auto" w:fill="FFFFFF"/>
        </w:rPr>
        <w:t>Political Behavior in the United States.</w:t>
      </w:r>
    </w:p>
    <w:p w14:paraId="45B37103" w14:textId="77777777" w:rsidR="00F1566A" w:rsidRPr="00C531D1" w:rsidRDefault="00F1566A" w:rsidP="00F1566A">
      <w:pPr>
        <w:pStyle w:val="NoSpacing"/>
        <w:spacing w:line="480" w:lineRule="auto"/>
        <w:rPr>
          <w:shd w:val="clear" w:color="auto" w:fill="FFFFFF"/>
        </w:rPr>
      </w:pPr>
      <w:r w:rsidRPr="00C531D1">
        <w:rPr>
          <w:shd w:val="clear" w:color="auto" w:fill="FFFFFF"/>
        </w:rPr>
        <w:t xml:space="preserve">Zhu, Y., Nel, P., &amp; Bhat, R. (2006). A cross-cultural study of communication strategies for </w:t>
      </w:r>
    </w:p>
    <w:p w14:paraId="10034973" w14:textId="4BB7E485" w:rsidR="00F1566A" w:rsidRPr="00C531D1" w:rsidRDefault="002D110A" w:rsidP="00F1566A">
      <w:pPr>
        <w:pStyle w:val="NoSpacing"/>
        <w:spacing w:line="480" w:lineRule="auto"/>
        <w:ind w:left="720"/>
      </w:pPr>
      <w:r>
        <w:rPr>
          <w:shd w:val="clear" w:color="auto" w:fill="FFFFFF"/>
        </w:rPr>
        <w:t>Building</w:t>
      </w:r>
      <w:r w:rsidR="00F1566A" w:rsidRPr="00C531D1">
        <w:rPr>
          <w:shd w:val="clear" w:color="auto" w:fill="FFFFFF"/>
        </w:rPr>
        <w:t xml:space="preserve"> business relationships. </w:t>
      </w:r>
      <w:r w:rsidR="00F1566A" w:rsidRPr="00C531D1">
        <w:rPr>
          <w:i/>
          <w:iCs/>
          <w:shd w:val="clear" w:color="auto" w:fill="FFFFFF"/>
        </w:rPr>
        <w:t>International Journal of Cross-Cultural Management</w:t>
      </w:r>
      <w:r w:rsidR="00F1566A" w:rsidRPr="00C531D1">
        <w:rPr>
          <w:shd w:val="clear" w:color="auto" w:fill="FFFFFF"/>
        </w:rPr>
        <w:t>, </w:t>
      </w:r>
      <w:r w:rsidR="00F1566A" w:rsidRPr="00C531D1">
        <w:rPr>
          <w:i/>
          <w:iCs/>
          <w:shd w:val="clear" w:color="auto" w:fill="FFFFFF"/>
        </w:rPr>
        <w:t>6</w:t>
      </w:r>
      <w:r w:rsidR="00F1566A" w:rsidRPr="00C531D1">
        <w:rPr>
          <w:shd w:val="clear" w:color="auto" w:fill="FFFFFF"/>
        </w:rPr>
        <w:t>(3), 319–341.</w:t>
      </w:r>
    </w:p>
    <w:sectPr w:rsidR="00F1566A" w:rsidRPr="00C531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6796" w14:textId="77777777" w:rsidR="003A0056" w:rsidRDefault="003A0056" w:rsidP="00C63F2B">
      <w:r>
        <w:separator/>
      </w:r>
    </w:p>
  </w:endnote>
  <w:endnote w:type="continuationSeparator" w:id="0">
    <w:p w14:paraId="6D28425C" w14:textId="77777777" w:rsidR="003A0056" w:rsidRDefault="003A0056" w:rsidP="00C6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A384" w14:textId="77777777" w:rsidR="003A0056" w:rsidRDefault="003A0056" w:rsidP="00C63F2B">
      <w:r>
        <w:separator/>
      </w:r>
    </w:p>
  </w:footnote>
  <w:footnote w:type="continuationSeparator" w:id="0">
    <w:p w14:paraId="0679F893" w14:textId="77777777" w:rsidR="003A0056" w:rsidRDefault="003A0056" w:rsidP="00C6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7326" w14:textId="730EFCCC" w:rsidR="00C63F2B" w:rsidRPr="002D110A" w:rsidRDefault="00C65AA8" w:rsidP="00C072C6">
    <w:pPr>
      <w:pStyle w:val="Header"/>
      <w:jc w:val="center"/>
      <w:rPr>
        <w:sz w:val="18"/>
        <w:szCs w:val="18"/>
      </w:rPr>
    </w:pPr>
    <w:r w:rsidRPr="002D110A">
      <w:rPr>
        <w:sz w:val="18"/>
        <w:szCs w:val="18"/>
      </w:rPr>
      <w:t xml:space="preserve">Peter’s </w:t>
    </w:r>
    <w:r w:rsidR="00C62730" w:rsidRPr="002D110A">
      <w:rPr>
        <w:sz w:val="18"/>
        <w:szCs w:val="18"/>
      </w:rPr>
      <w:t xml:space="preserve">DSL </w:t>
    </w:r>
    <w:r w:rsidR="00690F39" w:rsidRPr="002D110A">
      <w:rPr>
        <w:sz w:val="18"/>
        <w:szCs w:val="18"/>
      </w:rPr>
      <w:t>Assignment No. 1</w:t>
    </w:r>
    <w:r w:rsidR="00EA3780" w:rsidRPr="002D110A">
      <w:rPr>
        <w:sz w:val="18"/>
        <w:szCs w:val="18"/>
      </w:rPr>
      <w:t>,</w:t>
    </w:r>
    <w:r w:rsidR="00690F39" w:rsidRPr="002D110A">
      <w:rPr>
        <w:sz w:val="18"/>
        <w:szCs w:val="18"/>
      </w:rPr>
      <w:t xml:space="preserve"> LDR 810-42 </w:t>
    </w:r>
    <w:r w:rsidR="00EA3780" w:rsidRPr="002D110A">
      <w:rPr>
        <w:sz w:val="18"/>
        <w:szCs w:val="18"/>
      </w:rPr>
      <w:t>Cross-Cultural Dynamics</w:t>
    </w:r>
    <w:r w:rsidR="00C62730" w:rsidRPr="002D110A">
      <w:rPr>
        <w:sz w:val="18"/>
        <w:szCs w:val="18"/>
      </w:rPr>
      <w:t>. Spring Semester 2024</w:t>
    </w:r>
    <w:r w:rsidR="00F81F9F" w:rsidRPr="002D110A">
      <w:rPr>
        <w:sz w:val="18"/>
        <w:szCs w:val="18"/>
      </w:rPr>
      <w:t>. 02/</w:t>
    </w:r>
    <w:r w:rsidR="00C072C6" w:rsidRPr="002D110A">
      <w:rPr>
        <w:sz w:val="18"/>
        <w:szCs w:val="18"/>
      </w:rPr>
      <w:t xml:space="preserve">01/202.   </w:t>
    </w:r>
    <w:r w:rsidR="00EA3780" w:rsidRPr="002D110A">
      <w:rPr>
        <w:sz w:val="18"/>
        <w:szCs w:val="18"/>
      </w:rPr>
      <w:t xml:space="preserve"> </w:t>
    </w:r>
    <w:sdt>
      <w:sdtPr>
        <w:rPr>
          <w:sz w:val="18"/>
          <w:szCs w:val="18"/>
        </w:rPr>
        <w:id w:val="-974219799"/>
        <w:docPartObj>
          <w:docPartGallery w:val="Page Numbers (Top of Page)"/>
          <w:docPartUnique/>
        </w:docPartObj>
      </w:sdtPr>
      <w:sdtEndPr>
        <w:rPr>
          <w:noProof/>
        </w:rPr>
      </w:sdtEndPr>
      <w:sdtContent>
        <w:r w:rsidR="00C63F2B" w:rsidRPr="002D110A">
          <w:rPr>
            <w:sz w:val="18"/>
            <w:szCs w:val="18"/>
          </w:rPr>
          <w:fldChar w:fldCharType="begin"/>
        </w:r>
        <w:r w:rsidR="00C63F2B" w:rsidRPr="002D110A">
          <w:rPr>
            <w:sz w:val="18"/>
            <w:szCs w:val="18"/>
          </w:rPr>
          <w:instrText xml:space="preserve"> PAGE   \* MERGEFORMAT </w:instrText>
        </w:r>
        <w:r w:rsidR="00C63F2B" w:rsidRPr="002D110A">
          <w:rPr>
            <w:sz w:val="18"/>
            <w:szCs w:val="18"/>
          </w:rPr>
          <w:fldChar w:fldCharType="separate"/>
        </w:r>
        <w:r w:rsidR="00C63F2B" w:rsidRPr="002D110A">
          <w:rPr>
            <w:noProof/>
            <w:sz w:val="18"/>
            <w:szCs w:val="18"/>
          </w:rPr>
          <w:t>2</w:t>
        </w:r>
        <w:r w:rsidR="00C63F2B" w:rsidRPr="002D110A">
          <w:rPr>
            <w:noProof/>
            <w:sz w:val="18"/>
            <w:szCs w:val="18"/>
          </w:rPr>
          <w:fldChar w:fldCharType="end"/>
        </w:r>
      </w:sdtContent>
    </w:sdt>
  </w:p>
  <w:p w14:paraId="181F41A5" w14:textId="77777777" w:rsidR="00C63F2B" w:rsidRPr="002D110A" w:rsidRDefault="00C63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7C"/>
    <w:rsid w:val="00023ECA"/>
    <w:rsid w:val="00026A07"/>
    <w:rsid w:val="00050517"/>
    <w:rsid w:val="00076856"/>
    <w:rsid w:val="000E2E41"/>
    <w:rsid w:val="00103E6A"/>
    <w:rsid w:val="00185D85"/>
    <w:rsid w:val="00197628"/>
    <w:rsid w:val="001E0ADA"/>
    <w:rsid w:val="002013D4"/>
    <w:rsid w:val="00237568"/>
    <w:rsid w:val="0025142B"/>
    <w:rsid w:val="00255746"/>
    <w:rsid w:val="00273E76"/>
    <w:rsid w:val="00285E1D"/>
    <w:rsid w:val="002D110A"/>
    <w:rsid w:val="003500B0"/>
    <w:rsid w:val="0035171D"/>
    <w:rsid w:val="003735F4"/>
    <w:rsid w:val="00377A78"/>
    <w:rsid w:val="00386CDB"/>
    <w:rsid w:val="003A0056"/>
    <w:rsid w:val="003B7CA4"/>
    <w:rsid w:val="003D5ECB"/>
    <w:rsid w:val="00423D2F"/>
    <w:rsid w:val="00431D9B"/>
    <w:rsid w:val="00450485"/>
    <w:rsid w:val="00454B12"/>
    <w:rsid w:val="00471421"/>
    <w:rsid w:val="004779FA"/>
    <w:rsid w:val="004862F0"/>
    <w:rsid w:val="0048743E"/>
    <w:rsid w:val="004D3A51"/>
    <w:rsid w:val="004D6F88"/>
    <w:rsid w:val="00556B50"/>
    <w:rsid w:val="005D2F04"/>
    <w:rsid w:val="00603952"/>
    <w:rsid w:val="00605387"/>
    <w:rsid w:val="006157D9"/>
    <w:rsid w:val="00671636"/>
    <w:rsid w:val="00690F39"/>
    <w:rsid w:val="0069129A"/>
    <w:rsid w:val="006C4D54"/>
    <w:rsid w:val="006E2AF2"/>
    <w:rsid w:val="0071397E"/>
    <w:rsid w:val="007352A9"/>
    <w:rsid w:val="00761819"/>
    <w:rsid w:val="00771F9A"/>
    <w:rsid w:val="007970C0"/>
    <w:rsid w:val="007C3CD9"/>
    <w:rsid w:val="007D4553"/>
    <w:rsid w:val="007D79F1"/>
    <w:rsid w:val="007F3403"/>
    <w:rsid w:val="0081130A"/>
    <w:rsid w:val="00826D7C"/>
    <w:rsid w:val="00876933"/>
    <w:rsid w:val="00885B78"/>
    <w:rsid w:val="00891E18"/>
    <w:rsid w:val="008C5237"/>
    <w:rsid w:val="008E68A4"/>
    <w:rsid w:val="00910142"/>
    <w:rsid w:val="00913E14"/>
    <w:rsid w:val="009226E6"/>
    <w:rsid w:val="00934D2D"/>
    <w:rsid w:val="00940C25"/>
    <w:rsid w:val="0095676F"/>
    <w:rsid w:val="009634F1"/>
    <w:rsid w:val="00970E28"/>
    <w:rsid w:val="009711D3"/>
    <w:rsid w:val="00986491"/>
    <w:rsid w:val="009A021C"/>
    <w:rsid w:val="009B2F3D"/>
    <w:rsid w:val="009C3F5D"/>
    <w:rsid w:val="009D44AA"/>
    <w:rsid w:val="009F1C7F"/>
    <w:rsid w:val="009F1FBB"/>
    <w:rsid w:val="00A05022"/>
    <w:rsid w:val="00A26864"/>
    <w:rsid w:val="00A37B40"/>
    <w:rsid w:val="00A42ED6"/>
    <w:rsid w:val="00AA69C9"/>
    <w:rsid w:val="00AB23A2"/>
    <w:rsid w:val="00B0424B"/>
    <w:rsid w:val="00B1451C"/>
    <w:rsid w:val="00B209E7"/>
    <w:rsid w:val="00B2451B"/>
    <w:rsid w:val="00B274CA"/>
    <w:rsid w:val="00B3654A"/>
    <w:rsid w:val="00B726DC"/>
    <w:rsid w:val="00B82EF1"/>
    <w:rsid w:val="00B929DF"/>
    <w:rsid w:val="00BA146C"/>
    <w:rsid w:val="00BE69F9"/>
    <w:rsid w:val="00BF5E40"/>
    <w:rsid w:val="00C072C6"/>
    <w:rsid w:val="00C10AFF"/>
    <w:rsid w:val="00C410A0"/>
    <w:rsid w:val="00C47712"/>
    <w:rsid w:val="00C531D1"/>
    <w:rsid w:val="00C55636"/>
    <w:rsid w:val="00C62730"/>
    <w:rsid w:val="00C63F2B"/>
    <w:rsid w:val="00C65AA8"/>
    <w:rsid w:val="00C73168"/>
    <w:rsid w:val="00C91CB9"/>
    <w:rsid w:val="00CA678C"/>
    <w:rsid w:val="00CB6A16"/>
    <w:rsid w:val="00D1020F"/>
    <w:rsid w:val="00D15226"/>
    <w:rsid w:val="00D17119"/>
    <w:rsid w:val="00D174D6"/>
    <w:rsid w:val="00D305E7"/>
    <w:rsid w:val="00D43862"/>
    <w:rsid w:val="00D43DF9"/>
    <w:rsid w:val="00D56909"/>
    <w:rsid w:val="00D57F79"/>
    <w:rsid w:val="00D8054B"/>
    <w:rsid w:val="00D91FE1"/>
    <w:rsid w:val="00DA7238"/>
    <w:rsid w:val="00E12208"/>
    <w:rsid w:val="00E16D6F"/>
    <w:rsid w:val="00E2014D"/>
    <w:rsid w:val="00E207FC"/>
    <w:rsid w:val="00E2485E"/>
    <w:rsid w:val="00E70401"/>
    <w:rsid w:val="00E71988"/>
    <w:rsid w:val="00EA3780"/>
    <w:rsid w:val="00EB10FC"/>
    <w:rsid w:val="00ED25A4"/>
    <w:rsid w:val="00EE6252"/>
    <w:rsid w:val="00F0075B"/>
    <w:rsid w:val="00F1566A"/>
    <w:rsid w:val="00F32599"/>
    <w:rsid w:val="00F40B00"/>
    <w:rsid w:val="00F44954"/>
    <w:rsid w:val="00F81F9F"/>
    <w:rsid w:val="00FB3AD3"/>
    <w:rsid w:val="00FB3ECF"/>
    <w:rsid w:val="00FB5F21"/>
    <w:rsid w:val="00FC5CD3"/>
    <w:rsid w:val="00FD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F98CE"/>
  <w15:chartTrackingRefBased/>
  <w15:docId w15:val="{CEFCCC0F-7725-4458-B43D-C89628F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7C"/>
    <w:pPr>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D7C"/>
    <w:pPr>
      <w:spacing w:before="100" w:beforeAutospacing="1" w:after="100" w:afterAutospacing="1"/>
    </w:pPr>
  </w:style>
  <w:style w:type="paragraph" w:styleId="NoSpacing">
    <w:name w:val="No Spacing"/>
    <w:uiPriority w:val="1"/>
    <w:qFormat/>
    <w:rsid w:val="004862F0"/>
    <w:pPr>
      <w:spacing w:after="0" w:line="240" w:lineRule="auto"/>
    </w:pPr>
    <w:rPr>
      <w:rFonts w:ascii="Times New Roman" w:eastAsiaTheme="minorEastAsia" w:hAnsi="Times New Roman" w:cs="Times New Roman"/>
      <w:kern w:val="0"/>
      <w:sz w:val="24"/>
      <w:szCs w:val="24"/>
      <w14:ligatures w14:val="none"/>
    </w:rPr>
  </w:style>
  <w:style w:type="paragraph" w:styleId="Header">
    <w:name w:val="header"/>
    <w:basedOn w:val="Normal"/>
    <w:link w:val="HeaderChar"/>
    <w:uiPriority w:val="99"/>
    <w:unhideWhenUsed/>
    <w:rsid w:val="00C63F2B"/>
    <w:pPr>
      <w:tabs>
        <w:tab w:val="center" w:pos="4680"/>
        <w:tab w:val="right" w:pos="9360"/>
      </w:tabs>
    </w:pPr>
  </w:style>
  <w:style w:type="character" w:customStyle="1" w:styleId="HeaderChar">
    <w:name w:val="Header Char"/>
    <w:basedOn w:val="DefaultParagraphFont"/>
    <w:link w:val="Header"/>
    <w:uiPriority w:val="99"/>
    <w:rsid w:val="00C63F2B"/>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C63F2B"/>
    <w:pPr>
      <w:tabs>
        <w:tab w:val="center" w:pos="4680"/>
        <w:tab w:val="right" w:pos="9360"/>
      </w:tabs>
    </w:pPr>
  </w:style>
  <w:style w:type="character" w:customStyle="1" w:styleId="FooterChar">
    <w:name w:val="Footer Char"/>
    <w:basedOn w:val="DefaultParagraphFont"/>
    <w:link w:val="Footer"/>
    <w:uiPriority w:val="99"/>
    <w:rsid w:val="00C63F2B"/>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4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595</Words>
  <Characters>3885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2024-02-05T01:04:00Z</dcterms:created>
  <dcterms:modified xsi:type="dcterms:W3CDTF">2024-02-05T01:18:00Z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fbeaa875-cfcb-4a00-b3a4-88122689fb93</vt:lpwstr>
  </property>
</Properties>
</file>