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4B97A479" w:rsidR="003A0649" w:rsidRDefault="007222CC">
      <w:pPr>
        <w:spacing w:line="240" w:lineRule="auto"/>
        <w:ind w:firstLine="0"/>
        <w:jc w:val="center"/>
      </w:pPr>
      <w:r w:rsidRPr="007222CC">
        <w:t>Organizational</w:t>
      </w:r>
      <w:r w:rsidR="00573DEB" w:rsidRPr="00573DEB">
        <w:t xml:space="preserve"> Dynamics</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7833D799" w:rsidR="003A0649" w:rsidRDefault="00CF29B7">
      <w:pPr>
        <w:spacing w:line="240" w:lineRule="auto"/>
        <w:ind w:firstLine="0"/>
        <w:jc w:val="center"/>
      </w:pPr>
      <w:r>
        <w:t>M</w:t>
      </w:r>
      <w:r w:rsidR="00573DEB">
        <w:t>ay</w:t>
      </w:r>
      <w:r>
        <w:t xml:space="preserve"> </w:t>
      </w:r>
      <w:r w:rsidR="007661F6">
        <w:t>1</w:t>
      </w:r>
      <w:r w:rsidR="00B157E4">
        <w:t>9</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0D750818" w:rsidR="003A0649" w:rsidRDefault="00000000">
      <w:pPr>
        <w:spacing w:line="240" w:lineRule="auto"/>
        <w:ind w:firstLine="0"/>
        <w:jc w:val="center"/>
      </w:pPr>
      <w:r>
        <w:t xml:space="preserve">Dr. </w:t>
      </w:r>
      <w:r w:rsidR="00573DEB">
        <w:t>S</w:t>
      </w:r>
      <w:r w:rsidR="007222CC">
        <w:t>trecker</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07E4C055" w14:textId="111DFCB1" w:rsidR="000B29FC" w:rsidRDefault="000B29FC" w:rsidP="000B29FC">
      <w:pPr>
        <w:tabs>
          <w:tab w:val="right" w:pos="8640"/>
          <w:tab w:val="right" w:pos="8640"/>
        </w:tabs>
        <w:ind w:firstLine="0"/>
      </w:pPr>
      <w:r>
        <w:lastRenderedPageBreak/>
        <w:t>Assignment #3 – Essay</w:t>
      </w:r>
    </w:p>
    <w:p w14:paraId="6DB3203E" w14:textId="77777777" w:rsidR="000B29FC" w:rsidRDefault="000B29FC" w:rsidP="000B29FC">
      <w:pPr>
        <w:tabs>
          <w:tab w:val="right" w:pos="8640"/>
          <w:tab w:val="right" w:pos="8640"/>
        </w:tabs>
        <w:ind w:firstLine="0"/>
      </w:pPr>
      <w:r>
        <w:t>1. Write a 5-page essay responding to a significant problem you have identified in an organization you are knowledgeable about. Demonstrate how an understanding of group dynamics can help you solve this problem.</w:t>
      </w:r>
    </w:p>
    <w:p w14:paraId="7FFAC4E7" w14:textId="55FEBF89" w:rsidR="000B29FC" w:rsidRDefault="000B29FC" w:rsidP="000B29FC">
      <w:pPr>
        <w:tabs>
          <w:tab w:val="right" w:pos="8640"/>
          <w:tab w:val="right" w:pos="8640"/>
        </w:tabs>
        <w:ind w:firstLine="0"/>
      </w:pPr>
      <w:r>
        <w:t>2.</w:t>
      </w:r>
      <w:r w:rsidR="009A4E73">
        <w:t xml:space="preserve"> </w:t>
      </w:r>
      <w:r>
        <w:t>Paper Outline</w:t>
      </w:r>
    </w:p>
    <w:p w14:paraId="6624EFB2" w14:textId="7A6FF294" w:rsidR="000B29FC" w:rsidRDefault="000B29FC" w:rsidP="009A4E73">
      <w:pPr>
        <w:tabs>
          <w:tab w:val="right" w:pos="8640"/>
          <w:tab w:val="right" w:pos="8640"/>
        </w:tabs>
        <w:ind w:left="720" w:firstLine="0"/>
      </w:pPr>
      <w:r>
        <w:t>a.</w:t>
      </w:r>
      <w:r w:rsidR="009A4E73">
        <w:t xml:space="preserve"> </w:t>
      </w:r>
      <w:r>
        <w:t>Begin with an introductory paragraph that has a succinct thesis statement.</w:t>
      </w:r>
    </w:p>
    <w:p w14:paraId="21A3FB14" w14:textId="712D85B9" w:rsidR="000B29FC" w:rsidRDefault="000B29FC" w:rsidP="009A4E73">
      <w:pPr>
        <w:tabs>
          <w:tab w:val="right" w:pos="8640"/>
          <w:tab w:val="right" w:pos="8640"/>
        </w:tabs>
        <w:ind w:left="720" w:firstLine="0"/>
      </w:pPr>
      <w:r>
        <w:t>b.</w:t>
      </w:r>
      <w:r w:rsidR="009A4E73">
        <w:t xml:space="preserve"> </w:t>
      </w:r>
      <w:r>
        <w:t>Address the topic of the paper with critical thought.</w:t>
      </w:r>
    </w:p>
    <w:p w14:paraId="037D6605" w14:textId="055E9509" w:rsidR="000B29FC" w:rsidRDefault="000B29FC" w:rsidP="009A4E73">
      <w:pPr>
        <w:tabs>
          <w:tab w:val="right" w:pos="8640"/>
          <w:tab w:val="right" w:pos="8640"/>
        </w:tabs>
        <w:ind w:left="720" w:firstLine="0"/>
      </w:pPr>
      <w:r>
        <w:t>c.</w:t>
      </w:r>
      <w:r w:rsidR="009A4E73">
        <w:t xml:space="preserve"> </w:t>
      </w:r>
      <w:r>
        <w:t>End with a conclusion that reaffirms your thesis.</w:t>
      </w:r>
    </w:p>
    <w:p w14:paraId="00000026" w14:textId="3964402D" w:rsidR="003A0649" w:rsidRDefault="000B29FC" w:rsidP="009A4E73">
      <w:pPr>
        <w:tabs>
          <w:tab w:val="right" w:pos="8640"/>
          <w:tab w:val="right" w:pos="8640"/>
        </w:tabs>
        <w:ind w:left="720" w:firstLine="0"/>
      </w:pPr>
      <w:r>
        <w:t>d.</w:t>
      </w:r>
      <w:r w:rsidR="009A4E73">
        <w:t xml:space="preserve"> </w:t>
      </w:r>
      <w:commentRangeStart w:id="0"/>
      <w:r>
        <w:t>Use a minimum of eleven scholarly research sources (two books and the remaining scholarly peer-reviewed journal articles).</w:t>
      </w:r>
      <w:commentRangeEnd w:id="0"/>
      <w:r w:rsidR="007E2503">
        <w:rPr>
          <w:rStyle w:val="CommentReference"/>
        </w:rPr>
        <w:commentReference w:id="0"/>
      </w:r>
    </w:p>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2187EC9A" w14:textId="77777777" w:rsidR="003A047C" w:rsidRDefault="003A047C" w:rsidP="00CF29B7">
      <w:pPr>
        <w:tabs>
          <w:tab w:val="right" w:pos="8640"/>
          <w:tab w:val="right" w:pos="8640"/>
        </w:tabs>
        <w:ind w:firstLine="0"/>
      </w:pPr>
    </w:p>
    <w:p w14:paraId="08A02C24" w14:textId="77777777" w:rsidR="003A047C" w:rsidRDefault="003A047C" w:rsidP="00CF29B7">
      <w:pPr>
        <w:tabs>
          <w:tab w:val="right" w:pos="8640"/>
          <w:tab w:val="right" w:pos="8640"/>
        </w:tabs>
        <w:ind w:firstLine="0"/>
      </w:pPr>
    </w:p>
    <w:p w14:paraId="7BBF8F07" w14:textId="77777777" w:rsidR="003A047C" w:rsidRDefault="003A047C" w:rsidP="00CF29B7">
      <w:pPr>
        <w:tabs>
          <w:tab w:val="right" w:pos="8640"/>
          <w:tab w:val="right" w:pos="8640"/>
        </w:tabs>
        <w:ind w:firstLine="0"/>
      </w:pPr>
    </w:p>
    <w:p w14:paraId="4D0308C1" w14:textId="77777777" w:rsidR="003A047C" w:rsidRDefault="003A047C" w:rsidP="00CF29B7">
      <w:pPr>
        <w:tabs>
          <w:tab w:val="right" w:pos="8640"/>
          <w:tab w:val="right" w:pos="8640"/>
        </w:tabs>
        <w:ind w:firstLine="0"/>
      </w:pPr>
    </w:p>
    <w:p w14:paraId="57474DEF" w14:textId="77777777" w:rsidR="003A047C" w:rsidRDefault="003A047C" w:rsidP="00CF29B7">
      <w:pPr>
        <w:tabs>
          <w:tab w:val="right" w:pos="8640"/>
          <w:tab w:val="right" w:pos="8640"/>
        </w:tabs>
        <w:ind w:firstLine="0"/>
      </w:pPr>
    </w:p>
    <w:p w14:paraId="5585242B" w14:textId="77777777" w:rsidR="003A047C" w:rsidRDefault="003A047C" w:rsidP="00CF29B7">
      <w:pPr>
        <w:tabs>
          <w:tab w:val="right" w:pos="8640"/>
          <w:tab w:val="right" w:pos="8640"/>
        </w:tabs>
        <w:ind w:firstLine="0"/>
      </w:pPr>
    </w:p>
    <w:p w14:paraId="1A858D5F" w14:textId="77777777" w:rsidR="003A047C" w:rsidRDefault="003A047C" w:rsidP="00CF29B7">
      <w:pPr>
        <w:tabs>
          <w:tab w:val="right" w:pos="8640"/>
          <w:tab w:val="right" w:pos="8640"/>
        </w:tabs>
        <w:ind w:firstLine="0"/>
      </w:pPr>
    </w:p>
    <w:p w14:paraId="1350393D" w14:textId="77777777" w:rsidR="003A047C" w:rsidRDefault="003A047C" w:rsidP="00CF29B7">
      <w:pPr>
        <w:tabs>
          <w:tab w:val="right" w:pos="8640"/>
          <w:tab w:val="right" w:pos="8640"/>
        </w:tabs>
        <w:ind w:firstLine="0"/>
      </w:pPr>
    </w:p>
    <w:p w14:paraId="1D54C0C4"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4674C654" w14:textId="0B0EDBC1" w:rsidR="008136CA" w:rsidRDefault="00DC1F1B" w:rsidP="00EE3CF2">
      <w:pPr>
        <w:tabs>
          <w:tab w:val="right" w:pos="8640"/>
          <w:tab w:val="right" w:pos="8640"/>
        </w:tabs>
      </w:pPr>
      <w:r>
        <w:lastRenderedPageBreak/>
        <w:t>G</w:t>
      </w:r>
      <w:r w:rsidR="00B03EFB">
        <w:t xml:space="preserve">roup dynamics </w:t>
      </w:r>
      <w:r w:rsidR="00050948">
        <w:t>is</w:t>
      </w:r>
      <w:r>
        <w:t xml:space="preserve"> </w:t>
      </w:r>
      <w:r w:rsidR="00B03EFB">
        <w:t xml:space="preserve">integral to </w:t>
      </w:r>
      <w:r>
        <w:t xml:space="preserve">social interaction </w:t>
      </w:r>
      <w:r w:rsidR="002272E4">
        <w:t xml:space="preserve">and cooperative </w:t>
      </w:r>
      <w:r>
        <w:t>environment</w:t>
      </w:r>
      <w:r w:rsidR="002272E4">
        <w:t>s, such as the workforce</w:t>
      </w:r>
      <w:r w:rsidR="00B55D98">
        <w:t>, teams, and organizations</w:t>
      </w:r>
      <w:r w:rsidR="00106022">
        <w:t>. This</w:t>
      </w:r>
      <w:r w:rsidR="00B55D98">
        <w:t xml:space="preserve"> includes the </w:t>
      </w:r>
      <w:r w:rsidR="00102C31">
        <w:t xml:space="preserve">group dynamics within the </w:t>
      </w:r>
      <w:r w:rsidR="00B55D98">
        <w:t>healthcare</w:t>
      </w:r>
      <w:r w:rsidR="00102C31">
        <w:t xml:space="preserve"> system</w:t>
      </w:r>
      <w:r w:rsidR="00106022">
        <w:t xml:space="preserve"> of clinical staff, support staff, and other healthcare industries. What may be different between healthcare organizations and other organizations is the connection to the patient </w:t>
      </w:r>
      <w:r w:rsidR="00CB091E">
        <w:t xml:space="preserve">that the group has. The focus is dualist, where a healthcare group is interested in performing well as a group, but also each individual and the group </w:t>
      </w:r>
      <w:proofErr w:type="gramStart"/>
      <w:r w:rsidR="00CB091E">
        <w:t>as a whole has</w:t>
      </w:r>
      <w:proofErr w:type="gramEnd"/>
      <w:r w:rsidR="00CB091E">
        <w:t xml:space="preserve"> an interest in caring for the patient’s healthcare needs.</w:t>
      </w:r>
      <w:r w:rsidR="00B55D98">
        <w:t xml:space="preserve"> </w:t>
      </w:r>
    </w:p>
    <w:p w14:paraId="68D78B5E" w14:textId="4D2FDBB5" w:rsidR="004B67D0" w:rsidRDefault="00867DCE" w:rsidP="004B67D0">
      <w:pPr>
        <w:tabs>
          <w:tab w:val="right" w:pos="8640"/>
          <w:tab w:val="right" w:pos="8640"/>
        </w:tabs>
      </w:pPr>
      <w:r>
        <w:tab/>
        <w:t>Group Dynamics refers to “…a system of behaviors and psychological processes occurring within a social group (intragroup dynamics), or between social groups (intergroup dynamics). The study of group dynamics can be useful in understanding decision-making behavior, tracking the spread of diseases in society, creating effective therapy techniques, and following the emergence and popularity of new ideas and technologies.” (</w:t>
      </w:r>
      <w:r w:rsidRPr="003B11F2">
        <w:t>Freud</w:t>
      </w:r>
      <w:r>
        <w:t xml:space="preserve"> </w:t>
      </w:r>
      <w:r w:rsidRPr="003B11F2">
        <w:t>&amp; Strachey,</w:t>
      </w:r>
      <w:r>
        <w:t xml:space="preserve"> </w:t>
      </w:r>
      <w:r w:rsidRPr="003B11F2">
        <w:t>2024</w:t>
      </w:r>
      <w:r w:rsidR="00B614E7">
        <w:t>, p. 12</w:t>
      </w:r>
      <w:r w:rsidRPr="003B11F2">
        <w:t xml:space="preserve">). </w:t>
      </w:r>
      <w:r>
        <w:t xml:space="preserve"> </w:t>
      </w:r>
      <w:r w:rsidR="005300EA">
        <w:t>The 19</w:t>
      </w:r>
      <w:r w:rsidR="005300EA">
        <w:rPr>
          <w:vertAlign w:val="superscript"/>
        </w:rPr>
        <w:t>th</w:t>
      </w:r>
      <w:r>
        <w:rPr>
          <w:vertAlign w:val="superscript"/>
        </w:rPr>
        <w:t xml:space="preserve"> </w:t>
      </w:r>
      <w:r>
        <w:t>and 20th-century</w:t>
      </w:r>
      <w:r w:rsidR="005300EA">
        <w:t xml:space="preserve"> Sociologist Georg Simmel examined group dynamics based on the number of people within </w:t>
      </w:r>
      <w:r w:rsidR="00B614E7">
        <w:t xml:space="preserve">groups </w:t>
      </w:r>
      <w:r w:rsidR="00AE5255">
        <w:t xml:space="preserve">“The present studies begin by examining forms of social life, </w:t>
      </w:r>
      <w:r w:rsidR="00FE61A1">
        <w:t>combinations,</w:t>
      </w:r>
      <w:r w:rsidR="00AE5255">
        <w:t xml:space="preserve"> and interactions among individuals. But they do so in one respect only; the bearing which the mere </w:t>
      </w:r>
      <w:r w:rsidR="00763765">
        <w:t xml:space="preserve">number of sociated individuals has upon these forms of social life. It will immediately be conceded </w:t>
      </w:r>
      <w:r w:rsidR="00FE61A1">
        <w:t>based on</w:t>
      </w:r>
      <w:r w:rsidR="00763765">
        <w:t xml:space="preserve"> everyday </w:t>
      </w:r>
      <w:r w:rsidR="00B614E7">
        <w:t>experiences</w:t>
      </w:r>
      <w:r w:rsidR="00763765">
        <w:t xml:space="preserve"> that a group upon reaching a certain size must develop forms and organs which serve its maintenance and promotion, but which a smaller group does not need.” (Simmel/Wolff, 1950, p. 87</w:t>
      </w:r>
      <w:r w:rsidR="00666343">
        <w:t>) Simmel</w:t>
      </w:r>
      <w:r w:rsidR="00B614E7">
        <w:t xml:space="preserve"> addressed the group </w:t>
      </w:r>
      <w:r w:rsidR="004C2F8B">
        <w:t xml:space="preserve">dynamic by </w:t>
      </w:r>
      <w:r w:rsidR="00B614E7">
        <w:t xml:space="preserve">size </w:t>
      </w:r>
      <w:r w:rsidR="004C2F8B">
        <w:t xml:space="preserve">where smaller groups such as dyads are more intimate compared to larger groups, in </w:t>
      </w:r>
      <w:r w:rsidR="00B774C6">
        <w:t xml:space="preserve">the </w:t>
      </w:r>
      <w:r w:rsidR="004C2F8B">
        <w:t>healthcare</w:t>
      </w:r>
      <w:r w:rsidR="00B774C6">
        <w:t xml:space="preserve"> setting there are various group dynamics, many within larger groups, but also in smaller groups such as a medical provider and nurse teams. </w:t>
      </w:r>
      <w:r w:rsidR="004B67D0">
        <w:t xml:space="preserve">These group settings can and do very much change throughout the day, where </w:t>
      </w:r>
      <w:r w:rsidR="00681DB2">
        <w:t xml:space="preserve">healthcare staff may work with providers, </w:t>
      </w:r>
      <w:r w:rsidR="00681DB2">
        <w:lastRenderedPageBreak/>
        <w:t>office staff, and other healthcare staff throughout the day</w:t>
      </w:r>
      <w:r w:rsidR="00666343">
        <w:t xml:space="preserve">, thus changing the dynamics of the group interaction on an ongoing basis. </w:t>
      </w:r>
    </w:p>
    <w:p w14:paraId="1DC59898" w14:textId="35C7FD32" w:rsidR="007C4632" w:rsidRDefault="00BA558D" w:rsidP="0005202D">
      <w:pPr>
        <w:tabs>
          <w:tab w:val="right" w:pos="8640"/>
          <w:tab w:val="right" w:pos="8640"/>
        </w:tabs>
      </w:pPr>
      <w:r>
        <w:t xml:space="preserve">We are socialized into interacting within groups from our earliest ages </w:t>
      </w:r>
      <w:r w:rsidR="00B303B0">
        <w:t xml:space="preserve">from our family, peer groups, church </w:t>
      </w:r>
      <w:r w:rsidR="00E00FE1">
        <w:t>groups,</w:t>
      </w:r>
      <w:r w:rsidR="003C6C16">
        <w:t xml:space="preserve"> sports </w:t>
      </w:r>
      <w:r w:rsidR="00FE61A1">
        <w:t>teams,</w:t>
      </w:r>
      <w:r w:rsidR="00E00FE1">
        <w:t xml:space="preserve"> </w:t>
      </w:r>
      <w:r w:rsidR="00B303B0">
        <w:t>and school groups, we have learned to be part of small and large groups</w:t>
      </w:r>
      <w:r w:rsidR="00E00FE1">
        <w:t>. We have learned to engage and interact with the different groups in different ways based on the size of the group and the group dynamics.</w:t>
      </w:r>
      <w:r w:rsidR="0005202D">
        <w:t xml:space="preserve"> </w:t>
      </w:r>
      <w:r w:rsidR="0021777F">
        <w:t xml:space="preserve">Much of </w:t>
      </w:r>
      <w:r w:rsidR="0005202D">
        <w:t xml:space="preserve">our </w:t>
      </w:r>
      <w:r w:rsidR="0021777F">
        <w:t xml:space="preserve">social interaction and human behavior is </w:t>
      </w:r>
      <w:r w:rsidR="00AC6AD5">
        <w:t xml:space="preserve">formed and takes place in group settings </w:t>
      </w:r>
      <w:r w:rsidR="0021777F">
        <w:t xml:space="preserve">(Weiss &amp; </w:t>
      </w:r>
      <w:proofErr w:type="spellStart"/>
      <w:r w:rsidR="0021777F">
        <w:t>Copelton</w:t>
      </w:r>
      <w:proofErr w:type="spellEnd"/>
      <w:r w:rsidR="0021777F">
        <w:t>, 2020)</w:t>
      </w:r>
      <w:r w:rsidR="0005202D">
        <w:t xml:space="preserve">, so we have been developed to be an active part of the group dynamics, </w:t>
      </w:r>
      <w:r w:rsidR="00302AEF">
        <w:t>contributing,</w:t>
      </w:r>
      <w:r w:rsidR="0005202D">
        <w:t xml:space="preserve"> and receiving from the social interaction. </w:t>
      </w:r>
      <w:r w:rsidR="00302AEF">
        <w:t xml:space="preserve"> As we </w:t>
      </w:r>
      <w:r w:rsidR="00CC62E5">
        <w:t xml:space="preserve">develop through life, we come to know how to engage in the game of group interaction, so when we get into the </w:t>
      </w:r>
      <w:r w:rsidR="003C6C16">
        <w:t>workforce,</w:t>
      </w:r>
      <w:r w:rsidR="00CC62E5">
        <w:t xml:space="preserve"> we should </w:t>
      </w:r>
      <w:r w:rsidR="003C6C16">
        <w:t xml:space="preserve">be </w:t>
      </w:r>
      <w:r w:rsidR="00CC62E5">
        <w:t xml:space="preserve">able to engrain </w:t>
      </w:r>
      <w:r w:rsidR="0087777D">
        <w:t xml:space="preserve">ourselves into work group dynamics. </w:t>
      </w:r>
      <w:commentRangeStart w:id="1"/>
      <w:r w:rsidR="0028003E">
        <w:t>There is concern that in today’s workforce, the younger generation lacks incorporation of being a</w:t>
      </w:r>
      <w:r w:rsidR="00C05324">
        <w:t xml:space="preserve"> passive and</w:t>
      </w:r>
      <w:r w:rsidR="0028003E">
        <w:t xml:space="preserve"> active </w:t>
      </w:r>
      <w:r w:rsidR="00C05324">
        <w:t xml:space="preserve">member of the group dynamics.  </w:t>
      </w:r>
      <w:commentRangeEnd w:id="1"/>
      <w:r w:rsidR="001D4425">
        <w:rPr>
          <w:rStyle w:val="CommentReference"/>
        </w:rPr>
        <w:commentReference w:id="1"/>
      </w:r>
      <w:commentRangeStart w:id="2"/>
      <w:r w:rsidR="00C05324">
        <w:t>This</w:t>
      </w:r>
      <w:commentRangeEnd w:id="2"/>
      <w:r w:rsidR="001D4425">
        <w:rPr>
          <w:rStyle w:val="CommentReference"/>
        </w:rPr>
        <w:commentReference w:id="2"/>
      </w:r>
      <w:r w:rsidR="00C05324">
        <w:t xml:space="preserve"> has impacted the healthcare industry as well. </w:t>
      </w:r>
      <w:commentRangeStart w:id="3"/>
      <w:r w:rsidR="00C05324">
        <w:t xml:space="preserve">However, </w:t>
      </w:r>
      <w:r w:rsidR="00AC23C1">
        <w:t>due to the nature of the dynamics of healthcare, the employees who cannot be productive</w:t>
      </w:r>
      <w:r w:rsidR="00153291">
        <w:t xml:space="preserve"> members of groups </w:t>
      </w:r>
      <w:commentRangeStart w:id="4"/>
      <w:r w:rsidR="00153291">
        <w:t xml:space="preserve">do not last </w:t>
      </w:r>
      <w:commentRangeEnd w:id="4"/>
      <w:r w:rsidR="001D4425">
        <w:rPr>
          <w:rStyle w:val="CommentReference"/>
        </w:rPr>
        <w:commentReference w:id="4"/>
      </w:r>
      <w:r w:rsidR="00153291">
        <w:t>by their own choice or by the organization’s choice.</w:t>
      </w:r>
      <w:commentRangeEnd w:id="3"/>
      <w:r w:rsidR="001D4425">
        <w:rPr>
          <w:rStyle w:val="CommentReference"/>
        </w:rPr>
        <w:commentReference w:id="3"/>
      </w:r>
      <w:r w:rsidR="00153291">
        <w:t xml:space="preserve"> </w:t>
      </w:r>
      <w:commentRangeStart w:id="5"/>
      <w:r w:rsidR="00364885">
        <w:t>This</w:t>
      </w:r>
      <w:commentRangeEnd w:id="5"/>
      <w:r w:rsidR="001D4425">
        <w:rPr>
          <w:rStyle w:val="CommentReference"/>
        </w:rPr>
        <w:commentReference w:id="5"/>
      </w:r>
      <w:r w:rsidR="00364885">
        <w:t xml:space="preserve"> may be due to the different dynamics of healthcare compared to different organizations, where the changes in the next generation may drastically change the organizations, but in healthcare, it has additional </w:t>
      </w:r>
      <w:r w:rsidR="000F5EA1">
        <w:t>consequences, because the group not only functions unto itself but serves the patient, which is above the concerns and goals of the group.</w:t>
      </w:r>
    </w:p>
    <w:p w14:paraId="22087728" w14:textId="59B2F3AB" w:rsidR="00F9242C" w:rsidRDefault="00F9242C" w:rsidP="00F9242C">
      <w:pPr>
        <w:tabs>
          <w:tab w:val="right" w:pos="8640"/>
          <w:tab w:val="right" w:pos="8640"/>
        </w:tabs>
        <w:rPr>
          <w:bCs/>
        </w:rPr>
      </w:pPr>
      <w:r>
        <w:tab/>
      </w:r>
      <w:r w:rsidR="007C0DE4">
        <w:t xml:space="preserve">Healthcare has changed throughout the decades, and thus pressures on healthcare staff from technology and in particular the loss of control of patient </w:t>
      </w:r>
      <w:r w:rsidR="005643EB">
        <w:t>care as</w:t>
      </w:r>
      <w:r w:rsidR="007C0DE4">
        <w:t xml:space="preserve"> a </w:t>
      </w:r>
      <w:r w:rsidR="005643EB">
        <w:t>provider describes</w:t>
      </w:r>
      <w:r w:rsidR="007C0DE4">
        <w:t xml:space="preserve"> it </w:t>
      </w:r>
      <w:r w:rsidR="007C0DE4" w:rsidRPr="007C0DE4">
        <w:t xml:space="preserve">“Somewhere along the way, health insurance companies decided to practice medicine and control the clinical decision-making process to mitigate their risk somehow.” (Badia, 2020, p. </w:t>
      </w:r>
      <w:r w:rsidR="007C0DE4" w:rsidRPr="007C0DE4">
        <w:lastRenderedPageBreak/>
        <w:t>247)</w:t>
      </w:r>
      <w:r w:rsidR="005643EB">
        <w:t xml:space="preserve"> Healthcare providers and staff </w:t>
      </w:r>
      <w:commentRangeStart w:id="6"/>
      <w:r w:rsidR="005643EB">
        <w:t xml:space="preserve">are in </w:t>
      </w:r>
      <w:r w:rsidR="00E303E9">
        <w:t>healthcare</w:t>
      </w:r>
      <w:r w:rsidR="005643EB">
        <w:t xml:space="preserve"> because they have a sense of calling to help people with their healthcare needs</w:t>
      </w:r>
      <w:commentRangeEnd w:id="6"/>
      <w:r w:rsidR="001D4425">
        <w:rPr>
          <w:rStyle w:val="CommentReference"/>
        </w:rPr>
        <w:commentReference w:id="6"/>
      </w:r>
      <w:r w:rsidR="005643EB">
        <w:t xml:space="preserve">, each member of the group has this desire. </w:t>
      </w:r>
      <w:commentRangeStart w:id="7"/>
      <w:r w:rsidR="005643EB">
        <w:t xml:space="preserve">However, when </w:t>
      </w:r>
      <w:r w:rsidR="00C9145A">
        <w:t>barriers are placed</w:t>
      </w:r>
      <w:r w:rsidR="00964E5D">
        <w:t xml:space="preserve"> in the way of patient care, as in the health insurance companies with their business model of collecting more premiums than they are paying out for insurance. </w:t>
      </w:r>
      <w:commentRangeEnd w:id="7"/>
      <w:r w:rsidR="001D4425">
        <w:rPr>
          <w:rStyle w:val="CommentReference"/>
        </w:rPr>
        <w:commentReference w:id="7"/>
      </w:r>
      <w:commentRangeStart w:id="8"/>
      <w:r w:rsidR="00964E5D">
        <w:t xml:space="preserve">What this </w:t>
      </w:r>
      <w:commentRangeEnd w:id="8"/>
      <w:r w:rsidR="009A0DF6">
        <w:rPr>
          <w:rStyle w:val="CommentReference"/>
        </w:rPr>
        <w:commentReference w:id="8"/>
      </w:r>
      <w:r w:rsidR="00E303E9">
        <w:t>does</w:t>
      </w:r>
      <w:r w:rsidR="00964E5D">
        <w:t xml:space="preserve"> creates a convoluted logic that the healthcare facilities and patients </w:t>
      </w:r>
      <w:proofErr w:type="gramStart"/>
      <w:r w:rsidR="00964E5D">
        <w:t>have to</w:t>
      </w:r>
      <w:proofErr w:type="gramEnd"/>
      <w:r w:rsidR="00964E5D">
        <w:t xml:space="preserve"> work through to get the care and services the patient seeks and needs. This creates a frustrating dynamic for patients</w:t>
      </w:r>
      <w:r w:rsidR="00E303E9">
        <w:t xml:space="preserve">, </w:t>
      </w:r>
      <w:r w:rsidR="00964E5D">
        <w:t xml:space="preserve">healthcare providers and staff, which impacts the group dynamics when each member of the group seeks to </w:t>
      </w:r>
      <w:r w:rsidR="00C15C87">
        <w:t xml:space="preserve">provide the best possible care to the patient but outside barriers such as health insurance companies hinder that care they are trying to provide.  </w:t>
      </w:r>
      <w:commentRangeStart w:id="9"/>
      <w:r w:rsidR="00C15C87">
        <w:t>Another</w:t>
      </w:r>
      <w:commentRangeEnd w:id="9"/>
      <w:r w:rsidR="009A0DF6">
        <w:rPr>
          <w:rStyle w:val="CommentReference"/>
        </w:rPr>
        <w:commentReference w:id="9"/>
      </w:r>
      <w:r w:rsidR="00C15C87">
        <w:t xml:space="preserve"> area of barriers and frustration for healthcare groups </w:t>
      </w:r>
      <w:commentRangeStart w:id="10"/>
      <w:r w:rsidR="00C15C87">
        <w:t>is</w:t>
      </w:r>
      <w:commentRangeEnd w:id="10"/>
      <w:r w:rsidR="009A0DF6">
        <w:rPr>
          <w:rStyle w:val="CommentReference"/>
        </w:rPr>
        <w:commentReference w:id="10"/>
      </w:r>
      <w:r w:rsidR="00C15C87">
        <w:t xml:space="preserve"> </w:t>
      </w:r>
      <w:r w:rsidR="00C15C87">
        <w:rPr>
          <w:bCs/>
        </w:rPr>
        <w:t>“</w:t>
      </w:r>
      <w:r w:rsidR="00C15C87" w:rsidRPr="00EC0972">
        <w:rPr>
          <w:bCs/>
        </w:rPr>
        <w:t>Healthcare information technology (HIT) is radically transforming the healthcare systems</w:t>
      </w:r>
      <w:r w:rsidR="00A27CCE">
        <w:rPr>
          <w:bCs/>
        </w:rPr>
        <w:t>…</w:t>
      </w:r>
      <w:r w:rsidR="00C15C87" w:rsidRPr="00EC0972">
        <w:rPr>
          <w:bCs/>
        </w:rPr>
        <w:t>While there is much promise associated with HIT, the accelerated pace at which it is being adopted can pose a technological burden on care providers, who are reporting elevated levels of stress associated with it</w:t>
      </w:r>
      <w:r w:rsidR="00A27CCE">
        <w:rPr>
          <w:bCs/>
        </w:rPr>
        <w:t xml:space="preserve">.” </w:t>
      </w:r>
      <w:r w:rsidR="00C15C87">
        <w:rPr>
          <w:bCs/>
        </w:rPr>
        <w:fldChar w:fldCharType="begin"/>
      </w:r>
      <w:r w:rsidR="00C15C87">
        <w:rPr>
          <w:bCs/>
        </w:rPr>
        <w:instrText xml:space="preserve"> ADDIN ZOTERO_ITEM CSL_CITATION {"citationID":"OwdRr9d4","properties":{"formattedCitation":"(Califf et al., 2020)","plainCitation":"(Califf et al., 2020)","noteIndex":0},"citationItems":[{"id":468,"uris":["http://zotero.org/users/local/Prr5sh2G/items/CM3Q49AH"],"itemData":{"id":468,"type":"article-journal","abstract":"Today’s healthcare workers, specifically nurses, are experiencing technostress associated with the use of healthcare information technology (HIT). Technostress is often characterized by IS researchers as negative, or as being on the “dark side” of technology. However, a broader reading of the stress literature suggests that technostress may be both positive and negative, and can therefore have a “bright side” in addition to a dark side. The objective of this study is to conceptualize a holistic technostress process that includes positive and negative components of technostress embedded in two subprocesses: the techno-eustress subprocess and the techno-distress subprocess, respectively. The study instantiates this holistic technostress model through a sequential mixed-methods research design in the context of HIT. Phase 1 of the design is a qualitative, interpretive case study involving interviews with 32 nurses. Based on the findings from the case study, the paper builds a research model that operationalizes the concepts embedded in the holistic technostress model and identifies contextually relevant challenge and hindrance technostressors and outcomes. In Phase 2, the research model is empirically validated by analyzing survey data collected from 402 nurses employed in the United States. Results reveal that several challenge and hindrance technostressors are related to positive and negative psychological responses, respectively, and that such responses are related to job satisfaction and attrition, which impact turnover intention. Contributions to theory and practice are also discussed.","container-title":"MIS Quarterly","DOI":"10.25300/MISQ/2020/14818","ISSN":"02767783, 21629730","issue":"2","journalAbbreviation":"MISQ","language":"en","page":"809-856","source":"DOI.org (Crossref)","title":"The Bright and Dark Sides of Technostress: A Mixed-Methods Study Involving Healthcare IT","title-short":"The Bright and Dark Sides of Technostress","volume":"44","author":[{"family":"Califf","given":"Christopher B."},{"family":"Sarker","given":"Saonee"},{"family":"Sarker","given":"Suprateek"}],"issued":{"date-parts":[["2020",6,1]]}}}],"schema":"https://github.com/citation-style-language/schema/raw/master/csl-citation.json"} </w:instrText>
      </w:r>
      <w:r w:rsidR="00C15C87">
        <w:rPr>
          <w:bCs/>
        </w:rPr>
        <w:fldChar w:fldCharType="separate"/>
      </w:r>
      <w:r w:rsidR="00C15C87" w:rsidRPr="00EC0972">
        <w:t>(Califf et al., 2020</w:t>
      </w:r>
      <w:r w:rsidR="00C15C87">
        <w:t>, p. 809</w:t>
      </w:r>
      <w:r w:rsidR="00C15C87" w:rsidRPr="00EC0972">
        <w:t>)</w:t>
      </w:r>
      <w:r w:rsidR="00C15C87">
        <w:rPr>
          <w:bCs/>
        </w:rPr>
        <w:fldChar w:fldCharType="end"/>
      </w:r>
      <w:r w:rsidR="00824273">
        <w:rPr>
          <w:bCs/>
        </w:rPr>
        <w:t xml:space="preserve"> Healthcare Information Technology has many great benefits but often is seen as burdensome due to the complexity of electronic health records systems. </w:t>
      </w:r>
      <w:commentRangeStart w:id="11"/>
      <w:r w:rsidR="00824273">
        <w:rPr>
          <w:bCs/>
        </w:rPr>
        <w:t xml:space="preserve">This also creates </w:t>
      </w:r>
      <w:r w:rsidR="00524D14">
        <w:rPr>
          <w:bCs/>
        </w:rPr>
        <w:t xml:space="preserve">problems within the groups, the key thing that would help the individual within the group is for the group to provide an environment of shared knowledge of technology and other knowledge-based sharing, this will allow the group to function as an organic unit to bring in the knowledge, technology, and understanding to coordinate the patient care. </w:t>
      </w:r>
      <w:commentRangeEnd w:id="11"/>
      <w:r w:rsidR="009A0DF6">
        <w:rPr>
          <w:rStyle w:val="CommentReference"/>
        </w:rPr>
        <w:commentReference w:id="11"/>
      </w:r>
    </w:p>
    <w:p w14:paraId="758BE5BB" w14:textId="4E39FE87" w:rsidR="00DC31E4" w:rsidRDefault="00524D14" w:rsidP="00CF0FFC">
      <w:pPr>
        <w:tabs>
          <w:tab w:val="right" w:pos="8640"/>
          <w:tab w:val="right" w:pos="8640"/>
        </w:tabs>
      </w:pPr>
      <w:r>
        <w:rPr>
          <w:bCs/>
        </w:rPr>
        <w:t xml:space="preserve"> </w:t>
      </w:r>
      <w:r w:rsidR="001460B8">
        <w:rPr>
          <w:bCs/>
        </w:rPr>
        <w:t>O</w:t>
      </w:r>
      <w:r w:rsidR="00F9242C">
        <w:rPr>
          <w:bCs/>
        </w:rPr>
        <w:t>rganization</w:t>
      </w:r>
      <w:r w:rsidR="001460B8">
        <w:rPr>
          <w:bCs/>
        </w:rPr>
        <w:t>s</w:t>
      </w:r>
      <w:r w:rsidR="0010470E">
        <w:rPr>
          <w:bCs/>
        </w:rPr>
        <w:t xml:space="preserve"> ha</w:t>
      </w:r>
      <w:r w:rsidR="001460B8">
        <w:rPr>
          <w:bCs/>
        </w:rPr>
        <w:t>ve</w:t>
      </w:r>
      <w:r w:rsidR="0010470E">
        <w:rPr>
          <w:bCs/>
        </w:rPr>
        <w:t xml:space="preserve"> an interest in ensuring good working group dynamics</w:t>
      </w:r>
      <w:r w:rsidR="001460B8">
        <w:rPr>
          <w:bCs/>
        </w:rPr>
        <w:t xml:space="preserve"> within their organization</w:t>
      </w:r>
      <w:r w:rsidR="0010470E">
        <w:rPr>
          <w:bCs/>
        </w:rPr>
        <w:t xml:space="preserve"> </w:t>
      </w:r>
      <w:r w:rsidR="007B5E15">
        <w:rPr>
          <w:bCs/>
        </w:rPr>
        <w:t xml:space="preserve">because </w:t>
      </w:r>
      <w:r w:rsidR="0010470E">
        <w:rPr>
          <w:bCs/>
        </w:rPr>
        <w:t xml:space="preserve">successful groups </w:t>
      </w:r>
      <w:r w:rsidR="007B5E15">
        <w:rPr>
          <w:bCs/>
        </w:rPr>
        <w:t xml:space="preserve">help </w:t>
      </w:r>
      <w:r w:rsidR="0010470E">
        <w:rPr>
          <w:bCs/>
        </w:rPr>
        <w:t xml:space="preserve">generate successful organizations. Organizations need to create an environment that supports successful </w:t>
      </w:r>
      <w:r w:rsidR="00A27CCE">
        <w:rPr>
          <w:bCs/>
        </w:rPr>
        <w:t>groups</w:t>
      </w:r>
      <w:r w:rsidR="007B5E15">
        <w:rPr>
          <w:bCs/>
        </w:rPr>
        <w:t xml:space="preserve">, such as encouraging group teambuilding activities and supporting open working relationships between groups. </w:t>
      </w:r>
      <w:r w:rsidR="007B5E15">
        <w:rPr>
          <w:bCs/>
        </w:rPr>
        <w:lastRenderedPageBreak/>
        <w:t>Organizations should have a forward-thinking environment to account for technology advancement and social changes</w:t>
      </w:r>
      <w:r w:rsidR="00CF0FFC">
        <w:rPr>
          <w:bCs/>
        </w:rPr>
        <w:t xml:space="preserve"> (</w:t>
      </w:r>
      <w:r w:rsidR="00CF0FFC" w:rsidRPr="00CF0FFC">
        <w:rPr>
          <w:bCs/>
        </w:rPr>
        <w:t>Loureiro et al., 2023</w:t>
      </w:r>
      <w:r w:rsidR="00CF0FFC">
        <w:rPr>
          <w:bCs/>
        </w:rPr>
        <w:t>),</w:t>
      </w:r>
      <w:r w:rsidR="007B5E15">
        <w:rPr>
          <w:bCs/>
        </w:rPr>
        <w:t xml:space="preserve"> </w:t>
      </w:r>
      <w:r w:rsidR="0010470E">
        <w:rPr>
          <w:bCs/>
        </w:rPr>
        <w:t>“</w:t>
      </w:r>
      <w:r>
        <w:t>Organizational changes are also needed to account for evolving societal norms and values, some of which have yielded higher expectations for access to health care, improved patient experience and increased patient involvement in care decision making” (Nilsen et al., 2020, p. 2)</w:t>
      </w:r>
      <w:r w:rsidR="007B5E15">
        <w:t xml:space="preserve"> </w:t>
      </w:r>
      <w:commentRangeStart w:id="12"/>
      <w:r w:rsidR="007B5E15">
        <w:t xml:space="preserve">This </w:t>
      </w:r>
      <w:r w:rsidR="00CF0FFC">
        <w:t>ensures</w:t>
      </w:r>
      <w:r w:rsidR="007B5E15">
        <w:t xml:space="preserve"> that the organization could support the groups</w:t>
      </w:r>
      <w:r w:rsidR="00CF0FFC">
        <w:t xml:space="preserve">, leaders, </w:t>
      </w:r>
      <w:r w:rsidR="007B5E15">
        <w:t>and people within their organization.</w:t>
      </w:r>
      <w:commentRangeEnd w:id="12"/>
      <w:r w:rsidR="00652428">
        <w:rPr>
          <w:rStyle w:val="CommentReference"/>
        </w:rPr>
        <w:commentReference w:id="12"/>
      </w:r>
      <w:r w:rsidR="007B5E15">
        <w:t xml:space="preserve"> </w:t>
      </w:r>
      <w:commentRangeStart w:id="13"/>
      <w:r w:rsidR="00CF0FFC">
        <w:t xml:space="preserve">In healthcare organizations, it is important to adapt to change and support flexible group dynamics to </w:t>
      </w:r>
      <w:r w:rsidR="00397A22">
        <w:t>ensure</w:t>
      </w:r>
      <w:r w:rsidR="00CF0FFC">
        <w:t xml:space="preserve"> that the people within the groups </w:t>
      </w:r>
      <w:r w:rsidR="00397A22">
        <w:t>can</w:t>
      </w:r>
      <w:r w:rsidR="00CF0FFC">
        <w:t xml:space="preserve"> function well </w:t>
      </w:r>
      <w:r w:rsidR="00397A22">
        <w:t>in</w:t>
      </w:r>
      <w:r w:rsidR="00CF0FFC">
        <w:t xml:space="preserve"> the ever-changing </w:t>
      </w:r>
      <w:r w:rsidR="00397A22">
        <w:t xml:space="preserve">environment, </w:t>
      </w:r>
      <w:commentRangeEnd w:id="13"/>
      <w:r w:rsidR="00E31369">
        <w:rPr>
          <w:rStyle w:val="CommentReference"/>
        </w:rPr>
        <w:commentReference w:id="13"/>
      </w:r>
      <w:r w:rsidR="00397A22">
        <w:t>“</w:t>
      </w:r>
      <w:r w:rsidR="00DC31E4">
        <w:t>Employees who do not understand why a change is pursued will be</w:t>
      </w:r>
      <w:r w:rsidR="00666343">
        <w:t xml:space="preserve"> </w:t>
      </w:r>
      <w:r w:rsidR="00DC31E4">
        <w:t xml:space="preserve">reluctant to comply with the management’s requirement for the change. The </w:t>
      </w:r>
      <w:r w:rsidR="00A13C91">
        <w:t>healthcare</w:t>
      </w:r>
      <w:r w:rsidR="00DC31E4">
        <w:t xml:space="preserve"> professionals in our study argued that the changes must benefit patients to have value. This is consistent with research that shows that health care professionals’ role identity is largely defined by patients and patients’ needs.”   (Nilsen et al., 2020, p. 6)</w:t>
      </w:r>
      <w:r w:rsidR="00CF0FFC">
        <w:t xml:space="preserve"> </w:t>
      </w:r>
      <w:commentRangeStart w:id="14"/>
      <w:r w:rsidR="00CF0FFC">
        <w:t>This also applies to the spatial features of the organization “</w:t>
      </w:r>
      <w:r w:rsidR="00DC31E4" w:rsidRPr="00DC31E4">
        <w:t>To think spatially is to be alive to how an organizational form or body is always being placed somewhere, or seeking a place, whereby power becomes intimate to its realization and identity</w:t>
      </w:r>
      <w:r w:rsidR="00CF0FFC">
        <w:t xml:space="preserve">.” </w:t>
      </w:r>
      <w:r w:rsidR="00DC31E4" w:rsidRPr="00DC31E4">
        <w:t xml:space="preserve"> (</w:t>
      </w:r>
      <w:proofErr w:type="spellStart"/>
      <w:r w:rsidR="00DC31E4" w:rsidRPr="00DC31E4">
        <w:t>Beyes</w:t>
      </w:r>
      <w:proofErr w:type="spellEnd"/>
      <w:r w:rsidR="00DC31E4" w:rsidRPr="00DC31E4">
        <w:t xml:space="preserve"> &amp; Holt, 2020, p. 2)</w:t>
      </w:r>
      <w:r w:rsidR="00CF0FFC">
        <w:t>, where the spatial environment supports creative group dynamics</w:t>
      </w:r>
      <w:r w:rsidR="00397A22">
        <w:t xml:space="preserve"> for the group’s success. </w:t>
      </w:r>
      <w:commentRangeEnd w:id="14"/>
      <w:r w:rsidR="00E31369">
        <w:rPr>
          <w:rStyle w:val="CommentReference"/>
        </w:rPr>
        <w:commentReference w:id="14"/>
      </w:r>
    </w:p>
    <w:p w14:paraId="539248E2" w14:textId="5DF2E410" w:rsidR="00A27CCE" w:rsidRDefault="001E027B" w:rsidP="007D3378">
      <w:pPr>
        <w:tabs>
          <w:tab w:val="right" w:pos="8640"/>
          <w:tab w:val="right" w:pos="8640"/>
        </w:tabs>
      </w:pPr>
      <w:r>
        <w:t xml:space="preserve">The workforce environment is a primary space for group development and interaction to support the individual with others, so the minds and actions of the individual could be multiplied by the group dynamics. </w:t>
      </w:r>
      <w:commentRangeStart w:id="15"/>
      <w:r>
        <w:t xml:space="preserve">This </w:t>
      </w:r>
      <w:commentRangeEnd w:id="15"/>
      <w:r w:rsidR="00E31369">
        <w:rPr>
          <w:rStyle w:val="CommentReference"/>
        </w:rPr>
        <w:commentReference w:id="15"/>
      </w:r>
      <w:r>
        <w:t xml:space="preserve">not only includes the </w:t>
      </w:r>
      <w:r w:rsidR="000D20A6">
        <w:t xml:space="preserve">intellectual and productivity benefits of the individuals bring to the group, but also the “fit” to the group. This is also a major factor in group dynamics, how well the group interacts, and how organic it could be. This is particularly important to healthcare work groups, where they can function in a unified way to support the </w:t>
      </w:r>
      <w:r w:rsidR="000D20A6">
        <w:lastRenderedPageBreak/>
        <w:t xml:space="preserve">patient’s health. </w:t>
      </w:r>
      <w:r w:rsidR="005C3CE5">
        <w:t>Many different groups work together to ensure the best possible healthcare for enhancing the health of the patient, not only the medical staff group, to leadership, quality groups, billing, and finance groups</w:t>
      </w:r>
      <w:r w:rsidR="000307E3">
        <w:t xml:space="preserve">. These healthcare groups need to perform well within themselves and with the other groups inside and outside the healthcare organization. </w:t>
      </w:r>
      <w:r w:rsidR="00A27CCE">
        <w:t>Group</w:t>
      </w:r>
      <w:r w:rsidR="007D3378">
        <w:t xml:space="preserve">s are </w:t>
      </w:r>
      <w:r w:rsidR="00A27CCE">
        <w:t xml:space="preserve">integral to social interaction and cooperative environments, such as the workforce, teams, and organizations. </w:t>
      </w:r>
      <w:commentRangeStart w:id="16"/>
      <w:r w:rsidR="007D3378">
        <w:t xml:space="preserve">The group dynamics change within itself by the individuals of the group, but also the group dynamics changes the individuals, </w:t>
      </w:r>
      <w:r w:rsidR="009767F7">
        <w:t xml:space="preserve">as one of the front runners social </w:t>
      </w:r>
      <w:proofErr w:type="gramStart"/>
      <w:r w:rsidR="009767F7">
        <w:t>psychology</w:t>
      </w:r>
      <w:proofErr w:type="gramEnd"/>
      <w:r w:rsidR="009767F7">
        <w:t xml:space="preserve"> of group dynamics informs us, it is easier to change a group than it is to change the individual, (</w:t>
      </w:r>
      <w:r w:rsidR="009767F7" w:rsidRPr="009767F7">
        <w:t>Levi</w:t>
      </w:r>
      <w:r w:rsidR="009767F7">
        <w:t xml:space="preserve"> </w:t>
      </w:r>
      <w:r w:rsidR="009767F7" w:rsidRPr="009767F7">
        <w:t xml:space="preserve">&amp; </w:t>
      </w:r>
      <w:proofErr w:type="spellStart"/>
      <w:r w:rsidR="009767F7" w:rsidRPr="009767F7">
        <w:t>Askay</w:t>
      </w:r>
      <w:proofErr w:type="spellEnd"/>
      <w:r w:rsidR="009767F7">
        <w:t xml:space="preserve">, </w:t>
      </w:r>
      <w:r w:rsidR="009767F7" w:rsidRPr="009767F7">
        <w:t>2020)</w:t>
      </w:r>
      <w:r w:rsidR="009767F7">
        <w:t>. This is because we are a social being and need socialization by social groups to become the individuals we are.</w:t>
      </w:r>
      <w:commentRangeEnd w:id="16"/>
      <w:r w:rsidR="007E2503">
        <w:rPr>
          <w:rStyle w:val="CommentReference"/>
        </w:rPr>
        <w:commentReference w:id="16"/>
      </w:r>
    </w:p>
    <w:p w14:paraId="633EFA67" w14:textId="77777777" w:rsidR="00615C15" w:rsidRDefault="00615C15" w:rsidP="008136CA">
      <w:pPr>
        <w:tabs>
          <w:tab w:val="right" w:pos="8640"/>
          <w:tab w:val="right" w:pos="8640"/>
        </w:tabs>
        <w:rPr>
          <w:bCs/>
        </w:rPr>
      </w:pPr>
    </w:p>
    <w:p w14:paraId="1CF48E13" w14:textId="77777777" w:rsidR="00615C15" w:rsidRDefault="00615C15" w:rsidP="008136CA">
      <w:pPr>
        <w:tabs>
          <w:tab w:val="right" w:pos="8640"/>
          <w:tab w:val="right" w:pos="8640"/>
        </w:tabs>
        <w:rPr>
          <w:bCs/>
        </w:rPr>
      </w:pPr>
    </w:p>
    <w:p w14:paraId="7D28A075" w14:textId="77777777" w:rsidR="00615C15" w:rsidRDefault="00615C15" w:rsidP="008136CA">
      <w:pPr>
        <w:tabs>
          <w:tab w:val="right" w:pos="8640"/>
          <w:tab w:val="right" w:pos="8640"/>
        </w:tabs>
        <w:rPr>
          <w:bCs/>
        </w:rPr>
      </w:pPr>
    </w:p>
    <w:p w14:paraId="1E80D001" w14:textId="77777777" w:rsidR="00615C15" w:rsidRDefault="00615C15" w:rsidP="008136CA">
      <w:pPr>
        <w:tabs>
          <w:tab w:val="right" w:pos="8640"/>
          <w:tab w:val="right" w:pos="8640"/>
        </w:tabs>
        <w:rPr>
          <w:bCs/>
        </w:rPr>
      </w:pPr>
    </w:p>
    <w:p w14:paraId="18B4D5BF" w14:textId="77777777" w:rsidR="00615C15" w:rsidRDefault="00615C15" w:rsidP="008136CA">
      <w:pPr>
        <w:tabs>
          <w:tab w:val="right" w:pos="8640"/>
          <w:tab w:val="right" w:pos="8640"/>
        </w:tabs>
        <w:rPr>
          <w:bCs/>
        </w:rPr>
      </w:pPr>
    </w:p>
    <w:p w14:paraId="71226E37" w14:textId="77777777" w:rsidR="00615C15" w:rsidRDefault="00615C15" w:rsidP="008136CA">
      <w:pPr>
        <w:tabs>
          <w:tab w:val="right" w:pos="8640"/>
          <w:tab w:val="right" w:pos="8640"/>
        </w:tabs>
        <w:rPr>
          <w:bCs/>
        </w:rPr>
      </w:pPr>
    </w:p>
    <w:p w14:paraId="6B1DF6BB" w14:textId="77777777" w:rsidR="00615C15" w:rsidRDefault="00615C15" w:rsidP="008136CA">
      <w:pPr>
        <w:tabs>
          <w:tab w:val="right" w:pos="8640"/>
          <w:tab w:val="right" w:pos="8640"/>
        </w:tabs>
        <w:rPr>
          <w:bCs/>
        </w:rPr>
      </w:pPr>
    </w:p>
    <w:p w14:paraId="51CDD239" w14:textId="77777777" w:rsidR="00615C15" w:rsidRDefault="00615C15" w:rsidP="008136CA">
      <w:pPr>
        <w:tabs>
          <w:tab w:val="right" w:pos="8640"/>
          <w:tab w:val="right" w:pos="8640"/>
        </w:tabs>
        <w:rPr>
          <w:bCs/>
        </w:rPr>
      </w:pPr>
    </w:p>
    <w:p w14:paraId="7E2BE274" w14:textId="77777777" w:rsidR="00615C15" w:rsidRDefault="00615C15" w:rsidP="008136CA">
      <w:pPr>
        <w:tabs>
          <w:tab w:val="right" w:pos="8640"/>
          <w:tab w:val="right" w:pos="8640"/>
        </w:tabs>
      </w:pPr>
    </w:p>
    <w:p w14:paraId="083A81AF" w14:textId="77777777" w:rsidR="00D9557E" w:rsidRDefault="00D9557E" w:rsidP="00615C15">
      <w:pPr>
        <w:tabs>
          <w:tab w:val="right" w:pos="8640"/>
          <w:tab w:val="right" w:pos="8640"/>
        </w:tabs>
        <w:ind w:firstLine="0"/>
      </w:pPr>
    </w:p>
    <w:p w14:paraId="00000039" w14:textId="0BF1DE8A" w:rsidR="003A0649" w:rsidRDefault="003A0649" w:rsidP="00D9557E">
      <w:pPr>
        <w:tabs>
          <w:tab w:val="right" w:pos="8640"/>
          <w:tab w:val="right" w:pos="8640"/>
        </w:tabs>
        <w:ind w:firstLine="0"/>
      </w:pPr>
    </w:p>
    <w:p w14:paraId="388430F4" w14:textId="77777777" w:rsidR="00CB2285" w:rsidRDefault="00CB2285" w:rsidP="00D9557E">
      <w:pPr>
        <w:tabs>
          <w:tab w:val="right" w:pos="8640"/>
          <w:tab w:val="right" w:pos="8640"/>
        </w:tabs>
        <w:ind w:firstLine="0"/>
      </w:pPr>
    </w:p>
    <w:p w14:paraId="19CEC96F" w14:textId="77777777" w:rsidR="00CB2285" w:rsidRDefault="00CB2285" w:rsidP="00D9557E">
      <w:pPr>
        <w:tabs>
          <w:tab w:val="right" w:pos="8640"/>
          <w:tab w:val="right" w:pos="8640"/>
        </w:tabs>
        <w:ind w:firstLine="0"/>
      </w:pPr>
    </w:p>
    <w:p w14:paraId="0000003A" w14:textId="77777777" w:rsidR="003A0649" w:rsidRDefault="00000000">
      <w:pPr>
        <w:tabs>
          <w:tab w:val="right" w:pos="8640"/>
          <w:tab w:val="right" w:pos="8640"/>
        </w:tabs>
        <w:jc w:val="center"/>
      </w:pPr>
      <w:r>
        <w:lastRenderedPageBreak/>
        <w:t>WORKS CITED</w:t>
      </w:r>
    </w:p>
    <w:p w14:paraId="0DE16FF9" w14:textId="77777777" w:rsidR="002A07C6" w:rsidRPr="001D0C45" w:rsidRDefault="002A07C6" w:rsidP="002A07C6">
      <w:pPr>
        <w:ind w:hanging="480"/>
      </w:pPr>
      <w:r w:rsidRPr="00353CAC">
        <w:t>B</w:t>
      </w:r>
      <w:r>
        <w:t>adia</w:t>
      </w:r>
      <w:r w:rsidRPr="00353CAC">
        <w:t xml:space="preserve">, </w:t>
      </w:r>
      <w:r>
        <w:t>A</w:t>
      </w:r>
      <w:r w:rsidRPr="00353CAC">
        <w:t>. (2020). </w:t>
      </w:r>
      <w:r w:rsidRPr="00353CAC">
        <w:rPr>
          <w:i/>
          <w:iCs/>
        </w:rPr>
        <w:t>H</w:t>
      </w:r>
      <w:r>
        <w:rPr>
          <w:i/>
          <w:iCs/>
        </w:rPr>
        <w:t xml:space="preserve">ealthcare from the Trenches: </w:t>
      </w:r>
      <w:commentRangeStart w:id="17"/>
      <w:r>
        <w:rPr>
          <w:i/>
          <w:iCs/>
        </w:rPr>
        <w:t xml:space="preserve">An Insider Account of the Complex Barriers </w:t>
      </w:r>
      <w:commentRangeEnd w:id="17"/>
      <w:r w:rsidR="007E2503">
        <w:rPr>
          <w:rStyle w:val="CommentReference"/>
        </w:rPr>
        <w:commentReference w:id="17"/>
      </w:r>
      <w:r>
        <w:rPr>
          <w:i/>
          <w:iCs/>
        </w:rPr>
        <w:t xml:space="preserve">of </w:t>
      </w:r>
      <w:proofErr w:type="gramStart"/>
      <w:r>
        <w:rPr>
          <w:i/>
          <w:iCs/>
        </w:rPr>
        <w:t>the  U.S.</w:t>
      </w:r>
      <w:proofErr w:type="gramEnd"/>
      <w:r>
        <w:rPr>
          <w:i/>
          <w:iCs/>
        </w:rPr>
        <w:t xml:space="preserve"> Healthcare from the Providers and Patients’ Perspective</w:t>
      </w:r>
      <w:r w:rsidRPr="00353CAC">
        <w:t xml:space="preserve">. </w:t>
      </w:r>
      <w:r w:rsidRPr="00F71B8F">
        <w:t>Badia Hand to Shoulder</w:t>
      </w:r>
      <w:r w:rsidRPr="00353CAC">
        <w:t>.</w:t>
      </w:r>
    </w:p>
    <w:p w14:paraId="1C91646C" w14:textId="77777777" w:rsidR="002A07C6" w:rsidRDefault="002A07C6" w:rsidP="002A07C6">
      <w:pPr>
        <w:ind w:hanging="480"/>
        <w:rPr>
          <w:color w:val="0000FF"/>
          <w:u w:val="single"/>
        </w:rPr>
      </w:pPr>
      <w:bookmarkStart w:id="18" w:name="_Hlk165113694"/>
      <w:proofErr w:type="spellStart"/>
      <w:r w:rsidRPr="00BF24A3">
        <w:t>Beyes</w:t>
      </w:r>
      <w:proofErr w:type="spellEnd"/>
      <w:r w:rsidRPr="00BF24A3">
        <w:t xml:space="preserve">, T., &amp; Holt, R. (2020). The Topographical Imagination: Space and organization theory. </w:t>
      </w:r>
      <w:r w:rsidRPr="00BF24A3">
        <w:rPr>
          <w:i/>
          <w:iCs/>
        </w:rPr>
        <w:t>Organization Theory</w:t>
      </w:r>
      <w:r w:rsidRPr="00BF24A3">
        <w:t xml:space="preserve">, </w:t>
      </w:r>
      <w:r w:rsidRPr="00BF24A3">
        <w:rPr>
          <w:i/>
          <w:iCs/>
        </w:rPr>
        <w:t>1</w:t>
      </w:r>
      <w:r w:rsidRPr="00BF24A3">
        <w:t xml:space="preserve">(2), 263178772091388. </w:t>
      </w:r>
      <w:hyperlink r:id="rId11" w:history="1">
        <w:r w:rsidRPr="00BF24A3">
          <w:rPr>
            <w:color w:val="0000FF"/>
            <w:u w:val="single"/>
          </w:rPr>
          <w:t>https://doi.org/10.1177/2631787720913880</w:t>
        </w:r>
      </w:hyperlink>
      <w:bookmarkEnd w:id="18"/>
    </w:p>
    <w:p w14:paraId="10C64938" w14:textId="77777777" w:rsidR="002A07C6" w:rsidRDefault="002A07C6" w:rsidP="002A07C6">
      <w:pPr>
        <w:ind w:hanging="480"/>
        <w:rPr>
          <w:color w:val="0000FF"/>
          <w:u w:val="single"/>
        </w:rPr>
      </w:pPr>
      <w:r w:rsidRPr="001D0C45">
        <w:t xml:space="preserve">Califf, C. B., Sarker, S., &amp; Sarker, S. (2020). The Bright and Dark Sides of Technostress: A Mixed-Methods Study Involving Healthcare IT. </w:t>
      </w:r>
      <w:r w:rsidRPr="001D0C45">
        <w:rPr>
          <w:i/>
          <w:iCs/>
        </w:rPr>
        <w:t>MIS Quarterly</w:t>
      </w:r>
      <w:r w:rsidRPr="001D0C45">
        <w:t xml:space="preserve">, </w:t>
      </w:r>
      <w:r w:rsidRPr="001D0C45">
        <w:rPr>
          <w:i/>
          <w:iCs/>
        </w:rPr>
        <w:t>44</w:t>
      </w:r>
      <w:r w:rsidRPr="001D0C45">
        <w:t xml:space="preserve">(2), 809–856. </w:t>
      </w:r>
      <w:hyperlink r:id="rId12" w:history="1">
        <w:r w:rsidRPr="001D0C45">
          <w:rPr>
            <w:color w:val="0000FF"/>
            <w:u w:val="single"/>
          </w:rPr>
          <w:t>https://doi.org/10.25300/MISQ/2020/14818</w:t>
        </w:r>
      </w:hyperlink>
    </w:p>
    <w:p w14:paraId="60D704D7" w14:textId="6F00FA85" w:rsidR="002D0AE1" w:rsidRDefault="002D0AE1" w:rsidP="002D0AE1">
      <w:pPr>
        <w:ind w:hanging="480"/>
        <w:rPr>
          <w:rStyle w:val="Hyperlink"/>
          <w:color w:val="auto"/>
          <w:u w:val="none"/>
        </w:rPr>
      </w:pPr>
      <w:r w:rsidRPr="003B11F2">
        <w:rPr>
          <w:rStyle w:val="Hyperlink"/>
          <w:color w:val="auto"/>
          <w:u w:val="none"/>
        </w:rPr>
        <w:t>Freud, S., &amp; Strachey, J. (2024</w:t>
      </w:r>
      <w:r w:rsidRPr="002D0AE1">
        <w:rPr>
          <w:rStyle w:val="Hyperlink"/>
          <w:i/>
          <w:iCs/>
          <w:color w:val="auto"/>
          <w:u w:val="none"/>
        </w:rPr>
        <w:t xml:space="preserve">). Group Psychology and the Analysis of the </w:t>
      </w:r>
      <w:proofErr w:type="spellStart"/>
      <w:proofErr w:type="gramStart"/>
      <w:r w:rsidRPr="002D0AE1">
        <w:rPr>
          <w:rStyle w:val="Hyperlink"/>
          <w:i/>
          <w:iCs/>
          <w:color w:val="auto"/>
          <w:u w:val="none"/>
        </w:rPr>
        <w:t>Ego</w:t>
      </w:r>
      <w:r>
        <w:rPr>
          <w:rStyle w:val="Hyperlink"/>
          <w:i/>
          <w:iCs/>
          <w:color w:val="auto"/>
          <w:u w:val="none"/>
        </w:rPr>
        <w:t>:</w:t>
      </w:r>
      <w:r w:rsidRPr="002D0AE1">
        <w:rPr>
          <w:rStyle w:val="Hyperlink"/>
          <w:i/>
          <w:iCs/>
          <w:color w:val="auto"/>
          <w:u w:val="none"/>
        </w:rPr>
        <w:t>Illustrated</w:t>
      </w:r>
      <w:proofErr w:type="spellEnd"/>
      <w:proofErr w:type="gramEnd"/>
      <w:r w:rsidRPr="002D0AE1">
        <w:rPr>
          <w:rStyle w:val="Hyperlink"/>
          <w:i/>
          <w:iCs/>
          <w:color w:val="auto"/>
          <w:u w:val="none"/>
        </w:rPr>
        <w:t xml:space="preserve"> &amp; Psychology Glossary &amp; Index Added Inside</w:t>
      </w:r>
      <w:r w:rsidRPr="003B11F2">
        <w:rPr>
          <w:rStyle w:val="Hyperlink"/>
          <w:color w:val="auto"/>
          <w:u w:val="none"/>
        </w:rPr>
        <w:t>. E-</w:t>
      </w:r>
      <w:proofErr w:type="spellStart"/>
      <w:r w:rsidRPr="003B11F2">
        <w:rPr>
          <w:rStyle w:val="Hyperlink"/>
          <w:color w:val="auto"/>
          <w:u w:val="none"/>
        </w:rPr>
        <w:t>Kitap</w:t>
      </w:r>
      <w:proofErr w:type="spellEnd"/>
      <w:r w:rsidRPr="003B11F2">
        <w:rPr>
          <w:rStyle w:val="Hyperlink"/>
          <w:color w:val="auto"/>
          <w:u w:val="none"/>
        </w:rPr>
        <w:t xml:space="preserve"> </w:t>
      </w:r>
      <w:proofErr w:type="spellStart"/>
      <w:r w:rsidRPr="003B11F2">
        <w:rPr>
          <w:rStyle w:val="Hyperlink"/>
          <w:color w:val="auto"/>
          <w:u w:val="none"/>
        </w:rPr>
        <w:t>Projesi</w:t>
      </w:r>
      <w:proofErr w:type="spellEnd"/>
      <w:r w:rsidRPr="003B11F2">
        <w:rPr>
          <w:rStyle w:val="Hyperlink"/>
          <w:color w:val="auto"/>
          <w:u w:val="none"/>
        </w:rPr>
        <w:t xml:space="preserve"> &amp; Cheapest Books.</w:t>
      </w:r>
    </w:p>
    <w:p w14:paraId="3FEBC585" w14:textId="6671249E" w:rsidR="009767F7" w:rsidRPr="002D0AE1" w:rsidRDefault="009767F7" w:rsidP="002D0AE1">
      <w:pPr>
        <w:ind w:hanging="480"/>
      </w:pPr>
      <w:r w:rsidRPr="009767F7">
        <w:t xml:space="preserve">Levi, D., &amp; </w:t>
      </w:r>
      <w:proofErr w:type="spellStart"/>
      <w:r w:rsidRPr="009767F7">
        <w:t>Askay</w:t>
      </w:r>
      <w:proofErr w:type="spellEnd"/>
      <w:r w:rsidRPr="009767F7">
        <w:t xml:space="preserve">, D. A. (2020). </w:t>
      </w:r>
      <w:r w:rsidRPr="009767F7">
        <w:rPr>
          <w:i/>
          <w:iCs/>
        </w:rPr>
        <w:t>Group Dynamics for Teams.</w:t>
      </w:r>
      <w:r w:rsidRPr="009767F7">
        <w:t xml:space="preserve"> SAGE publications.</w:t>
      </w:r>
    </w:p>
    <w:p w14:paraId="1D940AC5" w14:textId="77777777" w:rsidR="002A07C6" w:rsidRPr="00C5655E" w:rsidRDefault="002A07C6" w:rsidP="002A07C6">
      <w:pPr>
        <w:ind w:hanging="480"/>
      </w:pPr>
      <w:r w:rsidRPr="00743D5B">
        <w:t>Loureiro, R., Ferreira, J. J., &amp; Simões, J. (2023). Understanding healthcare sector organizations from a dynamic capabilities perspective</w:t>
      </w:r>
      <w:r w:rsidRPr="00743D5B">
        <w:rPr>
          <w:i/>
          <w:iCs/>
        </w:rPr>
        <w:t>. European Journal of Innovation Management</w:t>
      </w:r>
      <w:r w:rsidRPr="00743D5B">
        <w:t xml:space="preserve">, 26(2), 588–614. </w:t>
      </w:r>
      <w:hyperlink r:id="rId13" w:history="1">
        <w:r w:rsidRPr="007F2F0E">
          <w:rPr>
            <w:rStyle w:val="Hyperlink"/>
          </w:rPr>
          <w:t>https://doi.org/10.1108/EJIM-02-2021-0085</w:t>
        </w:r>
      </w:hyperlink>
    </w:p>
    <w:p w14:paraId="536DDF3D" w14:textId="77777777" w:rsidR="002A07C6" w:rsidRDefault="002A07C6" w:rsidP="002A07C6">
      <w:pPr>
        <w:ind w:hanging="480"/>
        <w:rPr>
          <w:rStyle w:val="Hyperlink"/>
        </w:rPr>
      </w:pPr>
      <w:bookmarkStart w:id="19" w:name="_Hlk165100603"/>
      <w:r w:rsidRPr="00D43ED3">
        <w:t xml:space="preserve">Nilsen, P., </w:t>
      </w:r>
      <w:proofErr w:type="spellStart"/>
      <w:r w:rsidRPr="00D43ED3">
        <w:t>Seing</w:t>
      </w:r>
      <w:proofErr w:type="spellEnd"/>
      <w:r w:rsidRPr="00D43ED3">
        <w:t xml:space="preserve">, I., Ericsson, C., Birken, S. A., &amp; </w:t>
      </w:r>
      <w:proofErr w:type="spellStart"/>
      <w:r w:rsidRPr="00D43ED3">
        <w:t>Schildmeijer</w:t>
      </w:r>
      <w:proofErr w:type="spellEnd"/>
      <w:r w:rsidRPr="00D43ED3">
        <w:t xml:space="preserve">, K. (2020). Characteristics of successful changes in health care organizations: An interview study with physicians, registered </w:t>
      </w:r>
      <w:proofErr w:type="gramStart"/>
      <w:r w:rsidRPr="00D43ED3">
        <w:t>nurses</w:t>
      </w:r>
      <w:proofErr w:type="gramEnd"/>
      <w:r w:rsidRPr="00D43ED3">
        <w:t xml:space="preserve"> and assistant nurses. BMC Health Services Research, 20(1), 147. </w:t>
      </w:r>
      <w:hyperlink r:id="rId14" w:history="1">
        <w:r w:rsidRPr="007F2F0E">
          <w:rPr>
            <w:rStyle w:val="Hyperlink"/>
          </w:rPr>
          <w:t>https://doi.org/10.1186/s12913-020-4999-8</w:t>
        </w:r>
      </w:hyperlink>
    </w:p>
    <w:p w14:paraId="1BB1F7DD" w14:textId="29AA286F" w:rsidR="002D0AE1" w:rsidRDefault="002D0AE1" w:rsidP="002D0AE1">
      <w:pPr>
        <w:ind w:hanging="480"/>
      </w:pPr>
      <w:r>
        <w:rPr>
          <w:rStyle w:val="Hyperlink"/>
          <w:color w:val="auto"/>
          <w:u w:val="none"/>
        </w:rPr>
        <w:t xml:space="preserve">Simmel, G, Wolff, K. (1950). </w:t>
      </w:r>
      <w:r>
        <w:rPr>
          <w:rStyle w:val="Hyperlink"/>
          <w:i/>
          <w:iCs/>
          <w:color w:val="auto"/>
          <w:u w:val="none"/>
        </w:rPr>
        <w:t>The Sociology of Georg Simmel</w:t>
      </w:r>
      <w:r>
        <w:rPr>
          <w:rStyle w:val="Hyperlink"/>
          <w:color w:val="auto"/>
          <w:u w:val="none"/>
        </w:rPr>
        <w:t>. A Free Press.</w:t>
      </w:r>
    </w:p>
    <w:bookmarkEnd w:id="19"/>
    <w:p w14:paraId="1111D306" w14:textId="509CCDB5" w:rsidR="00AC6AD5" w:rsidRDefault="00AC6AD5" w:rsidP="002A07C6">
      <w:pPr>
        <w:ind w:hanging="480"/>
        <w:rPr>
          <w:rStyle w:val="Hyperlink"/>
          <w:color w:val="auto"/>
          <w:u w:val="none"/>
        </w:rPr>
      </w:pPr>
      <w:r w:rsidRPr="00AC6AD5">
        <w:rPr>
          <w:rStyle w:val="Hyperlink"/>
          <w:color w:val="auto"/>
          <w:u w:val="none"/>
        </w:rPr>
        <w:t xml:space="preserve">Weiss, G., &amp; </w:t>
      </w:r>
      <w:proofErr w:type="spellStart"/>
      <w:r w:rsidRPr="00AC6AD5">
        <w:rPr>
          <w:rStyle w:val="Hyperlink"/>
          <w:color w:val="auto"/>
          <w:u w:val="none"/>
        </w:rPr>
        <w:t>Copelton</w:t>
      </w:r>
      <w:proofErr w:type="spellEnd"/>
      <w:r w:rsidRPr="00AC6AD5">
        <w:rPr>
          <w:rStyle w:val="Hyperlink"/>
          <w:color w:val="auto"/>
          <w:u w:val="none"/>
        </w:rPr>
        <w:t xml:space="preserve">, D. (2020). </w:t>
      </w:r>
      <w:r w:rsidRPr="00AC6AD5">
        <w:rPr>
          <w:rStyle w:val="Hyperlink"/>
          <w:i/>
          <w:iCs/>
          <w:color w:val="auto"/>
          <w:u w:val="none"/>
        </w:rPr>
        <w:t>The Sociology of Health, Healing, and Illness</w:t>
      </w:r>
      <w:r w:rsidRPr="00AC6AD5">
        <w:rPr>
          <w:rStyle w:val="Hyperlink"/>
          <w:color w:val="auto"/>
          <w:u w:val="none"/>
        </w:rPr>
        <w:t>. Routledge.</w:t>
      </w:r>
    </w:p>
    <w:p w14:paraId="0B59B0EA" w14:textId="77777777" w:rsidR="003B11F2" w:rsidRPr="00AC6AD5" w:rsidRDefault="003B11F2" w:rsidP="002A07C6">
      <w:pPr>
        <w:ind w:hanging="480"/>
        <w:rPr>
          <w:rStyle w:val="Hyperlink"/>
          <w:u w:val="none"/>
        </w:rPr>
      </w:pPr>
    </w:p>
    <w:p w14:paraId="0000003D" w14:textId="77777777" w:rsidR="003A0649" w:rsidRDefault="003A0649">
      <w:pPr>
        <w:tabs>
          <w:tab w:val="right" w:pos="8640"/>
          <w:tab w:val="right" w:pos="8640"/>
        </w:tabs>
        <w:spacing w:line="240" w:lineRule="auto"/>
        <w:ind w:firstLine="0"/>
      </w:pPr>
    </w:p>
    <w:sectPr w:rsidR="003A0649">
      <w:head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05-25T08:19:00Z" w:initials="JS">
    <w:p w14:paraId="69EBA488" w14:textId="77777777" w:rsidR="007E2503" w:rsidRDefault="007E2503" w:rsidP="008C23D5">
      <w:r>
        <w:rPr>
          <w:rStyle w:val="CommentReference"/>
        </w:rPr>
        <w:annotationRef/>
      </w:r>
      <w:r>
        <w:rPr>
          <w:color w:val="000000"/>
          <w:sz w:val="20"/>
          <w:szCs w:val="20"/>
        </w:rPr>
        <w:t xml:space="preserve">There are only nine sources in your works cited. </w:t>
      </w:r>
    </w:p>
  </w:comment>
  <w:comment w:id="1" w:author="Jim Strecker" w:date="2024-05-25T07:37:00Z" w:initials="JS">
    <w:p w14:paraId="72435955" w14:textId="76C485FC" w:rsidR="001D4425" w:rsidRDefault="001D4425" w:rsidP="00C07C37">
      <w:r>
        <w:rPr>
          <w:rStyle w:val="CommentReference"/>
        </w:rPr>
        <w:annotationRef/>
      </w:r>
      <w:r>
        <w:rPr>
          <w:color w:val="000000"/>
          <w:sz w:val="20"/>
          <w:szCs w:val="20"/>
        </w:rPr>
        <w:t>Great insight!</w:t>
      </w:r>
    </w:p>
  </w:comment>
  <w:comment w:id="2" w:author="Jim Strecker" w:date="2024-05-25T07:36:00Z" w:initials="JS">
    <w:p w14:paraId="7C1D11D3" w14:textId="3ED4B9B8" w:rsidR="001D4425" w:rsidRDefault="001D4425" w:rsidP="00F96F9C">
      <w:r>
        <w:rPr>
          <w:rStyle w:val="CommentReference"/>
        </w:rPr>
        <w:annotationRef/>
      </w:r>
      <w:r>
        <w:rPr>
          <w:color w:val="000000"/>
          <w:sz w:val="20"/>
          <w:szCs w:val="20"/>
        </w:rPr>
        <w:t>Unclear.</w:t>
      </w:r>
    </w:p>
  </w:comment>
  <w:comment w:id="4" w:author="Jim Strecker" w:date="2024-05-25T07:38:00Z" w:initials="JS">
    <w:p w14:paraId="01E5B000" w14:textId="77777777" w:rsidR="001D4425" w:rsidRDefault="001D4425" w:rsidP="00AC585D">
      <w:r>
        <w:rPr>
          <w:rStyle w:val="CommentReference"/>
        </w:rPr>
        <w:annotationRef/>
      </w:r>
      <w:r>
        <w:rPr>
          <w:color w:val="000000"/>
          <w:sz w:val="20"/>
          <w:szCs w:val="20"/>
        </w:rPr>
        <w:t xml:space="preserve">Borders on a colloquialism. May be difficult to understand by some readers. </w:t>
      </w:r>
    </w:p>
  </w:comment>
  <w:comment w:id="3" w:author="Jim Strecker" w:date="2024-05-25T07:40:00Z" w:initials="JS">
    <w:p w14:paraId="723F3C6A" w14:textId="77777777" w:rsidR="001D4425" w:rsidRDefault="001D4425" w:rsidP="00EF015B">
      <w:r>
        <w:rPr>
          <w:rStyle w:val="CommentReference"/>
        </w:rPr>
        <w:annotationRef/>
      </w:r>
      <w:r>
        <w:rPr>
          <w:color w:val="000000"/>
          <w:sz w:val="20"/>
          <w:szCs w:val="20"/>
        </w:rPr>
        <w:t>Seems to be missing a citation.</w:t>
      </w:r>
    </w:p>
  </w:comment>
  <w:comment w:id="5" w:author="Jim Strecker" w:date="2024-05-25T07:38:00Z" w:initials="JS">
    <w:p w14:paraId="784F802D" w14:textId="02369635" w:rsidR="001D4425" w:rsidRDefault="001D4425" w:rsidP="0021299F">
      <w:r>
        <w:rPr>
          <w:rStyle w:val="CommentReference"/>
        </w:rPr>
        <w:annotationRef/>
      </w:r>
      <w:r>
        <w:rPr>
          <w:color w:val="000000"/>
          <w:sz w:val="20"/>
          <w:szCs w:val="20"/>
        </w:rPr>
        <w:t>unclear</w:t>
      </w:r>
    </w:p>
  </w:comment>
  <w:comment w:id="6" w:author="Jim Strecker" w:date="2024-05-25T07:41:00Z" w:initials="JS">
    <w:p w14:paraId="032D21C2" w14:textId="77777777" w:rsidR="001D4425" w:rsidRDefault="001D4425" w:rsidP="00694277">
      <w:r>
        <w:rPr>
          <w:rStyle w:val="CommentReference"/>
        </w:rPr>
        <w:annotationRef/>
      </w:r>
      <w:r>
        <w:rPr>
          <w:color w:val="000000"/>
          <w:sz w:val="20"/>
          <w:szCs w:val="20"/>
        </w:rPr>
        <w:t xml:space="preserve">Since this is not a truism, you either need to reduce the certainty of your statement or cite your source. </w:t>
      </w:r>
    </w:p>
  </w:comment>
  <w:comment w:id="7" w:author="Jim Strecker" w:date="2024-05-25T07:42:00Z" w:initials="JS">
    <w:p w14:paraId="520CBEC4" w14:textId="77777777" w:rsidR="001D4425" w:rsidRDefault="001D4425" w:rsidP="00D359E2">
      <w:r>
        <w:rPr>
          <w:rStyle w:val="CommentReference"/>
        </w:rPr>
        <w:annotationRef/>
      </w:r>
      <w:r>
        <w:rPr>
          <w:color w:val="000000"/>
          <w:sz w:val="20"/>
          <w:szCs w:val="20"/>
        </w:rPr>
        <w:t>Incomplete sentence.</w:t>
      </w:r>
    </w:p>
  </w:comment>
  <w:comment w:id="8" w:author="Jim Strecker" w:date="2024-05-25T07:45:00Z" w:initials="JS">
    <w:p w14:paraId="524BB39E" w14:textId="77777777" w:rsidR="009A0DF6" w:rsidRDefault="009A0DF6" w:rsidP="004633EC">
      <w:r>
        <w:rPr>
          <w:rStyle w:val="CommentReference"/>
        </w:rPr>
        <w:annotationRef/>
      </w:r>
      <w:r>
        <w:rPr>
          <w:color w:val="000000"/>
          <w:sz w:val="20"/>
          <w:szCs w:val="20"/>
        </w:rPr>
        <w:t xml:space="preserve">Unclear. when you begin a sentence with the word “This” it can refer to more than just the previous sentence. </w:t>
      </w:r>
    </w:p>
  </w:comment>
  <w:comment w:id="9" w:author="Jim Strecker" w:date="2024-05-25T07:48:00Z" w:initials="JS">
    <w:p w14:paraId="2BCF2641" w14:textId="77777777" w:rsidR="009A0DF6" w:rsidRDefault="009A0DF6" w:rsidP="005011D7">
      <w:r>
        <w:rPr>
          <w:rStyle w:val="CommentReference"/>
        </w:rPr>
        <w:annotationRef/>
      </w:r>
      <w:r>
        <w:rPr>
          <w:color w:val="000000"/>
          <w:sz w:val="20"/>
          <w:szCs w:val="20"/>
        </w:rPr>
        <w:t>New paragraph.</w:t>
      </w:r>
    </w:p>
  </w:comment>
  <w:comment w:id="10" w:author="Jim Strecker" w:date="2024-05-25T07:47:00Z" w:initials="JS">
    <w:p w14:paraId="413AC741" w14:textId="270C71D3" w:rsidR="009A0DF6" w:rsidRDefault="009A0DF6" w:rsidP="00744536">
      <w:r>
        <w:rPr>
          <w:rStyle w:val="CommentReference"/>
        </w:rPr>
        <w:annotationRef/>
      </w:r>
      <w:r>
        <w:rPr>
          <w:color w:val="000000"/>
          <w:sz w:val="20"/>
          <w:szCs w:val="20"/>
        </w:rPr>
        <w:t>Increase clarity by ending the sentence introducing HIT with the its introduction. Then in the next sentence, define HIT.</w:t>
      </w:r>
    </w:p>
  </w:comment>
  <w:comment w:id="11" w:author="Jim Strecker" w:date="2024-05-25T07:49:00Z" w:initials="JS">
    <w:p w14:paraId="23777921" w14:textId="77777777" w:rsidR="009A0DF6" w:rsidRDefault="009A0DF6" w:rsidP="00B208C5">
      <w:r>
        <w:rPr>
          <w:rStyle w:val="CommentReference"/>
        </w:rPr>
        <w:annotationRef/>
      </w:r>
      <w:r>
        <w:rPr>
          <w:color w:val="000000"/>
          <w:sz w:val="20"/>
          <w:szCs w:val="20"/>
        </w:rPr>
        <w:t>Great job. You introduced a problem and used group dynamics to offer a solution!</w:t>
      </w:r>
    </w:p>
  </w:comment>
  <w:comment w:id="12" w:author="Jim Strecker" w:date="2024-05-25T07:56:00Z" w:initials="JS">
    <w:p w14:paraId="41DC97FA" w14:textId="77777777" w:rsidR="00652428" w:rsidRDefault="00652428" w:rsidP="00D73C82">
      <w:r>
        <w:rPr>
          <w:rStyle w:val="CommentReference"/>
        </w:rPr>
        <w:annotationRef/>
      </w:r>
      <w:r>
        <w:rPr>
          <w:color w:val="000000"/>
          <w:sz w:val="20"/>
          <w:szCs w:val="20"/>
        </w:rPr>
        <w:t xml:space="preserve">Unclear. </w:t>
      </w:r>
    </w:p>
  </w:comment>
  <w:comment w:id="13" w:author="Jim Strecker" w:date="2024-05-25T08:00:00Z" w:initials="JS">
    <w:p w14:paraId="506C0368" w14:textId="77777777" w:rsidR="00E31369" w:rsidRDefault="00E31369" w:rsidP="009E5F2F">
      <w:r>
        <w:rPr>
          <w:rStyle w:val="CommentReference"/>
        </w:rPr>
        <w:annotationRef/>
      </w:r>
      <w:r>
        <w:rPr>
          <w:color w:val="000000"/>
          <w:sz w:val="20"/>
          <w:szCs w:val="20"/>
        </w:rPr>
        <w:t>For improved clarity and strength, make this sentence stand alone and cited with Nilsen et al., 2020. Then follow with your quote Nilsen et al., and check APA style on when and how to use a book quote.</w:t>
      </w:r>
    </w:p>
  </w:comment>
  <w:comment w:id="14" w:author="Jim Strecker" w:date="2024-05-25T08:01:00Z" w:initials="JS">
    <w:p w14:paraId="7CB93DE1" w14:textId="77777777" w:rsidR="00E31369" w:rsidRDefault="00E31369" w:rsidP="00723FAC">
      <w:r>
        <w:rPr>
          <w:rStyle w:val="CommentReference"/>
        </w:rPr>
        <w:annotationRef/>
      </w:r>
      <w:r>
        <w:rPr>
          <w:color w:val="000000"/>
          <w:sz w:val="20"/>
          <w:szCs w:val="20"/>
        </w:rPr>
        <w:t xml:space="preserve">Unclear how spatial features fit in with the rest of the paragraph. </w:t>
      </w:r>
    </w:p>
  </w:comment>
  <w:comment w:id="15" w:author="Jim Strecker" w:date="2024-05-25T08:04:00Z" w:initials="JS">
    <w:p w14:paraId="55691E96" w14:textId="77777777" w:rsidR="00E31369" w:rsidRDefault="00E31369" w:rsidP="00AB10AB">
      <w:r>
        <w:rPr>
          <w:rStyle w:val="CommentReference"/>
        </w:rPr>
        <w:annotationRef/>
      </w:r>
      <w:r>
        <w:rPr>
          <w:color w:val="000000"/>
          <w:sz w:val="20"/>
          <w:szCs w:val="20"/>
        </w:rPr>
        <w:t xml:space="preserve">Unclear. Please make a note for future writing that generally you should not begin a sentence with “this” as it lacks clarity and weakens the strength of your work. </w:t>
      </w:r>
    </w:p>
  </w:comment>
  <w:comment w:id="16" w:author="Jim Strecker" w:date="2024-05-25T08:14:00Z" w:initials="JS">
    <w:p w14:paraId="301CECE8" w14:textId="77777777" w:rsidR="007E2503" w:rsidRDefault="007E2503" w:rsidP="00677B59">
      <w:r>
        <w:rPr>
          <w:rStyle w:val="CommentReference"/>
        </w:rPr>
        <w:annotationRef/>
      </w:r>
      <w:r>
        <w:rPr>
          <w:color w:val="000000"/>
          <w:sz w:val="20"/>
          <w:szCs w:val="20"/>
        </w:rPr>
        <w:t xml:space="preserve">As a reader I was surprised that I was already in the conclusion. Based on your conclusion, the thesis of this essay should be something like, ‘Organizations within the healthcare industry are struggling with many different changes; implementing a group dynamics approach recognizes the social nature of individuals and may provide solutions for the problems facing the organizations of the healthcare industry.’ </w:t>
      </w:r>
    </w:p>
  </w:comment>
  <w:comment w:id="17" w:author="Jim Strecker" w:date="2024-05-25T08:17:00Z" w:initials="JS">
    <w:p w14:paraId="5CF9EF76" w14:textId="77777777" w:rsidR="007E2503" w:rsidRDefault="007E2503" w:rsidP="00755518">
      <w:r>
        <w:rPr>
          <w:rStyle w:val="CommentReference"/>
        </w:rPr>
        <w:annotationRef/>
      </w:r>
      <w:r>
        <w:rPr>
          <w:color w:val="000000"/>
          <w:sz w:val="20"/>
          <w:szCs w:val="20"/>
        </w:rPr>
        <w:t>Incorrect APA 7 Style. You need to check your APA 7 style. Capitalization is a problem throughout your works cited, I will only note it here, but I encourage you to edit the entire Works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BA488" w15:done="0"/>
  <w15:commentEx w15:paraId="72435955" w15:done="0"/>
  <w15:commentEx w15:paraId="7C1D11D3" w15:done="0"/>
  <w15:commentEx w15:paraId="01E5B000" w15:done="0"/>
  <w15:commentEx w15:paraId="723F3C6A" w15:done="0"/>
  <w15:commentEx w15:paraId="784F802D" w15:done="0"/>
  <w15:commentEx w15:paraId="032D21C2" w15:done="0"/>
  <w15:commentEx w15:paraId="520CBEC4" w15:done="0"/>
  <w15:commentEx w15:paraId="524BB39E" w15:done="0"/>
  <w15:commentEx w15:paraId="2BCF2641" w15:done="0"/>
  <w15:commentEx w15:paraId="413AC741" w15:done="0"/>
  <w15:commentEx w15:paraId="23777921" w15:done="0"/>
  <w15:commentEx w15:paraId="41DC97FA" w15:done="0"/>
  <w15:commentEx w15:paraId="506C0368" w15:done="0"/>
  <w15:commentEx w15:paraId="7CB93DE1" w15:done="0"/>
  <w15:commentEx w15:paraId="55691E96" w15:done="0"/>
  <w15:commentEx w15:paraId="301CECE8" w15:done="0"/>
  <w15:commentEx w15:paraId="5CF9EF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C1D83" w16cex:dateUtc="2024-05-25T13:19:00Z"/>
  <w16cex:commentExtensible w16cex:durableId="29FC13B2" w16cex:dateUtc="2024-05-25T12:37:00Z"/>
  <w16cex:commentExtensible w16cex:durableId="29FC1366" w16cex:dateUtc="2024-05-25T12:36:00Z"/>
  <w16cex:commentExtensible w16cex:durableId="29FC13E4" w16cex:dateUtc="2024-05-25T12:38:00Z"/>
  <w16cex:commentExtensible w16cex:durableId="29FC146D" w16cex:dateUtc="2024-05-25T12:40:00Z"/>
  <w16cex:commentExtensible w16cex:durableId="29FC140A" w16cex:dateUtc="2024-05-25T12:38:00Z"/>
  <w16cex:commentExtensible w16cex:durableId="29FC14BC" w16cex:dateUtc="2024-05-25T12:41:00Z"/>
  <w16cex:commentExtensible w16cex:durableId="29FC14D9" w16cex:dateUtc="2024-05-25T12:42:00Z"/>
  <w16cex:commentExtensible w16cex:durableId="29FC157C" w16cex:dateUtc="2024-05-25T12:45:00Z"/>
  <w16cex:commentExtensible w16cex:durableId="29FC1638" w16cex:dateUtc="2024-05-25T12:48:00Z"/>
  <w16cex:commentExtensible w16cex:durableId="29FC1616" w16cex:dateUtc="2024-05-25T12:47:00Z"/>
  <w16cex:commentExtensible w16cex:durableId="29FC1695" w16cex:dateUtc="2024-05-25T12:49:00Z"/>
  <w16cex:commentExtensible w16cex:durableId="29FC183A" w16cex:dateUtc="2024-05-25T12:56:00Z"/>
  <w16cex:commentExtensible w16cex:durableId="29FC1900" w16cex:dateUtc="2024-05-25T13:00:00Z"/>
  <w16cex:commentExtensible w16cex:durableId="29FC1966" w16cex:dateUtc="2024-05-25T13:01:00Z"/>
  <w16cex:commentExtensible w16cex:durableId="29FC19F5" w16cex:dateUtc="2024-05-25T13:04:00Z"/>
  <w16cex:commentExtensible w16cex:durableId="29FC1C4E" w16cex:dateUtc="2024-05-25T13:14:00Z"/>
  <w16cex:commentExtensible w16cex:durableId="29FC1D18" w16cex:dateUtc="2024-05-2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BA488" w16cid:durableId="29FC1D83"/>
  <w16cid:commentId w16cid:paraId="72435955" w16cid:durableId="29FC13B2"/>
  <w16cid:commentId w16cid:paraId="7C1D11D3" w16cid:durableId="29FC1366"/>
  <w16cid:commentId w16cid:paraId="01E5B000" w16cid:durableId="29FC13E4"/>
  <w16cid:commentId w16cid:paraId="723F3C6A" w16cid:durableId="29FC146D"/>
  <w16cid:commentId w16cid:paraId="784F802D" w16cid:durableId="29FC140A"/>
  <w16cid:commentId w16cid:paraId="032D21C2" w16cid:durableId="29FC14BC"/>
  <w16cid:commentId w16cid:paraId="520CBEC4" w16cid:durableId="29FC14D9"/>
  <w16cid:commentId w16cid:paraId="524BB39E" w16cid:durableId="29FC157C"/>
  <w16cid:commentId w16cid:paraId="2BCF2641" w16cid:durableId="29FC1638"/>
  <w16cid:commentId w16cid:paraId="413AC741" w16cid:durableId="29FC1616"/>
  <w16cid:commentId w16cid:paraId="23777921" w16cid:durableId="29FC1695"/>
  <w16cid:commentId w16cid:paraId="41DC97FA" w16cid:durableId="29FC183A"/>
  <w16cid:commentId w16cid:paraId="506C0368" w16cid:durableId="29FC1900"/>
  <w16cid:commentId w16cid:paraId="7CB93DE1" w16cid:durableId="29FC1966"/>
  <w16cid:commentId w16cid:paraId="55691E96" w16cid:durableId="29FC19F5"/>
  <w16cid:commentId w16cid:paraId="301CECE8" w16cid:durableId="29FC1C4E"/>
  <w16cid:commentId w16cid:paraId="5CF9EF76" w16cid:durableId="29FC1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EF3D" w14:textId="77777777" w:rsidR="00EB1E76" w:rsidRDefault="00EB1E76">
      <w:pPr>
        <w:spacing w:line="240" w:lineRule="auto"/>
      </w:pPr>
      <w:r>
        <w:separator/>
      </w:r>
    </w:p>
  </w:endnote>
  <w:endnote w:type="continuationSeparator" w:id="0">
    <w:p w14:paraId="0BDA87AC" w14:textId="77777777" w:rsidR="00EB1E76" w:rsidRDefault="00EB1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897B" w14:textId="77777777" w:rsidR="00EB1E76" w:rsidRDefault="00EB1E76">
      <w:pPr>
        <w:spacing w:line="240" w:lineRule="auto"/>
      </w:pPr>
      <w:r>
        <w:separator/>
      </w:r>
    </w:p>
  </w:footnote>
  <w:footnote w:type="continuationSeparator" w:id="0">
    <w:p w14:paraId="7F07B522" w14:textId="77777777" w:rsidR="00EB1E76" w:rsidRDefault="00EB1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457075"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Derrick Snow, LDR-81</w:t>
    </w:r>
    <w:r w:rsidR="007222CC">
      <w:rPr>
        <w:sz w:val="20"/>
        <w:szCs w:val="20"/>
      </w:rPr>
      <w:t>3</w:t>
    </w:r>
    <w:r w:rsidRPr="00573DEB">
      <w:rPr>
        <w:sz w:val="20"/>
        <w:szCs w:val="20"/>
      </w:rPr>
      <w:t xml:space="preserve">, </w:t>
    </w:r>
    <w:r w:rsidR="007222CC" w:rsidRPr="007222CC">
      <w:rPr>
        <w:sz w:val="20"/>
        <w:szCs w:val="20"/>
      </w:rPr>
      <w:t>Organizational Dynamics</w:t>
    </w:r>
    <w:r w:rsidRPr="00573DEB">
      <w:rPr>
        <w:sz w:val="20"/>
        <w:szCs w:val="20"/>
      </w:rPr>
      <w:t>, Assignment #</w:t>
    </w:r>
    <w:r>
      <w:rPr>
        <w:sz w:val="20"/>
        <w:szCs w:val="20"/>
      </w:rPr>
      <w:t>3</w:t>
    </w:r>
    <w:r w:rsidRPr="00573DEB">
      <w:rPr>
        <w:sz w:val="20"/>
        <w:szCs w:val="20"/>
      </w:rPr>
      <w:t>, 0</w:t>
    </w:r>
    <w:r>
      <w:rPr>
        <w:sz w:val="20"/>
        <w:szCs w:val="20"/>
      </w:rPr>
      <w:t>5</w:t>
    </w:r>
    <w:r w:rsidRPr="00573DEB">
      <w:rPr>
        <w:sz w:val="20"/>
        <w:szCs w:val="20"/>
      </w:rPr>
      <w:t>/</w:t>
    </w:r>
    <w:r>
      <w:rPr>
        <w:sz w:val="20"/>
        <w:szCs w:val="20"/>
      </w:rPr>
      <w:t>1</w:t>
    </w:r>
    <w:r w:rsidR="00B157E4">
      <w:rPr>
        <w:sz w:val="20"/>
        <w:szCs w:val="20"/>
      </w:rPr>
      <w:t>9</w:t>
    </w:r>
    <w:r w:rsidRPr="00573DEB">
      <w:rPr>
        <w:sz w:val="20"/>
        <w:szCs w:val="20"/>
      </w:rPr>
      <w:t>/2024</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3068"/>
    <w:rsid w:val="00021A17"/>
    <w:rsid w:val="000307E3"/>
    <w:rsid w:val="000323BF"/>
    <w:rsid w:val="00044157"/>
    <w:rsid w:val="00044A76"/>
    <w:rsid w:val="00050948"/>
    <w:rsid w:val="0005202D"/>
    <w:rsid w:val="00054A74"/>
    <w:rsid w:val="00056B6E"/>
    <w:rsid w:val="000738A5"/>
    <w:rsid w:val="000B29FC"/>
    <w:rsid w:val="000B6CA4"/>
    <w:rsid w:val="000D20A6"/>
    <w:rsid w:val="000E11EA"/>
    <w:rsid w:val="000E6C92"/>
    <w:rsid w:val="000F5EA1"/>
    <w:rsid w:val="001025F9"/>
    <w:rsid w:val="00102C31"/>
    <w:rsid w:val="001038FA"/>
    <w:rsid w:val="0010470E"/>
    <w:rsid w:val="00106022"/>
    <w:rsid w:val="00124F6D"/>
    <w:rsid w:val="001318F5"/>
    <w:rsid w:val="001460B8"/>
    <w:rsid w:val="00150D10"/>
    <w:rsid w:val="00153291"/>
    <w:rsid w:val="00197B13"/>
    <w:rsid w:val="001A0B78"/>
    <w:rsid w:val="001B2886"/>
    <w:rsid w:val="001B46F8"/>
    <w:rsid w:val="001D0DC3"/>
    <w:rsid w:val="001D4425"/>
    <w:rsid w:val="001E027B"/>
    <w:rsid w:val="001F0886"/>
    <w:rsid w:val="0021469B"/>
    <w:rsid w:val="0021777F"/>
    <w:rsid w:val="002272E4"/>
    <w:rsid w:val="002329EB"/>
    <w:rsid w:val="002353EF"/>
    <w:rsid w:val="0025636D"/>
    <w:rsid w:val="0028003E"/>
    <w:rsid w:val="0028100D"/>
    <w:rsid w:val="00285106"/>
    <w:rsid w:val="002A07C6"/>
    <w:rsid w:val="002D0AE1"/>
    <w:rsid w:val="002E5811"/>
    <w:rsid w:val="00301598"/>
    <w:rsid w:val="00302AEF"/>
    <w:rsid w:val="003149C2"/>
    <w:rsid w:val="00323915"/>
    <w:rsid w:val="00344E5D"/>
    <w:rsid w:val="00347BC6"/>
    <w:rsid w:val="00364885"/>
    <w:rsid w:val="00374991"/>
    <w:rsid w:val="00397A22"/>
    <w:rsid w:val="003A047C"/>
    <w:rsid w:val="003A0649"/>
    <w:rsid w:val="003A745E"/>
    <w:rsid w:val="003B11F2"/>
    <w:rsid w:val="003B67D0"/>
    <w:rsid w:val="003C6C16"/>
    <w:rsid w:val="003F6D2F"/>
    <w:rsid w:val="004004A2"/>
    <w:rsid w:val="00402473"/>
    <w:rsid w:val="00424EA3"/>
    <w:rsid w:val="004B5C62"/>
    <w:rsid w:val="004B67D0"/>
    <w:rsid w:val="004C2F8B"/>
    <w:rsid w:val="004D08EC"/>
    <w:rsid w:val="004D4DC8"/>
    <w:rsid w:val="00524D14"/>
    <w:rsid w:val="005300EA"/>
    <w:rsid w:val="005643EB"/>
    <w:rsid w:val="00573DEB"/>
    <w:rsid w:val="005B6756"/>
    <w:rsid w:val="005C3302"/>
    <w:rsid w:val="005C3CE5"/>
    <w:rsid w:val="005E6D77"/>
    <w:rsid w:val="00603A3B"/>
    <w:rsid w:val="00615C15"/>
    <w:rsid w:val="006277A9"/>
    <w:rsid w:val="00641398"/>
    <w:rsid w:val="006468C5"/>
    <w:rsid w:val="00652428"/>
    <w:rsid w:val="00653CCC"/>
    <w:rsid w:val="006626CB"/>
    <w:rsid w:val="00663C55"/>
    <w:rsid w:val="00666343"/>
    <w:rsid w:val="0067647B"/>
    <w:rsid w:val="00681DB2"/>
    <w:rsid w:val="006A2661"/>
    <w:rsid w:val="006C1B2E"/>
    <w:rsid w:val="006C61BA"/>
    <w:rsid w:val="006F6724"/>
    <w:rsid w:val="006F70AB"/>
    <w:rsid w:val="00712C61"/>
    <w:rsid w:val="00721B9D"/>
    <w:rsid w:val="007222CC"/>
    <w:rsid w:val="007258CF"/>
    <w:rsid w:val="0073266D"/>
    <w:rsid w:val="00744D69"/>
    <w:rsid w:val="00763765"/>
    <w:rsid w:val="007661F6"/>
    <w:rsid w:val="00767CB7"/>
    <w:rsid w:val="00770BD0"/>
    <w:rsid w:val="007860EA"/>
    <w:rsid w:val="007A25B5"/>
    <w:rsid w:val="007B5E15"/>
    <w:rsid w:val="007C0DE4"/>
    <w:rsid w:val="007C4632"/>
    <w:rsid w:val="007D3378"/>
    <w:rsid w:val="007E2503"/>
    <w:rsid w:val="007E6277"/>
    <w:rsid w:val="007F309F"/>
    <w:rsid w:val="008136CA"/>
    <w:rsid w:val="008168FB"/>
    <w:rsid w:val="00820DC4"/>
    <w:rsid w:val="00824273"/>
    <w:rsid w:val="00824F98"/>
    <w:rsid w:val="00867DCE"/>
    <w:rsid w:val="0087777D"/>
    <w:rsid w:val="008B1F8C"/>
    <w:rsid w:val="008B3ADC"/>
    <w:rsid w:val="008E4241"/>
    <w:rsid w:val="008E6CA8"/>
    <w:rsid w:val="008E7074"/>
    <w:rsid w:val="008F1CA4"/>
    <w:rsid w:val="009056A7"/>
    <w:rsid w:val="00915AD9"/>
    <w:rsid w:val="00937C0B"/>
    <w:rsid w:val="00964E5D"/>
    <w:rsid w:val="00974C12"/>
    <w:rsid w:val="009767F7"/>
    <w:rsid w:val="00986349"/>
    <w:rsid w:val="009945E1"/>
    <w:rsid w:val="009965C2"/>
    <w:rsid w:val="009A0DF6"/>
    <w:rsid w:val="009A0F49"/>
    <w:rsid w:val="009A11D3"/>
    <w:rsid w:val="009A4E73"/>
    <w:rsid w:val="009A7233"/>
    <w:rsid w:val="009B578F"/>
    <w:rsid w:val="009D61F7"/>
    <w:rsid w:val="009D6702"/>
    <w:rsid w:val="009E1914"/>
    <w:rsid w:val="00A13C91"/>
    <w:rsid w:val="00A27CCE"/>
    <w:rsid w:val="00A516E2"/>
    <w:rsid w:val="00A55368"/>
    <w:rsid w:val="00AA583F"/>
    <w:rsid w:val="00AB0500"/>
    <w:rsid w:val="00AC1287"/>
    <w:rsid w:val="00AC23C1"/>
    <w:rsid w:val="00AC6AD5"/>
    <w:rsid w:val="00AE5255"/>
    <w:rsid w:val="00AF0B6A"/>
    <w:rsid w:val="00AF1480"/>
    <w:rsid w:val="00B03EFB"/>
    <w:rsid w:val="00B12290"/>
    <w:rsid w:val="00B157E4"/>
    <w:rsid w:val="00B2728E"/>
    <w:rsid w:val="00B303B0"/>
    <w:rsid w:val="00B469BB"/>
    <w:rsid w:val="00B55D98"/>
    <w:rsid w:val="00B5657D"/>
    <w:rsid w:val="00B614E7"/>
    <w:rsid w:val="00B774C6"/>
    <w:rsid w:val="00B8339A"/>
    <w:rsid w:val="00B84316"/>
    <w:rsid w:val="00B9633B"/>
    <w:rsid w:val="00BA558D"/>
    <w:rsid w:val="00BB1C50"/>
    <w:rsid w:val="00BD6777"/>
    <w:rsid w:val="00BE4580"/>
    <w:rsid w:val="00BF272E"/>
    <w:rsid w:val="00C05324"/>
    <w:rsid w:val="00C15C87"/>
    <w:rsid w:val="00C20FDD"/>
    <w:rsid w:val="00C26D10"/>
    <w:rsid w:val="00C27004"/>
    <w:rsid w:val="00C83546"/>
    <w:rsid w:val="00C9145A"/>
    <w:rsid w:val="00CA3597"/>
    <w:rsid w:val="00CB091E"/>
    <w:rsid w:val="00CB2285"/>
    <w:rsid w:val="00CC62E5"/>
    <w:rsid w:val="00CF0FFC"/>
    <w:rsid w:val="00CF29B7"/>
    <w:rsid w:val="00D03A19"/>
    <w:rsid w:val="00D0465B"/>
    <w:rsid w:val="00D35188"/>
    <w:rsid w:val="00D35D11"/>
    <w:rsid w:val="00D37302"/>
    <w:rsid w:val="00D50A6B"/>
    <w:rsid w:val="00D52B91"/>
    <w:rsid w:val="00D654FD"/>
    <w:rsid w:val="00D73EDA"/>
    <w:rsid w:val="00D75CB7"/>
    <w:rsid w:val="00D77E4E"/>
    <w:rsid w:val="00D82268"/>
    <w:rsid w:val="00D86292"/>
    <w:rsid w:val="00D9557E"/>
    <w:rsid w:val="00DC1F1B"/>
    <w:rsid w:val="00DC31E4"/>
    <w:rsid w:val="00DC6152"/>
    <w:rsid w:val="00DC68A4"/>
    <w:rsid w:val="00DD2686"/>
    <w:rsid w:val="00E00FE1"/>
    <w:rsid w:val="00E303E9"/>
    <w:rsid w:val="00E31369"/>
    <w:rsid w:val="00E46D56"/>
    <w:rsid w:val="00E549B5"/>
    <w:rsid w:val="00E70A5E"/>
    <w:rsid w:val="00E75F18"/>
    <w:rsid w:val="00E97AD4"/>
    <w:rsid w:val="00EB1E76"/>
    <w:rsid w:val="00EB63CA"/>
    <w:rsid w:val="00ED3DEC"/>
    <w:rsid w:val="00EE3CF2"/>
    <w:rsid w:val="00EF175E"/>
    <w:rsid w:val="00F503A0"/>
    <w:rsid w:val="00F62193"/>
    <w:rsid w:val="00F66DCA"/>
    <w:rsid w:val="00F76B84"/>
    <w:rsid w:val="00F9242C"/>
    <w:rsid w:val="00FA4031"/>
    <w:rsid w:val="00FA7567"/>
    <w:rsid w:val="00FB4789"/>
    <w:rsid w:val="00FB54AD"/>
    <w:rsid w:val="00FB7226"/>
    <w:rsid w:val="00FE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08/EJIM-02-2021-00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25300/MISQ/2020/14818"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2631787720913880"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86/s12913-020-49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2024-05-25T13:19:00Z</dcterms:created>
  <dcterms:modified xsi:type="dcterms:W3CDTF">2024-05-25T13:19:00Z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