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t xml:space="preserve">SR 950-32: Clinical and Applied Sociology (Spring 2024)</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t xml:space="preserve">Assignment #2</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Grace Godfrey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Date (February 25, 2021)</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t xml:space="preserve"> Professor: Dr. Joshua Reichard</w:t>
      </w:r>
    </w:p>
    <w:p w:rsidR="00000000" w:rsidDel="00000000" w:rsidP="00000000" w:rsidRDefault="00000000" w:rsidRPr="00000000" w14:paraId="0000001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t xml:space="preserve">Essential Element </w:t>
      </w:r>
    </w:p>
    <w:p w:rsidR="00000000" w:rsidDel="00000000" w:rsidP="00000000" w:rsidRDefault="00000000" w:rsidRPr="00000000" w14:paraId="00000020">
      <w:pPr>
        <w:pageBreakBefore w:val="0"/>
        <w:tabs>
          <w:tab w:val="right" w:leader="none" w:pos="8640"/>
          <w:tab w:val="right" w:leader="none" w:pos="8640"/>
          <w:tab w:val="right" w:leader="none" w:pos="8640"/>
        </w:tabs>
        <w:rPr>
          <w:b w:val="1"/>
        </w:rPr>
      </w:pPr>
      <w:r w:rsidDel="00000000" w:rsidR="00000000" w:rsidRPr="00000000">
        <w:rPr>
          <w:b w:val="1"/>
          <w:rtl w:val="0"/>
        </w:rPr>
        <w:t xml:space="preserve">Applied Sociology and Sociological Practice</w:t>
      </w:r>
    </w:p>
    <w:p w:rsidR="00000000" w:rsidDel="00000000" w:rsidP="00000000" w:rsidRDefault="00000000" w:rsidRPr="00000000" w14:paraId="00000021">
      <w:pPr>
        <w:tabs>
          <w:tab w:val="right" w:leader="none" w:pos="8640"/>
          <w:tab w:val="right" w:leader="none" w:pos="8640"/>
          <w:tab w:val="right" w:leader="none" w:pos="8640"/>
        </w:tabs>
        <w:rPr/>
      </w:pPr>
      <w:r w:rsidDel="00000000" w:rsidR="00000000" w:rsidRPr="00000000">
        <w:rPr>
          <w:rtl w:val="0"/>
        </w:rPr>
        <w:t xml:space="preserve">According to the research, </w:t>
      </w:r>
      <w:r w:rsidDel="00000000" w:rsidR="00000000" w:rsidRPr="00000000">
        <w:rPr>
          <w:rtl w:val="0"/>
        </w:rPr>
        <w:t xml:space="preserve">when theology and social science are viewed as equally collective, human, interpretive enterprises can not mere conversation, but true dialogue occurs. For a conversation to be a dialogue, the research says that each party must fully recognize the other as equal, place self at stake, be open to truth and seek fusion as Hiebert, D. (2023) quoted (Gadamer 2000). And continued that refusal to do so is simply will to mastery. Dialogues, he argued, must remain in the present and ongoing, neither totalizing nor capitulating, each holding the other accountable, and thereby providing a system of epistemic checks and balances. For truly, the social sciences are at the bottom “no more than narrated interpretations of reality which possess no privileged status permitting them to judge or police others.</w:t>
      </w:r>
    </w:p>
    <w:p w:rsidR="00000000" w:rsidDel="00000000" w:rsidP="00000000" w:rsidRDefault="00000000" w:rsidRPr="00000000" w14:paraId="00000022">
      <w:pPr>
        <w:tabs>
          <w:tab w:val="right" w:leader="none" w:pos="8640"/>
          <w:tab w:val="right" w:leader="none" w:pos="8640"/>
          <w:tab w:val="right" w:leader="none" w:pos="8640"/>
        </w:tabs>
        <w:rPr/>
      </w:pPr>
      <w:r w:rsidDel="00000000" w:rsidR="00000000" w:rsidRPr="00000000">
        <w:rPr>
          <w:rtl w:val="0"/>
        </w:rPr>
        <w:t xml:space="preserve">Furthermore, author Jonathan H. Turner of The American Sociologist argued that the chance for sociology to use its vast store of knowledge to help clients of all types solve their organizational problems will be lost if sociology is defined as a political rather than scientific enterprise. Sociology will thus willingly leave the vast resource niche for applications of social science knowledge to disciplines that know little about social organization. Thus he shows that social science knowledge is to be promoted.  </w:t>
      </w:r>
    </w:p>
    <w:p w:rsidR="00000000" w:rsidDel="00000000" w:rsidP="00000000" w:rsidRDefault="00000000" w:rsidRPr="00000000" w14:paraId="00000023">
      <w:pPr>
        <w:tabs>
          <w:tab w:val="right" w:leader="none" w:pos="8640"/>
          <w:tab w:val="right" w:leader="none" w:pos="8640"/>
          <w:tab w:val="right" w:leader="none" w:pos="8640"/>
        </w:tabs>
        <w:rPr/>
      </w:pPr>
      <w:r w:rsidDel="00000000" w:rsidR="00000000" w:rsidRPr="00000000">
        <w:rPr>
          <w:rtl w:val="0"/>
        </w:rPr>
        <w:t xml:space="preserve">Oo Abdul Rohmanand's peers ' findings are that religion and sociology are two fields that are inherently linked to human social life. Religion is an integral part of the lives of many individuals and societies around the world, influencing actions, values, norms, and social structures. On the other hand, sociology is the study of social interaction, social institutions, and social change in society. Both influence each other and form complex social dynamics. The purpose of this study is to investigate the interaction between religion and sociology, with a focus on conflict and social change, and how hadith views these matters.</w:t>
      </w:r>
    </w:p>
    <w:p w:rsidR="00000000" w:rsidDel="00000000" w:rsidP="00000000" w:rsidRDefault="00000000" w:rsidRPr="00000000" w14:paraId="00000024">
      <w:pPr>
        <w:tabs>
          <w:tab w:val="right" w:leader="none" w:pos="8640"/>
          <w:tab w:val="right" w:leader="none" w:pos="8640"/>
          <w:tab w:val="right" w:leader="none" w:pos="8640"/>
        </w:tabs>
        <w:rPr/>
      </w:pPr>
      <w:r w:rsidDel="00000000" w:rsidR="00000000" w:rsidRPr="00000000">
        <w:rPr>
          <w:b w:val="1"/>
          <w:rtl w:val="0"/>
        </w:rPr>
        <w:t xml:space="preserve">Conclusion</w:t>
      </w:r>
      <w:r w:rsidDel="00000000" w:rsidR="00000000" w:rsidRPr="00000000">
        <w:rPr>
          <w:rtl w:val="0"/>
        </w:rPr>
        <w:t xml:space="preserve"> </w:t>
      </w:r>
    </w:p>
    <w:p w:rsidR="00000000" w:rsidDel="00000000" w:rsidP="00000000" w:rsidRDefault="00000000" w:rsidRPr="00000000" w14:paraId="00000025">
      <w:pPr>
        <w:tabs>
          <w:tab w:val="right" w:leader="none" w:pos="8640"/>
          <w:tab w:val="right" w:leader="none" w:pos="8640"/>
          <w:tab w:val="right" w:leader="none" w:pos="8640"/>
        </w:tabs>
        <w:rPr/>
      </w:pPr>
      <w:r w:rsidDel="00000000" w:rsidR="00000000" w:rsidRPr="00000000">
        <w:rPr>
          <w:rtl w:val="0"/>
        </w:rPr>
        <w:t xml:space="preserve">Beatrice of Jesus’ Social Program, Thursday,  May 7, 2020, commented on her paper that occasionally individuals who have broken free from the prevailing culture can allow others to be free. If they can come together, they can form a community that welcomes newcomers and grows. Their cooperative lifestyle makes for stronger community unity than the selfishness, suspicion, competition, and hostility of the lifestyle they have left behind.</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Style w:val="Heading1"/>
        <w:tabs>
          <w:tab w:val="right" w:leader="none" w:pos="8640"/>
          <w:tab w:val="right" w:leader="none" w:pos="8640"/>
          <w:tab w:val="right" w:leader="none" w:pos="8640"/>
        </w:tabs>
        <w:rPr/>
      </w:pPr>
      <w:bookmarkStart w:colFirst="0" w:colLast="0" w:name="_khx22847zcrx" w:id="0"/>
      <w:bookmarkEnd w:id="0"/>
      <w:r w:rsidDel="00000000" w:rsidR="00000000" w:rsidRPr="00000000">
        <w:rPr>
          <w:rtl w:val="0"/>
        </w:rPr>
        <w:t xml:space="preserve">WORK CITED</w:t>
      </w:r>
    </w:p>
    <w:p w:rsidR="00000000" w:rsidDel="00000000" w:rsidP="00000000" w:rsidRDefault="00000000" w:rsidRPr="00000000" w14:paraId="00000036">
      <w:pPr>
        <w:tabs>
          <w:tab w:val="right" w:leader="none" w:pos="8640"/>
          <w:tab w:val="right" w:leader="none" w:pos="8640"/>
          <w:tab w:val="right" w:leader="none" w:pos="8640"/>
        </w:tabs>
        <w:ind w:left="720" w:hanging="720"/>
        <w:rPr/>
      </w:pPr>
      <w:r w:rsidDel="00000000" w:rsidR="00000000" w:rsidRPr="00000000">
        <w:rPr>
          <w:rtl w:val="0"/>
        </w:rPr>
        <w:t xml:space="preserve">Brewer, J. D. (2019). Joseph A Scimecca, Christianity and Sociological Theory: Reclaiming the Promise. </w:t>
      </w:r>
      <w:r w:rsidDel="00000000" w:rsidR="00000000" w:rsidRPr="00000000">
        <w:rPr>
          <w:i w:val="1"/>
          <w:rtl w:val="0"/>
        </w:rPr>
        <w:t xml:space="preserve">International Sociology</w:t>
      </w:r>
      <w:r w:rsidDel="00000000" w:rsidR="00000000" w:rsidRPr="00000000">
        <w:rPr>
          <w:rtl w:val="0"/>
        </w:rPr>
        <w:t xml:space="preserve">, </w:t>
      </w:r>
      <w:r w:rsidDel="00000000" w:rsidR="00000000" w:rsidRPr="00000000">
        <w:rPr>
          <w:i w:val="1"/>
          <w:rtl w:val="0"/>
        </w:rPr>
        <w:t xml:space="preserve">34</w:t>
      </w:r>
      <w:r w:rsidDel="00000000" w:rsidR="00000000" w:rsidRPr="00000000">
        <w:rPr>
          <w:rtl w:val="0"/>
        </w:rPr>
        <w:t xml:space="preserve">(5), 614–617. </w:t>
      </w:r>
      <w:hyperlink r:id="rId6">
        <w:r w:rsidDel="00000000" w:rsidR="00000000" w:rsidRPr="00000000">
          <w:rPr>
            <w:color w:val="1155cc"/>
            <w:u w:val="single"/>
            <w:rtl w:val="0"/>
          </w:rPr>
          <w:t xml:space="preserve">https://doi.org/10.1177/0268580919870730</w:t>
        </w:r>
      </w:hyperlink>
      <w:r w:rsidDel="00000000" w:rsidR="00000000" w:rsidRPr="00000000">
        <w:rPr>
          <w:rtl w:val="0"/>
        </w:rPr>
      </w:r>
    </w:p>
    <w:p w:rsidR="00000000" w:rsidDel="00000000" w:rsidP="00000000" w:rsidRDefault="00000000" w:rsidRPr="00000000" w14:paraId="00000037">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38">
      <w:pPr>
        <w:tabs>
          <w:tab w:val="right" w:leader="none" w:pos="8640"/>
          <w:tab w:val="right" w:leader="none" w:pos="8640"/>
          <w:tab w:val="right" w:leader="none" w:pos="8640"/>
        </w:tabs>
        <w:ind w:left="720" w:hanging="720"/>
        <w:rPr/>
      </w:pPr>
      <w:r w:rsidDel="00000000" w:rsidR="00000000" w:rsidRPr="00000000">
        <w:rPr>
          <w:rtl w:val="0"/>
        </w:rPr>
        <w:t xml:space="preserve">Fritz, J. M. (2021). </w:t>
      </w:r>
      <w:r w:rsidDel="00000000" w:rsidR="00000000" w:rsidRPr="00000000">
        <w:rPr>
          <w:i w:val="1"/>
          <w:rtl w:val="0"/>
        </w:rPr>
        <w:t xml:space="preserve">International clinical sociology</w:t>
      </w:r>
      <w:r w:rsidDel="00000000" w:rsidR="00000000" w:rsidRPr="00000000">
        <w:rPr>
          <w:rtl w:val="0"/>
        </w:rPr>
        <w:t xml:space="preserve">. Springer.</w:t>
      </w:r>
    </w:p>
    <w:p w:rsidR="00000000" w:rsidDel="00000000" w:rsidP="00000000" w:rsidRDefault="00000000" w:rsidRPr="00000000" w14:paraId="00000039">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3A">
      <w:pPr>
        <w:tabs>
          <w:tab w:val="right" w:leader="none" w:pos="8640"/>
          <w:tab w:val="right" w:leader="none" w:pos="8640"/>
          <w:tab w:val="right" w:leader="none" w:pos="8640"/>
        </w:tabs>
        <w:ind w:left="720" w:hanging="720"/>
        <w:rPr/>
      </w:pPr>
      <w:r w:rsidDel="00000000" w:rsidR="00000000" w:rsidRPr="00000000">
        <w:rPr>
          <w:rtl w:val="0"/>
        </w:rPr>
        <w:t xml:space="preserve">Hiebert, D. (2023). </w:t>
      </w:r>
      <w:r w:rsidDel="00000000" w:rsidR="00000000" w:rsidRPr="00000000">
        <w:rPr>
          <w:i w:val="1"/>
          <w:rtl w:val="0"/>
        </w:rPr>
        <w:t xml:space="preserve">The Routledge International Handbook of Sociology is a Christian city</w:t>
      </w:r>
      <w:r w:rsidDel="00000000" w:rsidR="00000000" w:rsidRPr="00000000">
        <w:rPr>
          <w:rtl w:val="0"/>
        </w:rPr>
        <w:t xml:space="preserve">. Taylor &amp; Francis.</w:t>
      </w:r>
    </w:p>
    <w:p w:rsidR="00000000" w:rsidDel="00000000" w:rsidP="00000000" w:rsidRDefault="00000000" w:rsidRPr="00000000" w14:paraId="0000003B">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3C">
      <w:pPr>
        <w:tabs>
          <w:tab w:val="right" w:leader="none" w:pos="8640"/>
          <w:tab w:val="right" w:leader="none" w:pos="8640"/>
          <w:tab w:val="right" w:leader="none" w:pos="8640"/>
        </w:tabs>
        <w:ind w:left="720" w:hanging="720"/>
        <w:rPr/>
      </w:pPr>
      <w:r w:rsidDel="00000000" w:rsidR="00000000" w:rsidRPr="00000000">
        <w:rPr>
          <w:rtl w:val="0"/>
        </w:rPr>
        <w:t xml:space="preserve">Permana, I., Ormandy, P., &amp; Ahmed, A. (2019). Maintaining harmony: How religion and culture are interwoven in managing daily diabetes self-care. </w:t>
      </w:r>
      <w:r w:rsidDel="00000000" w:rsidR="00000000" w:rsidRPr="00000000">
        <w:rPr>
          <w:i w:val="1"/>
          <w:rtl w:val="0"/>
        </w:rPr>
        <w:t xml:space="preserve">Journal of Religion and Health</w:t>
      </w:r>
      <w:r w:rsidDel="00000000" w:rsidR="00000000" w:rsidRPr="00000000">
        <w:rPr>
          <w:rtl w:val="0"/>
        </w:rPr>
        <w:t xml:space="preserve">, </w:t>
      </w:r>
      <w:r w:rsidDel="00000000" w:rsidR="00000000" w:rsidRPr="00000000">
        <w:rPr>
          <w:i w:val="1"/>
          <w:rtl w:val="0"/>
        </w:rPr>
        <w:t xml:space="preserve">58</w:t>
      </w:r>
      <w:r w:rsidDel="00000000" w:rsidR="00000000" w:rsidRPr="00000000">
        <w:rPr>
          <w:rtl w:val="0"/>
        </w:rPr>
        <w:t xml:space="preserve">(4), 1415–1428. </w:t>
      </w:r>
      <w:hyperlink r:id="rId7">
        <w:r w:rsidDel="00000000" w:rsidR="00000000" w:rsidRPr="00000000">
          <w:rPr>
            <w:color w:val="1155cc"/>
            <w:u w:val="single"/>
            <w:rtl w:val="0"/>
          </w:rPr>
          <w:t xml:space="preserve">https://doi.org/10.1007/s10943-019-00819-5</w:t>
        </w:r>
      </w:hyperlink>
      <w:r w:rsidDel="00000000" w:rsidR="00000000" w:rsidRPr="00000000">
        <w:rPr>
          <w:rtl w:val="0"/>
        </w:rPr>
      </w:r>
    </w:p>
    <w:p w:rsidR="00000000" w:rsidDel="00000000" w:rsidP="00000000" w:rsidRDefault="00000000" w:rsidRPr="00000000" w14:paraId="0000003D">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3E">
      <w:pPr>
        <w:tabs>
          <w:tab w:val="right" w:leader="none" w:pos="8640"/>
          <w:tab w:val="right" w:leader="none" w:pos="8640"/>
          <w:tab w:val="right" w:leader="none" w:pos="8640"/>
        </w:tabs>
        <w:ind w:left="720" w:hanging="720"/>
        <w:rPr/>
      </w:pPr>
      <w:r w:rsidDel="00000000" w:rsidR="00000000" w:rsidRPr="00000000">
        <w:rPr>
          <w:rtl w:val="0"/>
        </w:rPr>
        <w:t xml:space="preserve">Trimikliniotis, N. (2018). Public sociology, social justice and struggles in the era of austerity-and-crises. </w:t>
      </w:r>
      <w:r w:rsidDel="00000000" w:rsidR="00000000" w:rsidRPr="00000000">
        <w:rPr>
          <w:i w:val="1"/>
          <w:rtl w:val="0"/>
        </w:rPr>
        <w:t xml:space="preserve">International Social Work</w:t>
      </w:r>
      <w:r w:rsidDel="00000000" w:rsidR="00000000" w:rsidRPr="00000000">
        <w:rPr>
          <w:rtl w:val="0"/>
        </w:rPr>
        <w:t xml:space="preserve">, </w:t>
      </w:r>
      <w:r w:rsidDel="00000000" w:rsidR="00000000" w:rsidRPr="00000000">
        <w:rPr>
          <w:i w:val="1"/>
          <w:rtl w:val="0"/>
        </w:rPr>
        <w:t xml:space="preserve">63</w:t>
      </w:r>
      <w:r w:rsidDel="00000000" w:rsidR="00000000" w:rsidRPr="00000000">
        <w:rPr>
          <w:rtl w:val="0"/>
        </w:rPr>
        <w:t xml:space="preserve">(1), 002087281878232. </w:t>
      </w:r>
      <w:hyperlink r:id="rId8">
        <w:r w:rsidDel="00000000" w:rsidR="00000000" w:rsidRPr="00000000">
          <w:rPr>
            <w:color w:val="1155cc"/>
            <w:u w:val="single"/>
            <w:rtl w:val="0"/>
          </w:rPr>
          <w:t xml:space="preserve">https://doi.org/10.1177/0020872818782324</w:t>
        </w:r>
      </w:hyperlink>
      <w:r w:rsidDel="00000000" w:rsidR="00000000" w:rsidRPr="00000000">
        <w:rPr>
          <w:rtl w:val="0"/>
        </w:rPr>
      </w:r>
    </w:p>
    <w:p w:rsidR="00000000" w:rsidDel="00000000" w:rsidP="00000000" w:rsidRDefault="00000000" w:rsidRPr="00000000" w14:paraId="0000003F">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40">
      <w:pPr>
        <w:tabs>
          <w:tab w:val="right" w:leader="none" w:pos="8640"/>
          <w:tab w:val="right" w:leader="none" w:pos="8640"/>
          <w:tab w:val="right" w:leader="none" w:pos="8640"/>
        </w:tabs>
        <w:ind w:left="720" w:hanging="720"/>
        <w:rPr/>
      </w:pPr>
      <w:r w:rsidDel="00000000" w:rsidR="00000000" w:rsidRPr="00000000">
        <w:rPr>
          <w:rtl w:val="0"/>
        </w:rPr>
        <w:t xml:space="preserve">Turner, J. H. (2019). The More American Sociology Seeks to Become a Politically-Relevant Discipline, the More Irrelevant it Becomes to Solving Societal Problems. </w:t>
      </w:r>
      <w:r w:rsidDel="00000000" w:rsidR="00000000" w:rsidRPr="00000000">
        <w:rPr>
          <w:i w:val="1"/>
          <w:rtl w:val="0"/>
        </w:rPr>
        <w:t xml:space="preserve">The American Sociologist</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(4), 456–487. </w:t>
      </w:r>
      <w:hyperlink r:id="rId9">
        <w:r w:rsidDel="00000000" w:rsidR="00000000" w:rsidRPr="00000000">
          <w:rPr>
            <w:color w:val="1155cc"/>
            <w:u w:val="single"/>
            <w:rtl w:val="0"/>
          </w:rPr>
          <w:t xml:space="preserve">https://doi.org/10.1007/s12108-019-09420-5</w:t>
        </w:r>
      </w:hyperlink>
      <w:r w:rsidDel="00000000" w:rsidR="00000000" w:rsidRPr="00000000">
        <w:rPr>
          <w:rtl w:val="0"/>
        </w:rPr>
      </w:r>
    </w:p>
    <w:p w:rsidR="00000000" w:rsidDel="00000000" w:rsidP="00000000" w:rsidRDefault="00000000" w:rsidRPr="00000000" w14:paraId="00000041">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42">
      <w:pPr>
        <w:tabs>
          <w:tab w:val="right" w:leader="none" w:pos="8640"/>
          <w:tab w:val="right" w:leader="none" w:pos="8640"/>
          <w:tab w:val="right" w:leader="none" w:pos="8640"/>
        </w:tabs>
        <w:ind w:left="720" w:hanging="720"/>
        <w:rPr/>
      </w:pPr>
      <w:r w:rsidDel="00000000" w:rsidR="00000000" w:rsidRPr="00000000">
        <w:rPr>
          <w:rtl w:val="0"/>
        </w:rPr>
      </w:r>
    </w:p>
    <w:p w:rsidR="00000000" w:rsidDel="00000000" w:rsidP="00000000" w:rsidRDefault="00000000" w:rsidRPr="00000000" w14:paraId="00000043">
      <w:pPr>
        <w:tabs>
          <w:tab w:val="right" w:leader="none" w:pos="8640"/>
          <w:tab w:val="right" w:leader="none" w:pos="8640"/>
          <w:tab w:val="right" w:leader="none" w:pos="8640"/>
        </w:tabs>
        <w:ind w:left="720" w:hanging="720"/>
        <w:rPr/>
      </w:pPr>
      <w:r w:rsidDel="00000000" w:rsidR="00000000" w:rsidRPr="00000000">
        <w:rPr>
          <w:rtl w:val="0"/>
        </w:rPr>
        <w:t xml:space="preserve">W. Jindra, I. (2021, April 17). </w:t>
      </w:r>
      <w:r w:rsidDel="00000000" w:rsidR="00000000" w:rsidRPr="00000000">
        <w:rPr>
          <w:i w:val="1"/>
          <w:rtl w:val="0"/>
        </w:rPr>
        <w:t xml:space="preserve">Journal of sociology as Christianity city</w:t>
      </w:r>
      <w:r w:rsidDel="00000000" w:rsidR="00000000" w:rsidRPr="00000000">
        <w:rPr>
          <w:rtl w:val="0"/>
        </w:rPr>
        <w:t xml:space="preserve">. </w:t>
      </w:r>
      <w:r w:rsidDel="00000000" w:rsidR="00000000" w:rsidRPr="00000000">
        <w:rPr>
          <w:rtl w:val="0"/>
        </w:rPr>
        <w:t xml:space="preserve">Www.sociologyandchristianity.org</w:t>
      </w:r>
      <w:r w:rsidDel="00000000" w:rsidR="00000000" w:rsidRPr="00000000">
        <w:rPr>
          <w:rtl w:val="0"/>
        </w:rPr>
        <w:t xml:space="preserve">. https://www.sociologyandchristianity.org</w:t>
      </w:r>
    </w:p>
    <w:p w:rsidR="00000000" w:rsidDel="00000000" w:rsidP="00000000" w:rsidRDefault="00000000" w:rsidRPr="00000000" w14:paraId="00000044">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9">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5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62">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63">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64">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65">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66">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tabs>
        <w:tab w:val="right" w:leader="none" w:pos="8640"/>
        <w:tab w:val="right" w:leader="none" w:pos="8640"/>
        <w:tab w:val="right" w:leader="none" w:pos="8640"/>
      </w:tabs>
      <w:ind w:firstLine="0"/>
      <w:jc w:val="center"/>
      <w:rPr/>
    </w:pPr>
    <w:r w:rsidDel="00000000" w:rsidR="00000000" w:rsidRPr="00000000">
      <w:rPr>
        <w:rtl w:val="0"/>
      </w:rPr>
      <w:t xml:space="preserve">Grace G. SR 950-32: Essential Element Clinical and Applied Sociology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i.org/10.1007/s12108-019-09420-5" TargetMode="External"/><Relationship Id="rId5" Type="http://schemas.openxmlformats.org/officeDocument/2006/relationships/styles" Target="styles.xml"/><Relationship Id="rId6" Type="http://schemas.openxmlformats.org/officeDocument/2006/relationships/hyperlink" Target="https://doi.org/10.1177/0268580919870730" TargetMode="External"/><Relationship Id="rId7" Type="http://schemas.openxmlformats.org/officeDocument/2006/relationships/hyperlink" Target="https://doi.org/10.1007/s10943-019-00819-5" TargetMode="External"/><Relationship Id="rId8" Type="http://schemas.openxmlformats.org/officeDocument/2006/relationships/hyperlink" Target="https://doi.org/10.1177/0020872818782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