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6E06" w14:textId="77777777" w:rsidR="00C11F95" w:rsidRPr="00F20CCA" w:rsidRDefault="00C11F95" w:rsidP="00F20CC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rPr>
          <w:color w:val="000000" w:themeColor="text1"/>
        </w:rPr>
      </w:pPr>
    </w:p>
    <w:p w14:paraId="3540CA2D" w14:textId="77777777" w:rsidR="00C11F95" w:rsidRPr="00770751" w:rsidRDefault="00C11F95" w:rsidP="00F20CC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 w:themeColor="text1"/>
        </w:rPr>
      </w:pPr>
    </w:p>
    <w:p w14:paraId="32BD6C64" w14:textId="04A5D132" w:rsidR="00C11F95" w:rsidRPr="00770751" w:rsidRDefault="00BD1C6D" w:rsidP="00F20CCA">
      <w:pPr>
        <w:ind w:firstLine="0"/>
        <w:jc w:val="center"/>
        <w:rPr>
          <w:color w:val="000000" w:themeColor="text1"/>
        </w:rPr>
      </w:pPr>
      <w:r w:rsidRPr="00770751">
        <w:rPr>
          <w:b/>
          <w:bCs/>
          <w:color w:val="000000" w:themeColor="text1"/>
        </w:rPr>
        <w:t>Assignment #</w:t>
      </w:r>
      <w:r w:rsidR="008443D3" w:rsidRPr="00770751">
        <w:rPr>
          <w:b/>
          <w:bCs/>
          <w:color w:val="000000" w:themeColor="text1"/>
        </w:rPr>
        <w:t>2</w:t>
      </w:r>
    </w:p>
    <w:p w14:paraId="55873A0A" w14:textId="77777777" w:rsidR="00C11F95" w:rsidRPr="00770751" w:rsidRDefault="00C11F95" w:rsidP="00F20CCA">
      <w:pPr>
        <w:ind w:firstLine="0"/>
        <w:rPr>
          <w:color w:val="000000" w:themeColor="text1"/>
        </w:rPr>
      </w:pPr>
    </w:p>
    <w:p w14:paraId="3FCA7177" w14:textId="77777777" w:rsidR="00C11F95" w:rsidRPr="00770751" w:rsidRDefault="00C11F95" w:rsidP="00F20CCA">
      <w:pPr>
        <w:ind w:firstLine="0"/>
        <w:jc w:val="center"/>
        <w:rPr>
          <w:color w:val="000000" w:themeColor="text1"/>
        </w:rPr>
      </w:pPr>
      <w:r w:rsidRPr="00770751">
        <w:rPr>
          <w:color w:val="000000" w:themeColor="text1"/>
        </w:rPr>
        <w:t>James Hollywood III</w:t>
      </w:r>
    </w:p>
    <w:p w14:paraId="546FC848" w14:textId="77777777" w:rsidR="00C11F95" w:rsidRPr="00770751" w:rsidRDefault="00C11F95" w:rsidP="00F20CCA">
      <w:pPr>
        <w:ind w:firstLine="0"/>
        <w:jc w:val="center"/>
        <w:rPr>
          <w:color w:val="000000" w:themeColor="text1"/>
        </w:rPr>
      </w:pPr>
    </w:p>
    <w:p w14:paraId="5F635B21" w14:textId="77777777" w:rsidR="00C11F95" w:rsidRPr="00770751" w:rsidRDefault="00C11F95" w:rsidP="00F20CCA">
      <w:pPr>
        <w:ind w:firstLine="0"/>
        <w:jc w:val="center"/>
        <w:rPr>
          <w:color w:val="000000" w:themeColor="text1"/>
        </w:rPr>
      </w:pPr>
      <w:r w:rsidRPr="00770751">
        <w:rPr>
          <w:color w:val="000000" w:themeColor="text1"/>
        </w:rPr>
        <w:t>Omega Graduate School</w:t>
      </w:r>
    </w:p>
    <w:p w14:paraId="01ABED30" w14:textId="77777777" w:rsidR="00C11F95" w:rsidRPr="00770751" w:rsidRDefault="00C11F95" w:rsidP="00F20CCA">
      <w:pPr>
        <w:ind w:firstLine="0"/>
        <w:jc w:val="center"/>
        <w:rPr>
          <w:color w:val="000000" w:themeColor="text1"/>
        </w:rPr>
      </w:pPr>
    </w:p>
    <w:p w14:paraId="3BB70901" w14:textId="210C6435" w:rsidR="00C11F95" w:rsidRPr="00770751" w:rsidRDefault="008B4664" w:rsidP="00F20CCA">
      <w:pPr>
        <w:ind w:firstLine="0"/>
        <w:jc w:val="center"/>
        <w:rPr>
          <w:color w:val="000000" w:themeColor="text1"/>
        </w:rPr>
      </w:pPr>
      <w:r w:rsidRPr="00770751">
        <w:rPr>
          <w:color w:val="000000" w:themeColor="text1"/>
        </w:rPr>
        <w:t>Transformative Learning and Adult Education</w:t>
      </w:r>
    </w:p>
    <w:p w14:paraId="77E1388A" w14:textId="77777777" w:rsidR="00C11F95" w:rsidRPr="00770751" w:rsidRDefault="00C11F95" w:rsidP="00F20CCA">
      <w:pPr>
        <w:ind w:firstLine="0"/>
        <w:jc w:val="center"/>
        <w:rPr>
          <w:color w:val="000000" w:themeColor="text1"/>
        </w:rPr>
      </w:pPr>
    </w:p>
    <w:p w14:paraId="22E63E6A" w14:textId="28B64887" w:rsidR="00C11F95" w:rsidRPr="00770751" w:rsidRDefault="00C11F95" w:rsidP="00F20CCA">
      <w:pPr>
        <w:ind w:firstLine="0"/>
        <w:jc w:val="center"/>
        <w:rPr>
          <w:color w:val="000000" w:themeColor="text1"/>
        </w:rPr>
      </w:pPr>
      <w:r w:rsidRPr="00770751">
        <w:rPr>
          <w:color w:val="000000" w:themeColor="text1"/>
        </w:rPr>
        <w:t>Professor Dr.</w:t>
      </w:r>
      <w:r w:rsidR="008B4664" w:rsidRPr="00770751">
        <w:rPr>
          <w:color w:val="000000" w:themeColor="text1"/>
        </w:rPr>
        <w:t xml:space="preserve"> Sara Reic</w:t>
      </w:r>
      <w:r w:rsidR="00D4577B" w:rsidRPr="00770751">
        <w:rPr>
          <w:color w:val="000000" w:themeColor="text1"/>
        </w:rPr>
        <w:t>hard</w:t>
      </w:r>
    </w:p>
    <w:p w14:paraId="228DD77B" w14:textId="77777777" w:rsidR="00C11F95" w:rsidRPr="00770751" w:rsidRDefault="00C11F95" w:rsidP="00F20CCA">
      <w:pPr>
        <w:ind w:firstLine="0"/>
        <w:jc w:val="center"/>
        <w:rPr>
          <w:color w:val="000000" w:themeColor="text1"/>
        </w:rPr>
      </w:pPr>
    </w:p>
    <w:p w14:paraId="00000017" w14:textId="56EAFB67" w:rsidR="000D5719" w:rsidRPr="00770751" w:rsidRDefault="00334672" w:rsidP="00F20CC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 w:themeColor="text1"/>
        </w:rPr>
      </w:pPr>
      <w:r w:rsidRPr="00770751">
        <w:rPr>
          <w:color w:val="000000" w:themeColor="text1"/>
        </w:rPr>
        <w:t>April</w:t>
      </w:r>
      <w:r w:rsidR="00C11F95" w:rsidRPr="00770751">
        <w:rPr>
          <w:color w:val="000000" w:themeColor="text1"/>
        </w:rPr>
        <w:t xml:space="preserve"> </w:t>
      </w:r>
      <w:r w:rsidR="00D4577B" w:rsidRPr="00770751">
        <w:rPr>
          <w:color w:val="000000" w:themeColor="text1"/>
        </w:rPr>
        <w:t>15</w:t>
      </w:r>
      <w:r w:rsidR="00C11F95" w:rsidRPr="00770751">
        <w:rPr>
          <w:color w:val="000000" w:themeColor="text1"/>
        </w:rPr>
        <w:t>, 2024</w:t>
      </w:r>
    </w:p>
    <w:p w14:paraId="1644B765" w14:textId="5D7EB337" w:rsidR="001C4C70" w:rsidRPr="00770751" w:rsidRDefault="00630DF7" w:rsidP="00F20CCA">
      <w:pPr>
        <w:tabs>
          <w:tab w:val="right" w:pos="8640"/>
          <w:tab w:val="right" w:pos="8640"/>
        </w:tabs>
        <w:ind w:firstLine="0"/>
        <w:jc w:val="both"/>
        <w:rPr>
          <w:color w:val="000000" w:themeColor="text1"/>
        </w:rPr>
      </w:pPr>
      <w:r w:rsidRPr="00770751">
        <w:rPr>
          <w:color w:val="000000" w:themeColor="text1"/>
        </w:rPr>
        <w:br w:type="page"/>
      </w:r>
    </w:p>
    <w:p w14:paraId="36C9A828" w14:textId="1C9B9DCC" w:rsidR="00992596" w:rsidRPr="00770751" w:rsidRDefault="00992596" w:rsidP="00992596">
      <w:pPr>
        <w:ind w:firstLine="0"/>
        <w:rPr>
          <w:b/>
          <w:bCs/>
          <w:color w:val="000000" w:themeColor="text1"/>
        </w:rPr>
      </w:pPr>
      <w:r w:rsidRPr="00770751">
        <w:rPr>
          <w:b/>
          <w:bCs/>
          <w:color w:val="000000" w:themeColor="text1"/>
        </w:rPr>
        <w:lastRenderedPageBreak/>
        <w:t>Assignment #2 – Developmental Readings</w:t>
      </w:r>
    </w:p>
    <w:p w14:paraId="7144DA13" w14:textId="77777777" w:rsidR="00992596" w:rsidRPr="00770751" w:rsidRDefault="00992596" w:rsidP="00992596">
      <w:pPr>
        <w:ind w:firstLine="0"/>
        <w:rPr>
          <w:color w:val="000000" w:themeColor="text1"/>
        </w:rPr>
      </w:pPr>
      <w:r w:rsidRPr="00770751">
        <w:rPr>
          <w:color w:val="000000" w:themeColor="text1"/>
        </w:rPr>
        <w:t>1. Create Developmental Readings from seminal sources and scholarly peer-reviewed</w:t>
      </w:r>
    </w:p>
    <w:p w14:paraId="796EF90B" w14:textId="77777777" w:rsidR="00992596" w:rsidRPr="00770751" w:rsidRDefault="00992596" w:rsidP="00992596">
      <w:pPr>
        <w:ind w:firstLine="0"/>
        <w:rPr>
          <w:color w:val="000000" w:themeColor="text1"/>
        </w:rPr>
      </w:pPr>
      <w:r w:rsidRPr="00770751">
        <w:rPr>
          <w:color w:val="000000" w:themeColor="text1"/>
        </w:rPr>
        <w:t>journal articles. Review instructions for Assignment #3, the course essential elements,</w:t>
      </w:r>
    </w:p>
    <w:p w14:paraId="31551BCD" w14:textId="77777777" w:rsidR="00992596" w:rsidRPr="00770751" w:rsidRDefault="00992596" w:rsidP="00992596">
      <w:pPr>
        <w:ind w:firstLine="0"/>
        <w:rPr>
          <w:color w:val="000000" w:themeColor="text1"/>
        </w:rPr>
      </w:pPr>
      <w:r w:rsidRPr="00770751">
        <w:rPr>
          <w:color w:val="000000" w:themeColor="text1"/>
        </w:rPr>
        <w:t>and course readings to identify selections of books and journals to create entries.</w:t>
      </w:r>
    </w:p>
    <w:p w14:paraId="6D271423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1B893062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4045251D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1A13FA8D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3DC014F4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0A0063BC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0D7ED934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246F7368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58D7B76C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51689331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407739D1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2FB92E5D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6C145132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447D63DD" w14:textId="77777777" w:rsidR="00DE08B4" w:rsidRPr="00770751" w:rsidRDefault="00DE08B4" w:rsidP="00DE08B4">
      <w:pPr>
        <w:ind w:firstLine="0"/>
        <w:rPr>
          <w:color w:val="000000" w:themeColor="text1"/>
        </w:rPr>
      </w:pPr>
    </w:p>
    <w:p w14:paraId="65050192" w14:textId="77777777" w:rsidR="00992596" w:rsidRPr="00770751" w:rsidRDefault="00992596" w:rsidP="00DE08B4">
      <w:pPr>
        <w:ind w:firstLine="0"/>
        <w:rPr>
          <w:color w:val="000000" w:themeColor="text1"/>
        </w:rPr>
      </w:pPr>
    </w:p>
    <w:p w14:paraId="6559E7A0" w14:textId="77777777" w:rsidR="00992596" w:rsidRPr="00770751" w:rsidRDefault="00992596" w:rsidP="00DE08B4">
      <w:pPr>
        <w:ind w:firstLine="0"/>
        <w:rPr>
          <w:color w:val="000000" w:themeColor="text1"/>
        </w:rPr>
      </w:pPr>
    </w:p>
    <w:p w14:paraId="3DE5BA4C" w14:textId="77777777" w:rsidR="00992596" w:rsidRPr="00770751" w:rsidRDefault="00992596" w:rsidP="00DE08B4">
      <w:pPr>
        <w:ind w:firstLine="0"/>
        <w:rPr>
          <w:color w:val="000000" w:themeColor="text1"/>
        </w:rPr>
      </w:pPr>
    </w:p>
    <w:p w14:paraId="02BA2256" w14:textId="77777777" w:rsidR="00992596" w:rsidRPr="00770751" w:rsidRDefault="00992596" w:rsidP="00DE08B4">
      <w:pPr>
        <w:ind w:firstLine="0"/>
        <w:rPr>
          <w:color w:val="000000" w:themeColor="text1"/>
        </w:rPr>
      </w:pPr>
    </w:p>
    <w:p w14:paraId="769FC3C3" w14:textId="77777777" w:rsidR="00A57E2B" w:rsidRPr="00770751" w:rsidRDefault="00A57E2B" w:rsidP="00DE08B4">
      <w:pPr>
        <w:ind w:firstLine="0"/>
        <w:rPr>
          <w:color w:val="000000" w:themeColor="text1"/>
        </w:rPr>
      </w:pPr>
    </w:p>
    <w:p w14:paraId="2A97111A" w14:textId="77777777" w:rsidR="00A57E2B" w:rsidRPr="00A57E2B" w:rsidRDefault="00A57E2B" w:rsidP="00A57E2B">
      <w:pPr>
        <w:numPr>
          <w:ilvl w:val="0"/>
          <w:numId w:val="7"/>
        </w:numPr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lastRenderedPageBreak/>
        <w:t xml:space="preserve">Knowles, M. S., Holton III, E. F., &amp; Swanson, R. A. (2015). </w:t>
      </w:r>
      <w:r w:rsidRPr="00A57E2B">
        <w:rPr>
          <w:b/>
          <w:bCs/>
          <w:i/>
          <w:iCs/>
          <w:color w:val="000000" w:themeColor="text1"/>
        </w:rPr>
        <w:t>The Adult Learner: The Definitive Classic in Adult Education and Human Resource Development</w:t>
      </w:r>
      <w:r w:rsidRPr="00A57E2B">
        <w:rPr>
          <w:b/>
          <w:bCs/>
          <w:color w:val="000000" w:themeColor="text1"/>
        </w:rPr>
        <w:t xml:space="preserve"> (9th ed.). New York: Routledge.</w:t>
      </w:r>
    </w:p>
    <w:p w14:paraId="0077CCD2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"Andragogy emphasizes self-directedness, experience, readiness to learn, orientation to learning, and motivation as key principles guiding adult learning."</w:t>
      </w:r>
    </w:p>
    <w:p w14:paraId="0EF93483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Exploring the foundational principles of andragogy as conceptualized by Malcolm Knowles.</w:t>
      </w:r>
    </w:p>
    <w:p w14:paraId="09603D1E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Knowles et al. (2015) delineate the key principles and assumptions of andragogy, providing a comprehensive framework for understanding adult learning processes and guiding instructional design practices.</w:t>
      </w:r>
    </w:p>
    <w:p w14:paraId="4C15575D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book situates andragogy within the broader landscape of adult education and human resource development, addressing its implications for facilitating lifelong learning and professional development among adult learners.</w:t>
      </w:r>
    </w:p>
    <w:p w14:paraId="69C57A77" w14:textId="77777777" w:rsidR="00A57E2B" w:rsidRPr="00A57E2B" w:rsidRDefault="00A57E2B" w:rsidP="00A57E2B">
      <w:pPr>
        <w:ind w:firstLine="0"/>
        <w:rPr>
          <w:color w:val="000000" w:themeColor="text1"/>
        </w:rPr>
      </w:pPr>
    </w:p>
    <w:p w14:paraId="57F80A22" w14:textId="77777777" w:rsidR="00A57E2B" w:rsidRPr="00A57E2B" w:rsidRDefault="00A57E2B" w:rsidP="00A57E2B">
      <w:pPr>
        <w:numPr>
          <w:ilvl w:val="0"/>
          <w:numId w:val="7"/>
        </w:numPr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Jarvis, P. (2018). </w:t>
      </w:r>
      <w:r w:rsidRPr="00A57E2B">
        <w:rPr>
          <w:b/>
          <w:bCs/>
          <w:i/>
          <w:iCs/>
          <w:color w:val="000000" w:themeColor="text1"/>
        </w:rPr>
        <w:t>Adult Learning in the Social Context</w:t>
      </w:r>
      <w:r w:rsidRPr="00A57E2B">
        <w:rPr>
          <w:b/>
          <w:bCs/>
          <w:color w:val="000000" w:themeColor="text1"/>
        </w:rPr>
        <w:t>. New York: Routledge.</w:t>
      </w:r>
    </w:p>
    <w:p w14:paraId="61A9B190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"Andragogy fosters a learner-centered approach, empowering adults to take ownership of their learning journey."</w:t>
      </w:r>
    </w:p>
    <w:p w14:paraId="460DBAC7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Investigating the social context of adult learning and its alignment with principles of andragogy.</w:t>
      </w:r>
    </w:p>
    <w:p w14:paraId="17C3397D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Jarvis (2018) explores the sociocultural factors influencing adult learning experiences, examining how andragogy principles intersect with broader social dynamics to shape learning outcomes and transformative processes.</w:t>
      </w:r>
    </w:p>
    <w:p w14:paraId="3781380B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lastRenderedPageBreak/>
        <w:t>Contextualization: The book contextualizes adult learning within diverse social contexts, highlighting the role of social interaction, collaboration, and community engagement in facilitating meaningful learning experiences grounded in andragogical principles.</w:t>
      </w:r>
    </w:p>
    <w:p w14:paraId="734FCA58" w14:textId="77777777" w:rsidR="00A57E2B" w:rsidRPr="00A57E2B" w:rsidRDefault="00A57E2B" w:rsidP="00A57E2B">
      <w:pPr>
        <w:ind w:firstLine="0"/>
        <w:rPr>
          <w:color w:val="000000" w:themeColor="text1"/>
        </w:rPr>
      </w:pPr>
    </w:p>
    <w:p w14:paraId="571295B1" w14:textId="77777777" w:rsidR="00A57E2B" w:rsidRPr="00A57E2B" w:rsidRDefault="00A57E2B" w:rsidP="00A57E2B">
      <w:pPr>
        <w:numPr>
          <w:ilvl w:val="0"/>
          <w:numId w:val="7"/>
        </w:numPr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El-Amin, A. (2020). Andragogy: A Theory in Practice in Higher Education. Fort Hays State University. </w:t>
      </w:r>
    </w:p>
    <w:p w14:paraId="7F058DB9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"Incorporating principles such as active learning, problem-solving, and real-world application can create meaningful learning experiences for adult learners."</w:t>
      </w:r>
    </w:p>
    <w:p w14:paraId="131AFE07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Examining the application of andragogy principles in professional development programs.</w:t>
      </w:r>
    </w:p>
    <w:p w14:paraId="0D9003ED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El-Amin (2020) presents a study illustrating how andragogy principles are operationalized in adult education settings, highlighting effective strategies for enhancing engagement, motivation, and skill acquisition among adult learners.</w:t>
      </w:r>
    </w:p>
    <w:p w14:paraId="68F3431B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article contextualizes its findings within the field of adult education, addressing the practical implications of andragogy for designing and implementing effective professional development initiatives.</w:t>
      </w:r>
    </w:p>
    <w:p w14:paraId="576262DC" w14:textId="77777777" w:rsidR="00A57E2B" w:rsidRPr="00A57E2B" w:rsidRDefault="00A57E2B" w:rsidP="00A57E2B">
      <w:pPr>
        <w:numPr>
          <w:ilvl w:val="0"/>
          <w:numId w:val="7"/>
        </w:numPr>
        <w:rPr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Brookfield, S. D. (2015). </w:t>
      </w:r>
      <w:r w:rsidRPr="00A57E2B">
        <w:rPr>
          <w:b/>
          <w:bCs/>
          <w:i/>
          <w:iCs/>
          <w:color w:val="000000" w:themeColor="text1"/>
        </w:rPr>
        <w:t>The Skillful Teacher: On Technique, Trust, and Responsiveness in the Classroom</w:t>
      </w:r>
      <w:r w:rsidRPr="00A57E2B">
        <w:rPr>
          <w:b/>
          <w:bCs/>
          <w:color w:val="000000" w:themeColor="text1"/>
        </w:rPr>
        <w:t xml:space="preserve"> (3rd ed.). San Francisco, CA: Jossey-Bass.</w:t>
      </w:r>
    </w:p>
    <w:p w14:paraId="74777C04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"Andragogy acknowledges the autonomy and life experiences of adult learners, shaping instructional strategies to align with their needs and preferences."</w:t>
      </w:r>
    </w:p>
    <w:p w14:paraId="26DDAD73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Exploring instructional techniques aligned with andragogical principles.</w:t>
      </w:r>
    </w:p>
    <w:p w14:paraId="2153E255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lastRenderedPageBreak/>
        <w:t>Additive/Variant Analysis: Brookfield (2015) provides practical strategies for implementing andragogy in the classroom, emphasizing the importance of flexibility, responsiveness, and trust-building in facilitating adult learning processes.</w:t>
      </w:r>
    </w:p>
    <w:p w14:paraId="2A1E8A48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book contextualizes effective teaching practices within the framework of andragogy, addressing the role of teacher-student dynamics, learner-centered approaches, and reflective pedagogy in promoting transformative learning experiences among adult learners.</w:t>
      </w:r>
    </w:p>
    <w:p w14:paraId="70ABB6DB" w14:textId="77777777" w:rsidR="00A57E2B" w:rsidRPr="00A57E2B" w:rsidRDefault="00A57E2B" w:rsidP="00A57E2B">
      <w:pPr>
        <w:ind w:firstLine="0"/>
        <w:rPr>
          <w:b/>
          <w:bCs/>
          <w:color w:val="000000" w:themeColor="text1"/>
        </w:rPr>
      </w:pPr>
    </w:p>
    <w:p w14:paraId="0692F370" w14:textId="77777777" w:rsidR="00A57E2B" w:rsidRPr="00A57E2B" w:rsidRDefault="00A57E2B" w:rsidP="00A57E2B">
      <w:pPr>
        <w:numPr>
          <w:ilvl w:val="0"/>
          <w:numId w:val="7"/>
        </w:numPr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Sherman, G. L. (2021). Transformative Learning and Well-Being for Emerging Adults in Higher Education. </w:t>
      </w:r>
      <w:r w:rsidRPr="00A57E2B">
        <w:rPr>
          <w:b/>
          <w:bCs/>
          <w:i/>
          <w:iCs/>
          <w:color w:val="000000" w:themeColor="text1"/>
        </w:rPr>
        <w:t>Journal of Transformative Education, 19</w:t>
      </w:r>
      <w:r w:rsidRPr="00A57E2B">
        <w:rPr>
          <w:b/>
          <w:bCs/>
          <w:color w:val="000000" w:themeColor="text1"/>
        </w:rPr>
        <w:t>(1), 29-49.</w:t>
      </w:r>
    </w:p>
    <w:p w14:paraId="4E91B72D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"Transformative learning plays a vital role in promoting well-being among emerging adults in higher education."</w:t>
      </w:r>
    </w:p>
    <w:p w14:paraId="472D089F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Investigating the relationship between transformative learning and well-being in the context of higher education.</w:t>
      </w:r>
    </w:p>
    <w:p w14:paraId="25B09C59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Sherman (2021) explores how transformative learning experiences contribute to the well-being of emerging adults in higher education settings, highlighting the importance of self-reflection, critical thinking, and personal growth in fostering holistic development.</w:t>
      </w:r>
    </w:p>
    <w:p w14:paraId="036ABAFB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article contextualizes its discussion within the framework of emerging adulthood and higher education, addressing the implications of transformative learning for promoting psychological, emotional, and social well-being among college students.</w:t>
      </w:r>
    </w:p>
    <w:p w14:paraId="3093EEF3" w14:textId="77777777" w:rsidR="00A57E2B" w:rsidRPr="00A57E2B" w:rsidRDefault="00A57E2B" w:rsidP="00A57E2B">
      <w:pPr>
        <w:ind w:firstLine="0"/>
        <w:rPr>
          <w:b/>
          <w:bCs/>
          <w:color w:val="000000" w:themeColor="text1"/>
        </w:rPr>
      </w:pPr>
    </w:p>
    <w:p w14:paraId="3642A9DC" w14:textId="77777777" w:rsidR="00A57E2B" w:rsidRPr="00A57E2B" w:rsidRDefault="00A57E2B" w:rsidP="00A57E2B">
      <w:pPr>
        <w:ind w:firstLine="0"/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6. </w:t>
      </w:r>
      <w:proofErr w:type="spellStart"/>
      <w:r w:rsidRPr="00A57E2B">
        <w:rPr>
          <w:b/>
          <w:bCs/>
          <w:color w:val="000000" w:themeColor="text1"/>
        </w:rPr>
        <w:t>Hutasuhut</w:t>
      </w:r>
      <w:proofErr w:type="spellEnd"/>
      <w:r w:rsidRPr="00A57E2B">
        <w:rPr>
          <w:b/>
          <w:bCs/>
          <w:color w:val="000000" w:themeColor="text1"/>
        </w:rPr>
        <w:t xml:space="preserve">, I. J., Abu Bakar, M. A., Abdul Ghani, K., &amp; Bilong, D. P. (2023). Fostering Self-Directed Learning in Higher Education: The Efficacy of Guided Learning Approach </w:t>
      </w:r>
      <w:r w:rsidRPr="00A57E2B">
        <w:rPr>
          <w:b/>
          <w:bCs/>
          <w:color w:val="000000" w:themeColor="text1"/>
        </w:rPr>
        <w:lastRenderedPageBreak/>
        <w:t xml:space="preserve">among First-Year University Students in Malaysia. </w:t>
      </w:r>
      <w:r w:rsidRPr="00A57E2B">
        <w:rPr>
          <w:b/>
          <w:bCs/>
          <w:i/>
          <w:iCs/>
          <w:color w:val="000000" w:themeColor="text1"/>
        </w:rPr>
        <w:t>Journal of Cognitive Sciences and Human Development, 9</w:t>
      </w:r>
      <w:r w:rsidRPr="00A57E2B">
        <w:rPr>
          <w:b/>
          <w:bCs/>
          <w:color w:val="000000" w:themeColor="text1"/>
        </w:rPr>
        <w:t>(1), 221.</w:t>
      </w:r>
    </w:p>
    <w:p w14:paraId="367B1EA3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"The guided learning approach has a substantial positive impact on students' self-directedness in higher education."</w:t>
      </w:r>
    </w:p>
    <w:p w14:paraId="2C531228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Investigating the efficacy of the guided learning approach in promoting self-directed learning among first-year university students.</w:t>
      </w:r>
    </w:p>
    <w:p w14:paraId="09EC5230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 xml:space="preserve">Additive/Variant Analysis: </w:t>
      </w:r>
      <w:proofErr w:type="spellStart"/>
      <w:r w:rsidRPr="00A57E2B">
        <w:rPr>
          <w:color w:val="000000" w:themeColor="text1"/>
        </w:rPr>
        <w:t>Hutasuhut</w:t>
      </w:r>
      <w:proofErr w:type="spellEnd"/>
      <w:r w:rsidRPr="00A57E2B">
        <w:rPr>
          <w:color w:val="000000" w:themeColor="text1"/>
        </w:rPr>
        <w:t xml:space="preserve"> et al. (2023) examine the effectiveness of the guided learning approach in fostering self-directed learning among first-year university students in Malaysia, using the SECI Model as a theoretical framework. They assess students' levels of self-directed learning before and after implementing the guided learning approach, finding a significant increase in self-directedness among participants.</w:t>
      </w:r>
    </w:p>
    <w:p w14:paraId="4A19C41E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study contextualizes its findings within the realm of higher education in Malaysia, highlighting the importance of guided learning approaches in promoting self-directed learning among first-year university students. The results underscore the significance of fostering self-directed learning as a key aspect of educational practice in higher education settings.</w:t>
      </w:r>
    </w:p>
    <w:p w14:paraId="59859414" w14:textId="77777777" w:rsidR="00A57E2B" w:rsidRPr="00A57E2B" w:rsidRDefault="00A57E2B" w:rsidP="00A57E2B">
      <w:pPr>
        <w:ind w:firstLine="0"/>
        <w:rPr>
          <w:b/>
          <w:bCs/>
          <w:color w:val="000000" w:themeColor="text1"/>
        </w:rPr>
      </w:pPr>
    </w:p>
    <w:p w14:paraId="748EB3A8" w14:textId="77777777" w:rsidR="00A57E2B" w:rsidRPr="00A57E2B" w:rsidRDefault="00A57E2B" w:rsidP="00A57E2B">
      <w:pPr>
        <w:numPr>
          <w:ilvl w:val="0"/>
          <w:numId w:val="8"/>
        </w:numPr>
        <w:rPr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Merriam, S. B., &amp; Bierema, L. L. (2019). </w:t>
      </w:r>
      <w:r w:rsidRPr="00A57E2B">
        <w:rPr>
          <w:b/>
          <w:bCs/>
          <w:i/>
          <w:iCs/>
          <w:color w:val="000000" w:themeColor="text1"/>
        </w:rPr>
        <w:t>Adult Learning: Linking Theory and Practice</w:t>
      </w:r>
      <w:r w:rsidRPr="00A57E2B">
        <w:rPr>
          <w:b/>
          <w:bCs/>
          <w:color w:val="000000" w:themeColor="text1"/>
        </w:rPr>
        <w:t xml:space="preserve"> (2nd ed.). San Francisco, CA: Jossey-Bass.</w:t>
      </w:r>
    </w:p>
    <w:p w14:paraId="218F1F8E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"Andragogy stands as a cornerstone in education, providing insights into the unique characteristics and needs of adult learners."</w:t>
      </w:r>
    </w:p>
    <w:p w14:paraId="0ABA573E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Examining the integration of andragogical theory with practical instructional strategies.</w:t>
      </w:r>
    </w:p>
    <w:p w14:paraId="29B19208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lastRenderedPageBreak/>
        <w:t>Additive/Variant Analysis: Merriam and Bierema (2019) explore the intersection of theory and practice in adult learning, offering guidance on applying andragogical principles to diverse educational contexts and learner populations.</w:t>
      </w:r>
    </w:p>
    <w:p w14:paraId="1C3C12B4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book contextualizes andragogy within the broader field of adult education, addressing its relevance for promoting learner engagement, motivation, and self-directed learning skills in contemporary educational settings.</w:t>
      </w:r>
    </w:p>
    <w:p w14:paraId="47A6360B" w14:textId="77777777" w:rsidR="00A57E2B" w:rsidRPr="00A57E2B" w:rsidRDefault="00A57E2B" w:rsidP="00A57E2B">
      <w:pPr>
        <w:numPr>
          <w:ilvl w:val="0"/>
          <w:numId w:val="8"/>
        </w:numPr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Edmondson, D. R., Boyer, S. L., &amp; Artis, A. B. (2012). Self-Directed Learning: A Meta-Analytic Review of Adult Learning Constructs. </w:t>
      </w:r>
      <w:r w:rsidRPr="00A57E2B">
        <w:rPr>
          <w:b/>
          <w:bCs/>
          <w:i/>
          <w:iCs/>
          <w:color w:val="000000" w:themeColor="text1"/>
        </w:rPr>
        <w:t>International Journal of Education Research, 7</w:t>
      </w:r>
      <w:r w:rsidRPr="00A57E2B">
        <w:rPr>
          <w:b/>
          <w:bCs/>
          <w:color w:val="000000" w:themeColor="text1"/>
        </w:rPr>
        <w:t xml:space="preserve">(1), 40-48. </w:t>
      </w:r>
    </w:p>
    <w:p w14:paraId="4E7415BE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"Self-directed learning is significantly and positively related to academic performance, future aspiration, creativity, curiosity, and life satisfaction."</w:t>
      </w:r>
    </w:p>
    <w:p w14:paraId="5672FA61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Conducting a meta-analytic review to examine the relationship between self-directed learning and various constructs in the education domain.</w:t>
      </w:r>
    </w:p>
    <w:p w14:paraId="13FC4BB5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Edmondson, Boyer, and Artis (2012) conducted a meta-analytic review examining the relationship between self-directed learning and constructs such as academic performance, future aspiration, creativity, curiosity, and life satisfaction. Their findings reveal a significant and positive association between self-directed learning and these constructs, highlighting the importance of self-directed learning in adult education.</w:t>
      </w:r>
    </w:p>
    <w:p w14:paraId="50F12AE1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study contextualizes its findings within the realm of adult education and marketing education literature, emphasizing the importance of self-directed learning as a central tenet in enhancing student learning outcomes. The meta-analytic review provides insights into how self-directed learning can be effectively implemented in marketing courses and professional education to promote student development and learning effectiveness.</w:t>
      </w:r>
    </w:p>
    <w:p w14:paraId="4F06E88E" w14:textId="77777777" w:rsidR="00A57E2B" w:rsidRPr="00A57E2B" w:rsidRDefault="00A57E2B" w:rsidP="00A57E2B">
      <w:pPr>
        <w:ind w:firstLine="0"/>
        <w:rPr>
          <w:color w:val="000000" w:themeColor="text1"/>
        </w:rPr>
      </w:pPr>
    </w:p>
    <w:p w14:paraId="5714823A" w14:textId="77777777" w:rsidR="00A57E2B" w:rsidRPr="00A57E2B" w:rsidRDefault="00A57E2B" w:rsidP="00A57E2B">
      <w:pPr>
        <w:numPr>
          <w:ilvl w:val="0"/>
          <w:numId w:val="8"/>
        </w:numPr>
        <w:rPr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Cranton, P. (2016). </w:t>
      </w:r>
      <w:r w:rsidRPr="00A57E2B">
        <w:rPr>
          <w:b/>
          <w:bCs/>
          <w:i/>
          <w:iCs/>
          <w:color w:val="000000" w:themeColor="text1"/>
        </w:rPr>
        <w:t>Understanding and Promoting Transformative Learning: A Guide to Theory and Practice</w:t>
      </w:r>
      <w:r w:rsidRPr="00A57E2B">
        <w:rPr>
          <w:b/>
          <w:bCs/>
          <w:color w:val="000000" w:themeColor="text1"/>
        </w:rPr>
        <w:t xml:space="preserve"> (3rd ed.). San Francisco, CA: Jossey-Bass.</w:t>
      </w:r>
    </w:p>
    <w:p w14:paraId="48D4C176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"Transformative learning theory emphasizes the role of critical reflection and discourse in challenging existing assumptions and fostering new perspectives."</w:t>
      </w:r>
    </w:p>
    <w:p w14:paraId="250EB644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Exploring strategies for promoting transformative learning in adult education settings.</w:t>
      </w:r>
    </w:p>
    <w:p w14:paraId="407325D8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Cranton (2016) provides practical guidance for educators on fostering transformative learning experiences, addressing issues such as facilitating critical reflection, creating supportive learning environments, and promoting social justice and equity.</w:t>
      </w:r>
    </w:p>
    <w:p w14:paraId="1C7FB2D3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book contextualizes transformative learning within the context of adult education practice, offering insights into the challenges and opportunities of implementing transformative pedagogy in diverse educational contexts.</w:t>
      </w:r>
    </w:p>
    <w:p w14:paraId="69FC1CF2" w14:textId="77777777" w:rsidR="00A57E2B" w:rsidRPr="00A57E2B" w:rsidRDefault="00A57E2B" w:rsidP="00A57E2B">
      <w:pPr>
        <w:numPr>
          <w:ilvl w:val="0"/>
          <w:numId w:val="8"/>
        </w:numPr>
        <w:rPr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Taylor, K., Marienau, C., &amp; Fiddler, M. (2019). </w:t>
      </w:r>
      <w:r w:rsidRPr="00A57E2B">
        <w:rPr>
          <w:b/>
          <w:bCs/>
          <w:i/>
          <w:iCs/>
          <w:color w:val="000000" w:themeColor="text1"/>
        </w:rPr>
        <w:t>Facilitating Learning with the Adult Brain in Mind: A Conceptual and Practical Guide</w:t>
      </w:r>
      <w:r w:rsidRPr="00A57E2B">
        <w:rPr>
          <w:b/>
          <w:bCs/>
          <w:color w:val="000000" w:themeColor="text1"/>
        </w:rPr>
        <w:t xml:space="preserve"> (2nd ed.). San Francisco, CA: Jossey-Bass.</w:t>
      </w:r>
    </w:p>
    <w:p w14:paraId="07EF5705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"Understanding the principles of andragogy has practical implications for educators, trainers, and instructional designers."</w:t>
      </w:r>
    </w:p>
    <w:p w14:paraId="03EA0BE6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Examining the intersection of neuroscience and adult learning theory.</w:t>
      </w:r>
    </w:p>
    <w:p w14:paraId="44D7290E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Additive/Variant Analysis: Taylor et al. (2019) explore the cognitive processes underlying adult learning, offering insights into how educators can leverage neuroscientific principles to enhance instructional effectiveness and promote transformative learning outcomes.</w:t>
      </w:r>
    </w:p>
    <w:p w14:paraId="0D4EE843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lastRenderedPageBreak/>
        <w:t>Contextualization: The book contextualizes adult learning within the framework of brain science, addressing the implications of cognitive neuroscience for instructional design, teaching strategies, and lifelong learning practices.</w:t>
      </w:r>
    </w:p>
    <w:p w14:paraId="27311494" w14:textId="77777777" w:rsidR="00A57E2B" w:rsidRPr="00A57E2B" w:rsidRDefault="00A57E2B" w:rsidP="00A57E2B">
      <w:pPr>
        <w:numPr>
          <w:ilvl w:val="0"/>
          <w:numId w:val="8"/>
        </w:numPr>
        <w:rPr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Brookfield, S. D., &amp; </w:t>
      </w:r>
      <w:proofErr w:type="spellStart"/>
      <w:r w:rsidRPr="00A57E2B">
        <w:rPr>
          <w:b/>
          <w:bCs/>
          <w:color w:val="000000" w:themeColor="text1"/>
        </w:rPr>
        <w:t>Preskill</w:t>
      </w:r>
      <w:proofErr w:type="spellEnd"/>
      <w:r w:rsidRPr="00A57E2B">
        <w:rPr>
          <w:b/>
          <w:bCs/>
          <w:color w:val="000000" w:themeColor="text1"/>
        </w:rPr>
        <w:t xml:space="preserve">, S. (2016). </w:t>
      </w:r>
      <w:r w:rsidRPr="00A57E2B">
        <w:rPr>
          <w:b/>
          <w:bCs/>
          <w:i/>
          <w:iCs/>
          <w:color w:val="000000" w:themeColor="text1"/>
        </w:rPr>
        <w:t>The Discussion Book: 50 Great Ways to Get People Talking</w:t>
      </w:r>
      <w:r w:rsidRPr="00A57E2B">
        <w:rPr>
          <w:b/>
          <w:bCs/>
          <w:color w:val="000000" w:themeColor="text1"/>
        </w:rPr>
        <w:t xml:space="preserve"> (2nd ed.). San Francisco, CA: Jossey-Bass.</w:t>
      </w:r>
    </w:p>
    <w:p w14:paraId="20EF3B1F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"By tailoring instructional methods to align with adult learners' characteristics and preferences, educators can enhance engagement, motivation, and retention among learners."</w:t>
      </w:r>
    </w:p>
    <w:p w14:paraId="14BBE76F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Exploring strategies for facilitating meaningful discussions in adult learning contexts.</w:t>
      </w:r>
    </w:p>
    <w:p w14:paraId="07AA58A2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 xml:space="preserve">Additive/Variant Analysis: Brookfield and </w:t>
      </w:r>
      <w:proofErr w:type="spellStart"/>
      <w:r w:rsidRPr="00A57E2B">
        <w:rPr>
          <w:color w:val="000000" w:themeColor="text1"/>
        </w:rPr>
        <w:t>Preskill</w:t>
      </w:r>
      <w:proofErr w:type="spellEnd"/>
      <w:r w:rsidRPr="00A57E2B">
        <w:rPr>
          <w:color w:val="000000" w:themeColor="text1"/>
        </w:rPr>
        <w:t xml:space="preserve"> (2016) offer practical techniques for promoting active participation, critical thinking, and transformative dialogue in adult education settings, emphasizing the role of discussion in facilitating deep learning and perspective transformation.</w:t>
      </w:r>
    </w:p>
    <w:p w14:paraId="2D16E105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book contextualizes the importance of discussion in adult learning, addressing its role in fostering collaboration, reflective inquiry, and transformative discourse among learners.</w:t>
      </w:r>
    </w:p>
    <w:p w14:paraId="61C3500F" w14:textId="77777777" w:rsidR="00A57E2B" w:rsidRPr="00A57E2B" w:rsidRDefault="00A57E2B" w:rsidP="00A57E2B">
      <w:pPr>
        <w:numPr>
          <w:ilvl w:val="0"/>
          <w:numId w:val="8"/>
        </w:numPr>
        <w:rPr>
          <w:b/>
          <w:bCs/>
          <w:color w:val="000000" w:themeColor="text1"/>
        </w:rPr>
      </w:pPr>
      <w:r w:rsidRPr="00A57E2B">
        <w:rPr>
          <w:b/>
          <w:bCs/>
          <w:color w:val="000000" w:themeColor="text1"/>
        </w:rPr>
        <w:t xml:space="preserve">Tough, P. (2017). </w:t>
      </w:r>
      <w:r w:rsidRPr="00A57E2B">
        <w:rPr>
          <w:b/>
          <w:bCs/>
          <w:i/>
          <w:iCs/>
          <w:color w:val="000000" w:themeColor="text1"/>
        </w:rPr>
        <w:t>Helping Children Succeed: What Works and Why</w:t>
      </w:r>
      <w:r w:rsidRPr="00A57E2B">
        <w:rPr>
          <w:b/>
          <w:bCs/>
          <w:color w:val="000000" w:themeColor="text1"/>
        </w:rPr>
        <w:t>. Boston, MA: Houghton Mifflin Harcourt.</w:t>
      </w:r>
    </w:p>
    <w:p w14:paraId="1CE34816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Quote/Paraphrase: "Andragogy, as articulated by Malcolm Knowles, offers a comprehensive framework for understanding and easing adult learning."</w:t>
      </w:r>
    </w:p>
    <w:p w14:paraId="56513867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Essential Element: Examining the parallels between andragogy and effective educational practices for children.</w:t>
      </w:r>
    </w:p>
    <w:p w14:paraId="04ED9B0B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lastRenderedPageBreak/>
        <w:t>Additive/Variant Analysis: Tough (2017) explores the importance of autonomy, experiential learning, and motivation in promoting academic success and resilience among children, drawing connections to andragogical principles of adult learning.</w:t>
      </w:r>
    </w:p>
    <w:p w14:paraId="2A619D62" w14:textId="77777777" w:rsidR="00A57E2B" w:rsidRPr="00A57E2B" w:rsidRDefault="00A57E2B" w:rsidP="00A57E2B">
      <w:pPr>
        <w:ind w:firstLine="0"/>
        <w:rPr>
          <w:color w:val="000000" w:themeColor="text1"/>
        </w:rPr>
      </w:pPr>
      <w:r w:rsidRPr="00A57E2B">
        <w:rPr>
          <w:color w:val="000000" w:themeColor="text1"/>
        </w:rPr>
        <w:t>Contextualization: The book contextualizes effective teaching strategies within the broader context of educational psychology and developmental theory, addressing the implications of andragogy for promoting positive youth development and educational equity.</w:t>
      </w:r>
    </w:p>
    <w:p w14:paraId="502EB91A" w14:textId="77777777" w:rsidR="00A57E2B" w:rsidRPr="00770751" w:rsidRDefault="00A57E2B" w:rsidP="00DE08B4">
      <w:pPr>
        <w:ind w:firstLine="0"/>
        <w:rPr>
          <w:color w:val="000000" w:themeColor="text1"/>
        </w:rPr>
      </w:pPr>
    </w:p>
    <w:p w14:paraId="377EDD78" w14:textId="77777777" w:rsidR="00992596" w:rsidRPr="00770751" w:rsidRDefault="00992596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716AA514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2F4D0BB2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0D6A3527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3169E0B0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5F646FDB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1EE64099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45FF33CC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543BBB58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11E62F22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255E2F3D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2555CAD5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76D31D89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3D1620E0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09887D87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5ED5645B" w14:textId="77777777" w:rsidR="00A57E2B" w:rsidRPr="00770751" w:rsidRDefault="00A57E2B" w:rsidP="00891E59">
      <w:pPr>
        <w:tabs>
          <w:tab w:val="right" w:pos="8640"/>
          <w:tab w:val="right" w:pos="8640"/>
        </w:tabs>
        <w:ind w:left="720" w:hanging="720"/>
        <w:jc w:val="center"/>
      </w:pPr>
    </w:p>
    <w:p w14:paraId="04DB937A" w14:textId="246AFD29" w:rsidR="00613F78" w:rsidRPr="00770751" w:rsidRDefault="00891E59" w:rsidP="00891E59">
      <w:pPr>
        <w:tabs>
          <w:tab w:val="right" w:pos="8640"/>
          <w:tab w:val="right" w:pos="8640"/>
        </w:tabs>
        <w:ind w:left="720" w:hanging="720"/>
        <w:jc w:val="center"/>
        <w:rPr>
          <w:b/>
          <w:bCs/>
        </w:rPr>
      </w:pPr>
      <w:r w:rsidRPr="00770751">
        <w:rPr>
          <w:b/>
          <w:bCs/>
        </w:rPr>
        <w:lastRenderedPageBreak/>
        <w:t>Work</w:t>
      </w:r>
      <w:r w:rsidR="00345046" w:rsidRPr="00770751">
        <w:rPr>
          <w:b/>
          <w:bCs/>
        </w:rPr>
        <w:t>s</w:t>
      </w:r>
      <w:r w:rsidRPr="00770751">
        <w:rPr>
          <w:b/>
          <w:bCs/>
        </w:rPr>
        <w:t xml:space="preserve"> Cited</w:t>
      </w:r>
    </w:p>
    <w:p w14:paraId="7D325B37" w14:textId="160749F6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Brookfield, S. D. (2015). </w:t>
      </w:r>
      <w:r w:rsidRPr="00C53618">
        <w:rPr>
          <w:i/>
          <w:iCs/>
        </w:rPr>
        <w:t>The Skillful Teacher: On Technique, Trust, and Responsiveness in the Classroom</w:t>
      </w:r>
      <w:r w:rsidRPr="00C53618">
        <w:t xml:space="preserve"> (3rd ed.). San Francisco, CA: Jossey-Bass.</w:t>
      </w:r>
    </w:p>
    <w:p w14:paraId="7D9E74F2" w14:textId="77777777" w:rsidR="00C53618" w:rsidRPr="00C53618" w:rsidRDefault="00C53618" w:rsidP="00A57E2B">
      <w:pPr>
        <w:tabs>
          <w:tab w:val="right" w:pos="8640"/>
          <w:tab w:val="right" w:pos="8640"/>
        </w:tabs>
        <w:ind w:left="720" w:hanging="720"/>
      </w:pPr>
    </w:p>
    <w:p w14:paraId="4FCF319E" w14:textId="69AE245A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Brookfield, S. D., &amp; </w:t>
      </w:r>
      <w:proofErr w:type="spellStart"/>
      <w:r w:rsidRPr="00C53618">
        <w:t>Preskill</w:t>
      </w:r>
      <w:proofErr w:type="spellEnd"/>
      <w:r w:rsidRPr="00C53618">
        <w:t xml:space="preserve">, S. (2016). </w:t>
      </w:r>
      <w:r w:rsidRPr="00C53618">
        <w:rPr>
          <w:i/>
          <w:iCs/>
        </w:rPr>
        <w:t>The Discussion Book: 50 Great Ways to Get People Talking</w:t>
      </w:r>
      <w:r w:rsidRPr="00C53618">
        <w:t xml:space="preserve"> (2nd ed.). San Francisco, CA: Jossey-Bass</w:t>
      </w:r>
    </w:p>
    <w:p w14:paraId="436FCCC8" w14:textId="77777777" w:rsidR="00F41B6D" w:rsidRPr="00C53618" w:rsidRDefault="00F41B6D" w:rsidP="00A57E2B">
      <w:pPr>
        <w:tabs>
          <w:tab w:val="right" w:pos="8640"/>
          <w:tab w:val="right" w:pos="8640"/>
        </w:tabs>
        <w:ind w:left="720" w:hanging="720"/>
      </w:pPr>
    </w:p>
    <w:p w14:paraId="1AA7B618" w14:textId="77777777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Cranton, P. (2016). </w:t>
      </w:r>
      <w:r w:rsidRPr="00C53618">
        <w:rPr>
          <w:i/>
          <w:iCs/>
        </w:rPr>
        <w:t>Understanding and Promoting Transformative Learning: A Guide to Theory and Practice</w:t>
      </w:r>
      <w:r w:rsidRPr="00C53618">
        <w:t xml:space="preserve"> (3rd ed.). San Francisco, CA: Jossey-Bass.</w:t>
      </w:r>
    </w:p>
    <w:p w14:paraId="14678C84" w14:textId="77777777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</w:p>
    <w:p w14:paraId="6B6A1026" w14:textId="77777777" w:rsidR="00D433A2" w:rsidRPr="00D433A2" w:rsidRDefault="00D433A2" w:rsidP="00A57E2B">
      <w:pPr>
        <w:tabs>
          <w:tab w:val="right" w:pos="8640"/>
          <w:tab w:val="right" w:pos="8640"/>
        </w:tabs>
        <w:ind w:left="720" w:hanging="720"/>
      </w:pPr>
      <w:r w:rsidRPr="00D433A2">
        <w:t xml:space="preserve">Edmondson, D. R., Boyer, S. L., &amp; Artis, A. B. (2012). Self-Directed Learning: A Meta-Analytic Review of Adult Learning Constructs. </w:t>
      </w:r>
      <w:r w:rsidRPr="00D433A2">
        <w:rPr>
          <w:i/>
          <w:iCs/>
        </w:rPr>
        <w:t>International Journal of Education Research, 7</w:t>
      </w:r>
      <w:r w:rsidRPr="00D433A2">
        <w:t xml:space="preserve">(1), 40-48. </w:t>
      </w:r>
    </w:p>
    <w:p w14:paraId="69BEFE14" w14:textId="77777777" w:rsidR="00D433A2" w:rsidRPr="00C53618" w:rsidRDefault="00D433A2" w:rsidP="00A57E2B">
      <w:pPr>
        <w:tabs>
          <w:tab w:val="right" w:pos="8640"/>
          <w:tab w:val="right" w:pos="8640"/>
        </w:tabs>
        <w:ind w:left="720" w:hanging="720"/>
      </w:pPr>
    </w:p>
    <w:p w14:paraId="3364CDAD" w14:textId="5BB04E3B" w:rsidR="00C53618" w:rsidRPr="00770751" w:rsidRDefault="003D4863" w:rsidP="00A57E2B">
      <w:pPr>
        <w:tabs>
          <w:tab w:val="right" w:pos="8640"/>
          <w:tab w:val="right" w:pos="8640"/>
        </w:tabs>
        <w:ind w:left="720" w:hanging="720"/>
      </w:pPr>
      <w:r w:rsidRPr="00770751">
        <w:t>El-Amin, A. (n.d.). Andragogy: A Theory in Practice in Higher Education. Fort Hays State University.</w:t>
      </w:r>
    </w:p>
    <w:p w14:paraId="2E8F686A" w14:textId="77777777" w:rsidR="005768AA" w:rsidRPr="00770751" w:rsidRDefault="005768AA" w:rsidP="00A57E2B">
      <w:pPr>
        <w:tabs>
          <w:tab w:val="right" w:pos="8640"/>
          <w:tab w:val="right" w:pos="8640"/>
        </w:tabs>
        <w:ind w:left="720" w:hanging="720"/>
      </w:pPr>
    </w:p>
    <w:p w14:paraId="4A213423" w14:textId="4498D920" w:rsidR="003D4863" w:rsidRPr="00770751" w:rsidRDefault="005768AA" w:rsidP="00A57E2B">
      <w:pPr>
        <w:tabs>
          <w:tab w:val="right" w:pos="8640"/>
          <w:tab w:val="right" w:pos="8640"/>
        </w:tabs>
        <w:ind w:left="720" w:hanging="720"/>
      </w:pPr>
      <w:proofErr w:type="spellStart"/>
      <w:r w:rsidRPr="00770751">
        <w:t>Hutasuhut</w:t>
      </w:r>
      <w:proofErr w:type="spellEnd"/>
      <w:r w:rsidRPr="00770751">
        <w:t>, I. J., Abu Bakar, M. A., Abdul Ghani, K., &amp; Bilong, D. P. (2023). Fostering Self-Directed Learning in Higher Education: The Efficacy of Guided Learning Approach among First-Year University Students in Malaysia. Journal of Cognitive Sciences and Human Development, 9(1), 221.</w:t>
      </w:r>
    </w:p>
    <w:p w14:paraId="330E1641" w14:textId="77777777" w:rsidR="005768AA" w:rsidRPr="00C53618" w:rsidRDefault="005768AA" w:rsidP="00A57E2B">
      <w:pPr>
        <w:tabs>
          <w:tab w:val="right" w:pos="8640"/>
          <w:tab w:val="right" w:pos="8640"/>
        </w:tabs>
        <w:ind w:left="720" w:hanging="720"/>
      </w:pPr>
    </w:p>
    <w:p w14:paraId="678FAC97" w14:textId="77777777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Jarvis, P. (2018). </w:t>
      </w:r>
      <w:r w:rsidRPr="00C53618">
        <w:rPr>
          <w:i/>
          <w:iCs/>
        </w:rPr>
        <w:t>Adult Learning in the Social Context</w:t>
      </w:r>
      <w:r w:rsidRPr="00C53618">
        <w:t>. New York: Routledge.</w:t>
      </w:r>
    </w:p>
    <w:p w14:paraId="7324A8D6" w14:textId="77777777" w:rsidR="00C53618" w:rsidRPr="00C53618" w:rsidRDefault="00C53618" w:rsidP="00A57E2B">
      <w:pPr>
        <w:tabs>
          <w:tab w:val="right" w:pos="8640"/>
          <w:tab w:val="right" w:pos="8640"/>
        </w:tabs>
        <w:ind w:left="720" w:hanging="720"/>
      </w:pPr>
    </w:p>
    <w:p w14:paraId="5E8CF394" w14:textId="31526EB1" w:rsidR="00C53618" w:rsidRPr="00C53618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Knowles, M. S., Holton III, E. F., &amp; Swanson, R. A. (2015). </w:t>
      </w:r>
      <w:r w:rsidRPr="00C53618">
        <w:rPr>
          <w:i/>
          <w:iCs/>
        </w:rPr>
        <w:t>The Adult Learner: The Definitive Classic in Adult Education and Human Resource Development</w:t>
      </w:r>
      <w:r w:rsidRPr="00C53618">
        <w:t xml:space="preserve"> (9th ed.). New York: Routledge.</w:t>
      </w:r>
    </w:p>
    <w:p w14:paraId="6BC471B7" w14:textId="77777777" w:rsidR="00A57E2B" w:rsidRPr="00770751" w:rsidRDefault="00A57E2B" w:rsidP="00A57E2B">
      <w:pPr>
        <w:tabs>
          <w:tab w:val="right" w:pos="8640"/>
          <w:tab w:val="right" w:pos="8640"/>
        </w:tabs>
        <w:ind w:left="720" w:hanging="720"/>
      </w:pPr>
    </w:p>
    <w:p w14:paraId="3EAF426D" w14:textId="62FF0089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Merriam, S. B., &amp; Bierema, L. L. (2019). </w:t>
      </w:r>
      <w:r w:rsidRPr="00C53618">
        <w:rPr>
          <w:i/>
          <w:iCs/>
        </w:rPr>
        <w:t>Adult Learning: Linking Theory and Practice</w:t>
      </w:r>
      <w:r w:rsidRPr="00C53618">
        <w:t xml:space="preserve"> (2nd ed.). San Francisco, CA: Jossey-Bass.</w:t>
      </w:r>
    </w:p>
    <w:p w14:paraId="3FC90D48" w14:textId="77777777" w:rsidR="00A57E2B" w:rsidRPr="00770751" w:rsidRDefault="00A57E2B" w:rsidP="00A57E2B">
      <w:pPr>
        <w:tabs>
          <w:tab w:val="right" w:pos="8640"/>
          <w:tab w:val="right" w:pos="8640"/>
        </w:tabs>
        <w:ind w:left="720" w:hanging="720"/>
      </w:pPr>
    </w:p>
    <w:p w14:paraId="14B993DA" w14:textId="65F33F1C" w:rsidR="00C53618" w:rsidRPr="00770751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Taylor, K., Marienau, C., &amp; Fiddler, M. (2019). </w:t>
      </w:r>
      <w:r w:rsidRPr="00C53618">
        <w:rPr>
          <w:i/>
          <w:iCs/>
        </w:rPr>
        <w:t>Facilitating Learning with the Adult Brain in Mind: A Conceptual and Practical Guide</w:t>
      </w:r>
      <w:r w:rsidRPr="00C53618">
        <w:t xml:space="preserve"> (2nd ed.). San Francisco, CA: Jossey-Bass.</w:t>
      </w:r>
    </w:p>
    <w:p w14:paraId="2B3D8639" w14:textId="77777777" w:rsidR="00A57E2B" w:rsidRPr="00770751" w:rsidRDefault="00A57E2B" w:rsidP="00A57E2B">
      <w:pPr>
        <w:tabs>
          <w:tab w:val="right" w:pos="8640"/>
          <w:tab w:val="right" w:pos="8640"/>
        </w:tabs>
        <w:ind w:left="720" w:hanging="720"/>
      </w:pPr>
    </w:p>
    <w:p w14:paraId="2E69BF61" w14:textId="67BBD093" w:rsidR="00C53618" w:rsidRPr="00C53618" w:rsidRDefault="00C53618" w:rsidP="00A57E2B">
      <w:pPr>
        <w:tabs>
          <w:tab w:val="right" w:pos="8640"/>
          <w:tab w:val="right" w:pos="8640"/>
        </w:tabs>
        <w:ind w:left="720" w:hanging="720"/>
      </w:pPr>
      <w:r w:rsidRPr="00C53618">
        <w:t xml:space="preserve">Tough, A. (2017). </w:t>
      </w:r>
      <w:r w:rsidRPr="00C53618">
        <w:rPr>
          <w:i/>
          <w:iCs/>
        </w:rPr>
        <w:t>Helping Children Succeed: What Works and Why</w:t>
      </w:r>
      <w:r w:rsidRPr="00C53618">
        <w:t>. Boston, MA: Houghton Mifflin Harcourt.</w:t>
      </w:r>
    </w:p>
    <w:p w14:paraId="7CBC2393" w14:textId="77777777" w:rsidR="00A57E2B" w:rsidRPr="00770751" w:rsidRDefault="00A57E2B" w:rsidP="00A57E2B">
      <w:pPr>
        <w:tabs>
          <w:tab w:val="right" w:pos="8640"/>
          <w:tab w:val="right" w:pos="8640"/>
        </w:tabs>
        <w:ind w:left="720" w:hanging="720"/>
      </w:pPr>
    </w:p>
    <w:p w14:paraId="579ABF91" w14:textId="086A9AAA" w:rsidR="008D09E3" w:rsidRPr="008D09E3" w:rsidRDefault="008D09E3" w:rsidP="00A57E2B">
      <w:pPr>
        <w:tabs>
          <w:tab w:val="right" w:pos="8640"/>
          <w:tab w:val="right" w:pos="8640"/>
        </w:tabs>
        <w:ind w:left="720" w:hanging="720"/>
      </w:pPr>
      <w:r w:rsidRPr="008D09E3">
        <w:t xml:space="preserve">Sherman, G. L. (2021). Transformative Learning and Well-Being for Emerging Adults in Higher Education. </w:t>
      </w:r>
      <w:r w:rsidRPr="008D09E3">
        <w:rPr>
          <w:i/>
          <w:iCs/>
        </w:rPr>
        <w:t>Journal of Transformative Education, 19</w:t>
      </w:r>
      <w:r w:rsidRPr="008D09E3">
        <w:t>(1), 29-49.</w:t>
      </w:r>
    </w:p>
    <w:p w14:paraId="589284AD" w14:textId="77777777" w:rsidR="008D09E3" w:rsidRPr="00770751" w:rsidRDefault="008D09E3" w:rsidP="004B4F77">
      <w:pPr>
        <w:tabs>
          <w:tab w:val="right" w:pos="8640"/>
          <w:tab w:val="right" w:pos="8640"/>
        </w:tabs>
        <w:ind w:left="720" w:firstLine="0"/>
      </w:pPr>
    </w:p>
    <w:sectPr w:rsidR="008D09E3" w:rsidRPr="0077075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EBF4" w14:textId="77777777" w:rsidR="009C78B1" w:rsidRDefault="009C78B1">
      <w:pPr>
        <w:spacing w:line="240" w:lineRule="auto"/>
      </w:pPr>
      <w:r>
        <w:separator/>
      </w:r>
    </w:p>
  </w:endnote>
  <w:endnote w:type="continuationSeparator" w:id="0">
    <w:p w14:paraId="6ADE9763" w14:textId="77777777" w:rsidR="009C78B1" w:rsidRDefault="009C7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797B" w14:textId="77777777" w:rsidR="009C78B1" w:rsidRDefault="009C78B1">
      <w:pPr>
        <w:spacing w:line="240" w:lineRule="auto"/>
      </w:pPr>
      <w:r>
        <w:separator/>
      </w:r>
    </w:p>
  </w:footnote>
  <w:footnote w:type="continuationSeparator" w:id="0">
    <w:p w14:paraId="4CE7BF76" w14:textId="77777777" w:rsidR="009C78B1" w:rsidRDefault="009C7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299D92DD" w:rsidR="000D5719" w:rsidRDefault="00DF426B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James Hollywood II</w:t>
    </w:r>
    <w:r w:rsidR="00031954">
      <w:rPr>
        <w:sz w:val="20"/>
        <w:szCs w:val="20"/>
      </w:rPr>
      <w:t xml:space="preserve">I, </w:t>
    </w:r>
    <w:r w:rsidR="007D616A">
      <w:rPr>
        <w:sz w:val="20"/>
        <w:szCs w:val="20"/>
      </w:rPr>
      <w:t>PHI 800-12</w:t>
    </w:r>
    <w:r w:rsidR="00982C68">
      <w:rPr>
        <w:sz w:val="20"/>
        <w:szCs w:val="20"/>
      </w:rPr>
      <w:t>- Transformative Learning and Adult Education</w:t>
    </w:r>
    <w:r w:rsidR="00630DF7">
      <w:rPr>
        <w:sz w:val="20"/>
        <w:szCs w:val="20"/>
      </w:rPr>
      <w:t>,</w:t>
    </w:r>
    <w:r w:rsidR="0020786E">
      <w:rPr>
        <w:sz w:val="20"/>
        <w:szCs w:val="20"/>
      </w:rPr>
      <w:t xml:space="preserve"> </w:t>
    </w:r>
    <w:r w:rsidR="00630DF7">
      <w:rPr>
        <w:color w:val="000000"/>
        <w:sz w:val="20"/>
        <w:szCs w:val="20"/>
      </w:rPr>
      <w:t>Assignment</w:t>
    </w:r>
    <w:r w:rsidR="00630DF7">
      <w:rPr>
        <w:sz w:val="20"/>
        <w:szCs w:val="20"/>
      </w:rPr>
      <w:t xml:space="preserve"> #</w:t>
    </w:r>
    <w:r w:rsidR="008443D3">
      <w:rPr>
        <w:sz w:val="20"/>
        <w:szCs w:val="20"/>
      </w:rPr>
      <w:t>2</w:t>
    </w:r>
    <w:r w:rsidR="00630DF7">
      <w:rPr>
        <w:sz w:val="20"/>
        <w:szCs w:val="20"/>
      </w:rPr>
      <w:t>,</w:t>
    </w:r>
    <w:r w:rsidR="0020786E">
      <w:rPr>
        <w:sz w:val="20"/>
        <w:szCs w:val="20"/>
      </w:rPr>
      <w:t xml:space="preserve"> </w:t>
    </w:r>
    <w:r w:rsidR="004D799F">
      <w:rPr>
        <w:sz w:val="20"/>
        <w:szCs w:val="20"/>
      </w:rPr>
      <w:t xml:space="preserve">April </w:t>
    </w:r>
    <w:r w:rsidR="008443D3">
      <w:rPr>
        <w:sz w:val="20"/>
        <w:szCs w:val="20"/>
      </w:rPr>
      <w:t>15</w:t>
    </w:r>
    <w:r w:rsidR="0020786E">
      <w:rPr>
        <w:sz w:val="20"/>
        <w:szCs w:val="20"/>
      </w:rPr>
      <w:t xml:space="preserve">, </w:t>
    </w:r>
    <w:r w:rsidR="00A06395">
      <w:rPr>
        <w:sz w:val="20"/>
        <w:szCs w:val="20"/>
      </w:rPr>
      <w:t>2024,</w:t>
    </w:r>
    <w:r w:rsidR="00630DF7">
      <w:tab/>
      <w:t xml:space="preserve"> </w:t>
    </w:r>
    <w:r w:rsidR="00630DF7">
      <w:rPr>
        <w:color w:val="00000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E5A"/>
    <w:multiLevelType w:val="hybridMultilevel"/>
    <w:tmpl w:val="C0B21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471"/>
    <w:multiLevelType w:val="hybridMultilevel"/>
    <w:tmpl w:val="8DE29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0BC8"/>
    <w:multiLevelType w:val="hybridMultilevel"/>
    <w:tmpl w:val="0E94CABE"/>
    <w:lvl w:ilvl="0" w:tplc="977A8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8BE"/>
    <w:multiLevelType w:val="hybridMultilevel"/>
    <w:tmpl w:val="314A6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4A6B"/>
    <w:multiLevelType w:val="hybridMultilevel"/>
    <w:tmpl w:val="5E685104"/>
    <w:lvl w:ilvl="0" w:tplc="62C458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764D"/>
    <w:multiLevelType w:val="hybridMultilevel"/>
    <w:tmpl w:val="61509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C53E1"/>
    <w:multiLevelType w:val="hybridMultilevel"/>
    <w:tmpl w:val="A40E4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56427"/>
    <w:multiLevelType w:val="hybridMultilevel"/>
    <w:tmpl w:val="3ABA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74713">
    <w:abstractNumId w:val="2"/>
  </w:num>
  <w:num w:numId="2" w16cid:durableId="277952253">
    <w:abstractNumId w:val="1"/>
  </w:num>
  <w:num w:numId="3" w16cid:durableId="1922325120">
    <w:abstractNumId w:val="5"/>
  </w:num>
  <w:num w:numId="4" w16cid:durableId="1834031437">
    <w:abstractNumId w:val="6"/>
  </w:num>
  <w:num w:numId="5" w16cid:durableId="1818567887">
    <w:abstractNumId w:val="0"/>
  </w:num>
  <w:num w:numId="6" w16cid:durableId="903249692">
    <w:abstractNumId w:val="7"/>
  </w:num>
  <w:num w:numId="7" w16cid:durableId="717894909">
    <w:abstractNumId w:val="3"/>
  </w:num>
  <w:num w:numId="8" w16cid:durableId="25528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19"/>
    <w:rsid w:val="0000075C"/>
    <w:rsid w:val="00005D52"/>
    <w:rsid w:val="000078C9"/>
    <w:rsid w:val="000214F2"/>
    <w:rsid w:val="00031954"/>
    <w:rsid w:val="00052D9A"/>
    <w:rsid w:val="000B099A"/>
    <w:rsid w:val="000B10A6"/>
    <w:rsid w:val="000D5719"/>
    <w:rsid w:val="000E0B6D"/>
    <w:rsid w:val="000E31AB"/>
    <w:rsid w:val="00115811"/>
    <w:rsid w:val="00115EB5"/>
    <w:rsid w:val="0012163A"/>
    <w:rsid w:val="00155E4E"/>
    <w:rsid w:val="001A3757"/>
    <w:rsid w:val="001A60AC"/>
    <w:rsid w:val="001B713F"/>
    <w:rsid w:val="001C4C70"/>
    <w:rsid w:val="001C6467"/>
    <w:rsid w:val="001D1318"/>
    <w:rsid w:val="00204815"/>
    <w:rsid w:val="0020786E"/>
    <w:rsid w:val="00211032"/>
    <w:rsid w:val="00256EC3"/>
    <w:rsid w:val="0026038D"/>
    <w:rsid w:val="00267E22"/>
    <w:rsid w:val="002A6406"/>
    <w:rsid w:val="002B40B4"/>
    <w:rsid w:val="002D6FAA"/>
    <w:rsid w:val="002E210C"/>
    <w:rsid w:val="002E7A94"/>
    <w:rsid w:val="0030370E"/>
    <w:rsid w:val="00334672"/>
    <w:rsid w:val="00342469"/>
    <w:rsid w:val="00345046"/>
    <w:rsid w:val="003455BC"/>
    <w:rsid w:val="0036646B"/>
    <w:rsid w:val="00394D35"/>
    <w:rsid w:val="003C0CFF"/>
    <w:rsid w:val="003D4863"/>
    <w:rsid w:val="003F1B1A"/>
    <w:rsid w:val="00440C13"/>
    <w:rsid w:val="00450AEC"/>
    <w:rsid w:val="00454349"/>
    <w:rsid w:val="004664C6"/>
    <w:rsid w:val="00481850"/>
    <w:rsid w:val="004948E6"/>
    <w:rsid w:val="004961B6"/>
    <w:rsid w:val="004A07B0"/>
    <w:rsid w:val="004B4F77"/>
    <w:rsid w:val="004D5131"/>
    <w:rsid w:val="004D799F"/>
    <w:rsid w:val="004E7ED2"/>
    <w:rsid w:val="00524532"/>
    <w:rsid w:val="00533F7B"/>
    <w:rsid w:val="00533F83"/>
    <w:rsid w:val="0053714F"/>
    <w:rsid w:val="00556507"/>
    <w:rsid w:val="005619E2"/>
    <w:rsid w:val="005768AA"/>
    <w:rsid w:val="005B1256"/>
    <w:rsid w:val="005B7593"/>
    <w:rsid w:val="005D3A02"/>
    <w:rsid w:val="005F1D13"/>
    <w:rsid w:val="00613F78"/>
    <w:rsid w:val="00630DF7"/>
    <w:rsid w:val="006313E0"/>
    <w:rsid w:val="006335FE"/>
    <w:rsid w:val="00645B58"/>
    <w:rsid w:val="00672BAC"/>
    <w:rsid w:val="006A0028"/>
    <w:rsid w:val="006B2A1C"/>
    <w:rsid w:val="006C6A3B"/>
    <w:rsid w:val="006D3F6F"/>
    <w:rsid w:val="006F4E34"/>
    <w:rsid w:val="00723A30"/>
    <w:rsid w:val="00732518"/>
    <w:rsid w:val="007500B0"/>
    <w:rsid w:val="007501FD"/>
    <w:rsid w:val="00770751"/>
    <w:rsid w:val="007770AA"/>
    <w:rsid w:val="0078664E"/>
    <w:rsid w:val="00786CB1"/>
    <w:rsid w:val="00792F2F"/>
    <w:rsid w:val="007940D0"/>
    <w:rsid w:val="007C5DB4"/>
    <w:rsid w:val="007D616A"/>
    <w:rsid w:val="007E5B3B"/>
    <w:rsid w:val="008443D3"/>
    <w:rsid w:val="008561C8"/>
    <w:rsid w:val="008835FF"/>
    <w:rsid w:val="00891E59"/>
    <w:rsid w:val="008A0D85"/>
    <w:rsid w:val="008B0ED4"/>
    <w:rsid w:val="008B4664"/>
    <w:rsid w:val="008D09E3"/>
    <w:rsid w:val="008D0C0D"/>
    <w:rsid w:val="009142CF"/>
    <w:rsid w:val="0094765C"/>
    <w:rsid w:val="00956311"/>
    <w:rsid w:val="00965C19"/>
    <w:rsid w:val="00982C68"/>
    <w:rsid w:val="00986739"/>
    <w:rsid w:val="00992596"/>
    <w:rsid w:val="009A143F"/>
    <w:rsid w:val="009A180E"/>
    <w:rsid w:val="009B7754"/>
    <w:rsid w:val="009C46A3"/>
    <w:rsid w:val="009C78B1"/>
    <w:rsid w:val="009E3D81"/>
    <w:rsid w:val="009F3404"/>
    <w:rsid w:val="009F4777"/>
    <w:rsid w:val="00A06395"/>
    <w:rsid w:val="00A102EB"/>
    <w:rsid w:val="00A34E96"/>
    <w:rsid w:val="00A44DE3"/>
    <w:rsid w:val="00A5117E"/>
    <w:rsid w:val="00A57E2B"/>
    <w:rsid w:val="00A70102"/>
    <w:rsid w:val="00A80534"/>
    <w:rsid w:val="00A8440E"/>
    <w:rsid w:val="00A86998"/>
    <w:rsid w:val="00A909D1"/>
    <w:rsid w:val="00A94FA6"/>
    <w:rsid w:val="00AC28E7"/>
    <w:rsid w:val="00AE4F76"/>
    <w:rsid w:val="00AF7BAA"/>
    <w:rsid w:val="00B0712D"/>
    <w:rsid w:val="00B24470"/>
    <w:rsid w:val="00B40B5E"/>
    <w:rsid w:val="00B46243"/>
    <w:rsid w:val="00B53E91"/>
    <w:rsid w:val="00B62797"/>
    <w:rsid w:val="00B643BD"/>
    <w:rsid w:val="00B6716D"/>
    <w:rsid w:val="00B71DFA"/>
    <w:rsid w:val="00BC59D7"/>
    <w:rsid w:val="00BD1C6D"/>
    <w:rsid w:val="00C11F95"/>
    <w:rsid w:val="00C13A05"/>
    <w:rsid w:val="00C30175"/>
    <w:rsid w:val="00C344D6"/>
    <w:rsid w:val="00C36CB3"/>
    <w:rsid w:val="00C53618"/>
    <w:rsid w:val="00C611EA"/>
    <w:rsid w:val="00C90849"/>
    <w:rsid w:val="00CB69B5"/>
    <w:rsid w:val="00CD57D1"/>
    <w:rsid w:val="00D02DDC"/>
    <w:rsid w:val="00D225AB"/>
    <w:rsid w:val="00D26CFF"/>
    <w:rsid w:val="00D317B4"/>
    <w:rsid w:val="00D433A2"/>
    <w:rsid w:val="00D4577B"/>
    <w:rsid w:val="00D45A5D"/>
    <w:rsid w:val="00D71602"/>
    <w:rsid w:val="00D73191"/>
    <w:rsid w:val="00D73CFB"/>
    <w:rsid w:val="00D75145"/>
    <w:rsid w:val="00DB0F07"/>
    <w:rsid w:val="00DB24F7"/>
    <w:rsid w:val="00DC4C92"/>
    <w:rsid w:val="00DC5DBE"/>
    <w:rsid w:val="00DE08B4"/>
    <w:rsid w:val="00DE5422"/>
    <w:rsid w:val="00DF3C52"/>
    <w:rsid w:val="00DF426B"/>
    <w:rsid w:val="00E34416"/>
    <w:rsid w:val="00E36A7E"/>
    <w:rsid w:val="00E62A5F"/>
    <w:rsid w:val="00EA5543"/>
    <w:rsid w:val="00EB45A6"/>
    <w:rsid w:val="00EB6E68"/>
    <w:rsid w:val="00EC627C"/>
    <w:rsid w:val="00EE1068"/>
    <w:rsid w:val="00EE38BA"/>
    <w:rsid w:val="00EF14CF"/>
    <w:rsid w:val="00EF4B6D"/>
    <w:rsid w:val="00EF613B"/>
    <w:rsid w:val="00F11193"/>
    <w:rsid w:val="00F20CCA"/>
    <w:rsid w:val="00F248B5"/>
    <w:rsid w:val="00F41B6D"/>
    <w:rsid w:val="00F65F48"/>
    <w:rsid w:val="00F904CC"/>
    <w:rsid w:val="00F95952"/>
    <w:rsid w:val="00FB1D55"/>
    <w:rsid w:val="00FD4266"/>
    <w:rsid w:val="00FD6A6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B4DB5"/>
  <w15:docId w15:val="{34C17501-2183-4B51-B22A-EDDCD17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866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5A0F088F-6D3E-4CDB-A12B-E4B7C823B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1800</Words>
  <Characters>12439</Characters>
  <Application>Microsoft Office Word</Application>
  <DocSecurity>0</DocSecurity>
  <Lines>259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Hollywood III</dc:creator>
  <dc:description>Notes to self: Final version; draft 1,2,3 in personal Google folder</dc:description>
  <cp:lastModifiedBy>James Earl Hollywood III</cp:lastModifiedBy>
  <cp:revision>2</cp:revision>
  <dcterms:created xsi:type="dcterms:W3CDTF">2024-04-27T16:40:00Z</dcterms:created>
  <dcterms:modified xsi:type="dcterms:W3CDTF">2024-04-27T16:40:00Z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7b98ebdb314cd87e1f1f3715b026cc47179f6590fa79cb5a2d0485c4f2b9925e</vt:lpwstr>
  </property>
</Properties>
</file>