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A47B24" w:rsidRDefault="00A47B24">
      <w:pPr>
        <w:pBdr>
          <w:top w:val="nil"/>
          <w:left w:val="nil"/>
          <w:bottom w:val="nil"/>
          <w:right w:val="nil"/>
          <w:between w:val="nil"/>
        </w:pBdr>
        <w:rPr>
          <w:color w:val="000000"/>
        </w:rPr>
      </w:pPr>
      <w:bookmarkStart w:id="0" w:name="_heading=h.gjdgxs" w:colFirst="0" w:colLast="0"/>
      <w:bookmarkEnd w:id="0"/>
    </w:p>
    <w:p w14:paraId="00000002" w14:textId="77777777" w:rsidR="00A47B24" w:rsidRDefault="00A47B24">
      <w:pPr>
        <w:rPr>
          <w:b/>
        </w:rPr>
      </w:pPr>
    </w:p>
    <w:p w14:paraId="00000003" w14:textId="77777777" w:rsidR="00A47B24" w:rsidRDefault="00A47B24">
      <w:pPr>
        <w:rPr>
          <w:b/>
        </w:rPr>
      </w:pPr>
    </w:p>
    <w:p w14:paraId="00000004" w14:textId="77777777" w:rsidR="00A47B24" w:rsidRDefault="00A47B24">
      <w:pPr>
        <w:rPr>
          <w:b/>
        </w:rPr>
      </w:pPr>
    </w:p>
    <w:p w14:paraId="00000005" w14:textId="77777777" w:rsidR="00A47B24" w:rsidRDefault="00A47B24">
      <w:pPr>
        <w:rPr>
          <w:b/>
        </w:rPr>
      </w:pPr>
    </w:p>
    <w:p w14:paraId="00000006" w14:textId="77777777" w:rsidR="00A47B24" w:rsidRDefault="00A47B24">
      <w:pPr>
        <w:rPr>
          <w:b/>
        </w:rPr>
      </w:pPr>
    </w:p>
    <w:p w14:paraId="00000007" w14:textId="77777777" w:rsidR="00A47B24" w:rsidRDefault="00A47B24">
      <w:pPr>
        <w:rPr>
          <w:b/>
        </w:rPr>
      </w:pPr>
    </w:p>
    <w:p w14:paraId="00000008" w14:textId="77777777" w:rsidR="00A47B24" w:rsidRDefault="00A47B24">
      <w:pPr>
        <w:rPr>
          <w:b/>
        </w:rPr>
      </w:pPr>
    </w:p>
    <w:p w14:paraId="00000009" w14:textId="77777777" w:rsidR="00A47B24" w:rsidRDefault="00A47B24">
      <w:pPr>
        <w:rPr>
          <w:b/>
        </w:rPr>
      </w:pPr>
    </w:p>
    <w:p w14:paraId="0000000A" w14:textId="77777777" w:rsidR="00A47B24" w:rsidRDefault="00A47B24">
      <w:pPr>
        <w:rPr>
          <w:b/>
        </w:rPr>
      </w:pPr>
    </w:p>
    <w:p w14:paraId="0000000B" w14:textId="77777777" w:rsidR="00A47B24" w:rsidRDefault="00A47B24">
      <w:pPr>
        <w:rPr>
          <w:b/>
        </w:rPr>
      </w:pPr>
    </w:p>
    <w:p w14:paraId="0000000C" w14:textId="77777777" w:rsidR="00A47B24" w:rsidRDefault="00A47B24">
      <w:pPr>
        <w:rPr>
          <w:b/>
        </w:rPr>
      </w:pPr>
    </w:p>
    <w:p w14:paraId="0000000D" w14:textId="77777777" w:rsidR="00A47B24" w:rsidRDefault="00A47B24">
      <w:pPr>
        <w:rPr>
          <w:b/>
        </w:rPr>
      </w:pPr>
    </w:p>
    <w:p w14:paraId="0000000E" w14:textId="77777777" w:rsidR="00A47B24" w:rsidRDefault="00000000">
      <w:pPr>
        <w:jc w:val="center"/>
      </w:pPr>
      <w:r>
        <w:t>PHI-800 Transformative Learning and Adult Education</w:t>
      </w:r>
    </w:p>
    <w:p w14:paraId="0000000F" w14:textId="77777777" w:rsidR="00A47B24" w:rsidRDefault="00A47B24">
      <w:pPr>
        <w:jc w:val="center"/>
      </w:pPr>
    </w:p>
    <w:p w14:paraId="00000010" w14:textId="77777777" w:rsidR="00A47B24" w:rsidRDefault="00000000">
      <w:pPr>
        <w:jc w:val="center"/>
      </w:pPr>
      <w:r>
        <w:t>C. Brian Diggs</w:t>
      </w:r>
    </w:p>
    <w:p w14:paraId="00000011" w14:textId="77777777" w:rsidR="00A47B24" w:rsidRDefault="00A47B24">
      <w:pPr>
        <w:jc w:val="center"/>
      </w:pPr>
    </w:p>
    <w:p w14:paraId="00000012" w14:textId="77777777" w:rsidR="00A47B24" w:rsidRDefault="00000000">
      <w:pPr>
        <w:jc w:val="center"/>
      </w:pPr>
      <w:r>
        <w:t>Omega Graduate School</w:t>
      </w:r>
    </w:p>
    <w:p w14:paraId="00000013" w14:textId="77777777" w:rsidR="00A47B24" w:rsidRDefault="00A47B24">
      <w:pPr>
        <w:jc w:val="center"/>
      </w:pPr>
    </w:p>
    <w:p w14:paraId="00000014" w14:textId="77777777" w:rsidR="00A47B24" w:rsidRDefault="00000000">
      <w:pPr>
        <w:jc w:val="center"/>
      </w:pPr>
      <w:r>
        <w:t>Date: May 18, 2024</w:t>
      </w:r>
    </w:p>
    <w:p w14:paraId="00000015" w14:textId="77777777" w:rsidR="00A47B24" w:rsidRDefault="00A47B24">
      <w:pPr>
        <w:jc w:val="center"/>
      </w:pPr>
    </w:p>
    <w:p w14:paraId="00000016" w14:textId="77777777" w:rsidR="00A47B24" w:rsidRDefault="00A47B24">
      <w:pPr>
        <w:jc w:val="center"/>
      </w:pPr>
    </w:p>
    <w:p w14:paraId="00000017" w14:textId="77777777" w:rsidR="00A47B24" w:rsidRDefault="00A47B24">
      <w:pPr>
        <w:jc w:val="center"/>
      </w:pPr>
    </w:p>
    <w:p w14:paraId="00000018" w14:textId="77777777" w:rsidR="00A47B24" w:rsidRDefault="00A47B24">
      <w:pPr>
        <w:jc w:val="center"/>
      </w:pPr>
    </w:p>
    <w:p w14:paraId="00000019" w14:textId="77777777" w:rsidR="00A47B24" w:rsidRDefault="00A47B24">
      <w:pPr>
        <w:jc w:val="center"/>
      </w:pPr>
    </w:p>
    <w:p w14:paraId="0000001A" w14:textId="77777777" w:rsidR="00A47B24" w:rsidRDefault="00000000">
      <w:pPr>
        <w:jc w:val="center"/>
      </w:pPr>
      <w:r>
        <w:t>Professor</w:t>
      </w:r>
    </w:p>
    <w:p w14:paraId="0000001B" w14:textId="77777777" w:rsidR="00A47B24" w:rsidRDefault="00A47B24">
      <w:pPr>
        <w:jc w:val="center"/>
      </w:pPr>
    </w:p>
    <w:p w14:paraId="0000001C" w14:textId="77777777" w:rsidR="00A47B24" w:rsidRDefault="00A47B24">
      <w:pPr>
        <w:jc w:val="center"/>
      </w:pPr>
    </w:p>
    <w:p w14:paraId="0000001D" w14:textId="77777777" w:rsidR="00A47B24" w:rsidRDefault="00000000">
      <w:pPr>
        <w:jc w:val="center"/>
      </w:pPr>
      <w:r>
        <w:t>Sara Reichard, EdD</w:t>
      </w:r>
    </w:p>
    <w:p w14:paraId="0000001E" w14:textId="77777777" w:rsidR="00A47B24" w:rsidRDefault="00000000">
      <w:pPr>
        <w:jc w:val="center"/>
        <w:rPr>
          <w:b/>
        </w:rPr>
      </w:pPr>
      <w:r>
        <w:br w:type="page"/>
      </w:r>
    </w:p>
    <w:p w14:paraId="0000001F" w14:textId="77777777" w:rsidR="00A47B24" w:rsidRDefault="00000000">
      <w:pPr>
        <w:pStyle w:val="Title"/>
        <w:keepLines w:val="0"/>
        <w:tabs>
          <w:tab w:val="right" w:pos="8640"/>
        </w:tabs>
        <w:spacing w:before="0" w:after="0" w:line="480" w:lineRule="auto"/>
        <w:jc w:val="center"/>
        <w:rPr>
          <w:sz w:val="24"/>
          <w:szCs w:val="24"/>
        </w:rPr>
      </w:pPr>
      <w:r>
        <w:rPr>
          <w:sz w:val="24"/>
          <w:szCs w:val="24"/>
        </w:rPr>
        <w:lastRenderedPageBreak/>
        <w:t>Assignment #3- Essay</w:t>
      </w:r>
    </w:p>
    <w:p w14:paraId="00000020" w14:textId="77777777" w:rsidR="00A47B24" w:rsidRDefault="00000000">
      <w:pPr>
        <w:spacing w:line="480" w:lineRule="auto"/>
        <w:ind w:left="720"/>
        <w:jc w:val="both"/>
      </w:pPr>
      <w:r>
        <w:t xml:space="preserve"> 1. Write a 5-page paper based on one (1) of the three (3) items below: </w:t>
      </w:r>
    </w:p>
    <w:p w14:paraId="00000021" w14:textId="77777777" w:rsidR="00A47B24" w:rsidRDefault="00000000">
      <w:pPr>
        <w:spacing w:line="480" w:lineRule="auto"/>
        <w:ind w:left="720"/>
        <w:jc w:val="both"/>
      </w:pPr>
      <w:r>
        <w:t>● List and discuss the fundamental principles of adult education theory. Identify elements of the OGS degree program that correspond to each principle.</w:t>
      </w:r>
    </w:p>
    <w:p w14:paraId="00000022" w14:textId="21F16949" w:rsidR="00A47B24" w:rsidRDefault="00000000">
      <w:pPr>
        <w:spacing w:line="480" w:lineRule="auto"/>
        <w:ind w:left="720"/>
        <w:jc w:val="both"/>
      </w:pPr>
      <w:r>
        <w:t xml:space="preserve"> ● Explain Jack </w:t>
      </w:r>
      <w:r w:rsidR="008A5E9A">
        <w:t>Mezirow’s</w:t>
      </w:r>
      <w:r>
        <w:t xml:space="preserve"> transformative learning theory. How does the OGS approach to transformative learning promote critical reflection for transcending barriers to personal growth and social impact? </w:t>
      </w:r>
    </w:p>
    <w:p w14:paraId="00000023" w14:textId="77777777" w:rsidR="00A47B24" w:rsidRDefault="00000000">
      <w:pPr>
        <w:spacing w:line="480" w:lineRule="auto"/>
        <w:ind w:left="720"/>
        <w:jc w:val="both"/>
      </w:pPr>
      <w:r>
        <w:t xml:space="preserve">● Assess Jane Vella's 12 Twelve Principles for Effective Adult Learning and the application of quantum thinking. Discuss how OGS promotes quantum thinking (holistic, integrated, spiritual, and energetic). </w:t>
      </w:r>
    </w:p>
    <w:p w14:paraId="00000024" w14:textId="77777777" w:rsidR="00A47B24" w:rsidRDefault="00000000">
      <w:pPr>
        <w:spacing w:line="480" w:lineRule="auto"/>
        <w:ind w:left="720"/>
        <w:jc w:val="both"/>
      </w:pPr>
      <w:r>
        <w:t xml:space="preserve">2. Paper Outline </w:t>
      </w:r>
    </w:p>
    <w:p w14:paraId="00000025" w14:textId="77777777" w:rsidR="00A47B24" w:rsidRDefault="00000000">
      <w:pPr>
        <w:spacing w:line="480" w:lineRule="auto"/>
        <w:ind w:left="720"/>
        <w:jc w:val="both"/>
      </w:pPr>
      <w:r>
        <w:t xml:space="preserve">a. Begin with an introductory paragraph that has a succinct thesis statement. </w:t>
      </w:r>
    </w:p>
    <w:p w14:paraId="00000026" w14:textId="77777777" w:rsidR="00A47B24" w:rsidRDefault="00000000">
      <w:pPr>
        <w:spacing w:line="480" w:lineRule="auto"/>
        <w:ind w:left="720"/>
        <w:jc w:val="both"/>
      </w:pPr>
      <w:r>
        <w:t xml:space="preserve">b. Address the topic of the paper with critical thought. </w:t>
      </w:r>
    </w:p>
    <w:p w14:paraId="00000027" w14:textId="77777777" w:rsidR="00A47B24" w:rsidRDefault="00000000">
      <w:pPr>
        <w:spacing w:line="480" w:lineRule="auto"/>
        <w:ind w:left="720"/>
        <w:jc w:val="both"/>
      </w:pPr>
      <w:r>
        <w:t xml:space="preserve">c. End with a conclusion that reaffirms your thesis. </w:t>
      </w:r>
    </w:p>
    <w:p w14:paraId="00000028" w14:textId="77777777" w:rsidR="00A47B24" w:rsidRDefault="00000000">
      <w:pPr>
        <w:spacing w:line="480" w:lineRule="auto"/>
        <w:ind w:left="720"/>
        <w:jc w:val="both"/>
      </w:pPr>
      <w:r>
        <w:t>d. Use a minimum of seven scholarly research sources (two books and the remaining scholarly peer-reviewed journal articles).</w:t>
      </w:r>
    </w:p>
    <w:p w14:paraId="00000029" w14:textId="77777777" w:rsidR="00A47B24" w:rsidRDefault="00A47B24">
      <w:pPr>
        <w:spacing w:line="480" w:lineRule="auto"/>
        <w:ind w:left="720"/>
        <w:jc w:val="both"/>
      </w:pPr>
    </w:p>
    <w:p w14:paraId="0000002A" w14:textId="77777777" w:rsidR="00A47B24" w:rsidRDefault="00A47B24">
      <w:pPr>
        <w:spacing w:line="480" w:lineRule="auto"/>
        <w:ind w:left="720"/>
        <w:jc w:val="both"/>
      </w:pPr>
    </w:p>
    <w:p w14:paraId="0000002B" w14:textId="77777777" w:rsidR="00A47B24" w:rsidRDefault="00A47B24">
      <w:pPr>
        <w:spacing w:line="480" w:lineRule="auto"/>
        <w:ind w:left="720"/>
        <w:jc w:val="both"/>
      </w:pPr>
    </w:p>
    <w:p w14:paraId="0000002C" w14:textId="77777777" w:rsidR="00A47B24" w:rsidRDefault="00A47B24">
      <w:pPr>
        <w:spacing w:line="480" w:lineRule="auto"/>
        <w:ind w:left="720"/>
        <w:jc w:val="both"/>
        <w:rPr>
          <w:b/>
        </w:rPr>
      </w:pPr>
    </w:p>
    <w:p w14:paraId="0000002D" w14:textId="77777777" w:rsidR="00A47B24" w:rsidRDefault="00A47B24">
      <w:pPr>
        <w:spacing w:line="480" w:lineRule="auto"/>
        <w:ind w:left="720"/>
        <w:jc w:val="both"/>
        <w:rPr>
          <w:b/>
        </w:rPr>
      </w:pPr>
    </w:p>
    <w:p w14:paraId="0000002E" w14:textId="77777777" w:rsidR="00A47B24" w:rsidRDefault="00A47B24">
      <w:pPr>
        <w:spacing w:line="480" w:lineRule="auto"/>
        <w:ind w:left="720"/>
        <w:jc w:val="both"/>
        <w:rPr>
          <w:b/>
        </w:rPr>
      </w:pPr>
    </w:p>
    <w:p w14:paraId="0000002F" w14:textId="77777777" w:rsidR="00A47B24" w:rsidRDefault="00A47B24">
      <w:pPr>
        <w:spacing w:line="480" w:lineRule="auto"/>
        <w:ind w:left="720"/>
        <w:jc w:val="both"/>
        <w:rPr>
          <w:b/>
        </w:rPr>
      </w:pPr>
    </w:p>
    <w:p w14:paraId="00000030" w14:textId="47C14690" w:rsidR="00A47B24" w:rsidRDefault="00000000">
      <w:pPr>
        <w:spacing w:line="480" w:lineRule="auto"/>
        <w:ind w:left="600" w:right="600"/>
        <w:rPr>
          <w:highlight w:val="white"/>
        </w:rPr>
      </w:pPr>
      <w:r>
        <w:rPr>
          <w:highlight w:val="white"/>
        </w:rPr>
        <w:lastRenderedPageBreak/>
        <w:t xml:space="preserve">This paper aims to explore Jack Mezirow's transformative learning theory and its application at Omega Graduate School, OGS, to demonstrate the effectiveness and importance of transformative learning in adult education. </w:t>
      </w:r>
      <w:r w:rsidR="0024038E">
        <w:rPr>
          <w:highlight w:val="white"/>
        </w:rPr>
        <w:t>OGS's application of this theory and its unique approach to transformative learning sets it apart</w:t>
      </w:r>
      <w:r>
        <w:rPr>
          <w:highlight w:val="white"/>
        </w:rPr>
        <w:t xml:space="preserve">. OGS integrates various elements to facilitate personal growth, self-reflection, and expanded consciousness, offering a distinct and intriguing perspective on transformative learning. </w:t>
      </w:r>
    </w:p>
    <w:p w14:paraId="00000031" w14:textId="31B75B48" w:rsidR="00A47B24" w:rsidRDefault="00000000">
      <w:pPr>
        <w:spacing w:line="480" w:lineRule="auto"/>
        <w:ind w:left="600" w:right="600"/>
        <w:rPr>
          <w:highlight w:val="white"/>
        </w:rPr>
      </w:pPr>
      <w:r>
        <w:rPr>
          <w:color w:val="222222"/>
          <w:highlight w:val="white"/>
        </w:rPr>
        <w:t xml:space="preserve">OGS recognizes that transformative learning extends beyond intellectual development. It embraces a holistic approach encompassing emotional, spiritual, and physical dimensions of growth. The curriculum includes mindfulness meditation, promoting self-awareness, and integrating mind, body, and spirit. In addition to these elements, OGS promotes a holistic, integrated, spiritual, and energetic approach to learning. This unique concept is integrated into various aspects of the curriculum, encouraging students to think beyond traditional boundaries and explore new perspectives. </w:t>
      </w:r>
      <w:r>
        <w:rPr>
          <w:highlight w:val="white"/>
        </w:rPr>
        <w:t xml:space="preserve"> According to Mezirow, transformative learning involves a disorienting dilemma, a situation or experience that challenges an individual's beliefs or worldview. This dilemma creates a sense of discomfort and prompts individuals to reflect on their assumptions critically and consider alternative perspectives (Mezirow &amp; Taylor, 2009).</w:t>
      </w:r>
    </w:p>
    <w:p w14:paraId="00000032" w14:textId="77777777" w:rsidR="00A47B24" w:rsidRDefault="00000000">
      <w:pPr>
        <w:spacing w:line="480" w:lineRule="auto"/>
        <w:ind w:left="600" w:right="600"/>
        <w:rPr>
          <w:highlight w:val="white"/>
        </w:rPr>
      </w:pPr>
      <w:r>
        <w:rPr>
          <w:highlight w:val="white"/>
        </w:rPr>
        <w:t xml:space="preserve">Through the transformative learning process, individuals may experience a profound shift in their understanding of themselves, others, and the world around them. This process is about acquiring knowledge, personal growth, and transformation. It is about challenging one's beliefs, questioning assumptions, and embracing new </w:t>
      </w:r>
      <w:r>
        <w:rPr>
          <w:highlight w:val="white"/>
        </w:rPr>
        <w:lastRenderedPageBreak/>
        <w:t>perspectives. This emphasis on personal growth can inspire and motivate the audience, especially students, to embrace transformative learning.</w:t>
      </w:r>
    </w:p>
    <w:p w14:paraId="00000033" w14:textId="1D53A80F" w:rsidR="00A47B24" w:rsidRDefault="00000000">
      <w:pPr>
        <w:spacing w:line="480" w:lineRule="auto"/>
        <w:ind w:left="600" w:right="600"/>
        <w:rPr>
          <w:highlight w:val="white"/>
        </w:rPr>
      </w:pPr>
      <w:r>
        <w:rPr>
          <w:highlight w:val="white"/>
        </w:rPr>
        <w:t xml:space="preserve"> One of the most significant </w:t>
      </w:r>
      <w:r w:rsidR="0024038E">
        <w:rPr>
          <w:highlight w:val="white"/>
        </w:rPr>
        <w:t>adult learning types</w:t>
      </w:r>
      <w:r>
        <w:rPr>
          <w:highlight w:val="white"/>
        </w:rPr>
        <w:t xml:space="preserve"> is communicative </w:t>
      </w:r>
      <w:r w:rsidR="008A5E9A">
        <w:rPr>
          <w:highlight w:val="white"/>
        </w:rPr>
        <w:t>learning.</w:t>
      </w:r>
      <w:r w:rsidR="0024038E">
        <w:rPr>
          <w:highlight w:val="white"/>
        </w:rPr>
        <w:t xml:space="preserve"> </w:t>
      </w:r>
      <w:r>
        <w:rPr>
          <w:highlight w:val="white"/>
        </w:rPr>
        <w:t xml:space="preserve">This type of learning entails identifying problematic ideas, beliefs, values, and feelings, critically assessing their underlying assumptions, testing their justification through rational discourse, and striving for decisions through consensus building. Communicative learning is a </w:t>
      </w:r>
      <w:r w:rsidR="0024038E">
        <w:rPr>
          <w:highlight w:val="white"/>
        </w:rPr>
        <w:t>critical</w:t>
      </w:r>
      <w:r>
        <w:rPr>
          <w:highlight w:val="white"/>
        </w:rPr>
        <w:t xml:space="preserve"> component of transformative learning, as it encourages individuals to engage in open and honest communication, challenge their beliefs, and seek consensus. This type of learning is particularly effective in group settings, where individuals can learn from each other's perspectives and experiences.</w:t>
      </w:r>
    </w:p>
    <w:p w14:paraId="00000034" w14:textId="76C9AF40" w:rsidR="00A47B24" w:rsidRDefault="00000000">
      <w:pPr>
        <w:spacing w:line="480" w:lineRule="auto"/>
        <w:ind w:left="600" w:right="600"/>
        <w:rPr>
          <w:highlight w:val="white"/>
        </w:rPr>
      </w:pPr>
      <w:r>
        <w:rPr>
          <w:highlight w:val="white"/>
        </w:rPr>
        <w:t>Critical reflection is a cornerstone of transformative learning at OGS.  Students are encouraged to engage in reflective practices such as journaling, contemplation, and dialogue. Teachers play an essential role in fostering critical reflection. They must create a safe space for expressing different views. Moreover, university teachers need to know and understand which study methods are best suited to develop critical thinking skills and, thus, critical reflection in the subject they teach to try them out and replace inappropriate methods with more effective ones. This process, therefore, also requires teachers’ ability to reflect (</w:t>
      </w:r>
      <w:proofErr w:type="spellStart"/>
      <w:r>
        <w:rPr>
          <w:highlight w:val="white"/>
        </w:rPr>
        <w:t>Valdonė</w:t>
      </w:r>
      <w:proofErr w:type="spellEnd"/>
      <w:r>
        <w:rPr>
          <w:highlight w:val="white"/>
        </w:rPr>
        <w:t xml:space="preserve"> </w:t>
      </w:r>
      <w:proofErr w:type="spellStart"/>
      <w:r>
        <w:rPr>
          <w:highlight w:val="white"/>
        </w:rPr>
        <w:t>Indrašienė</w:t>
      </w:r>
      <w:proofErr w:type="spellEnd"/>
      <w:r>
        <w:rPr>
          <w:highlight w:val="white"/>
        </w:rPr>
        <w:t xml:space="preserve"> et al., 2023).  These</w:t>
      </w:r>
      <w:r>
        <w:rPr>
          <w:color w:val="222222"/>
          <w:highlight w:val="white"/>
        </w:rPr>
        <w:t xml:space="preserve"> practices enable students to critically examine their assumptions, beliefs, and experiences, fostering self-awareness and personal growth. </w:t>
      </w:r>
      <w:r>
        <w:rPr>
          <w:highlight w:val="white"/>
        </w:rPr>
        <w:t xml:space="preserve">It also challenges individuals' assumptions and biases by providing a window into the experiences and perspectives of </w:t>
      </w:r>
      <w:r w:rsidR="0024038E">
        <w:rPr>
          <w:highlight w:val="white"/>
        </w:rPr>
        <w:t>others (</w:t>
      </w:r>
      <w:proofErr w:type="spellStart"/>
      <w:r>
        <w:rPr>
          <w:highlight w:val="white"/>
        </w:rPr>
        <w:t>Valdonė</w:t>
      </w:r>
      <w:proofErr w:type="spellEnd"/>
      <w:r>
        <w:rPr>
          <w:highlight w:val="white"/>
        </w:rPr>
        <w:t xml:space="preserve"> </w:t>
      </w:r>
      <w:proofErr w:type="spellStart"/>
      <w:r>
        <w:rPr>
          <w:highlight w:val="white"/>
        </w:rPr>
        <w:t>Indrašienė</w:t>
      </w:r>
      <w:proofErr w:type="spellEnd"/>
      <w:r>
        <w:rPr>
          <w:highlight w:val="white"/>
        </w:rPr>
        <w:t xml:space="preserve"> et al., 2023). It allows individuals to step outside of their worldview and consider alternative viewpoints. By empathizing with </w:t>
      </w:r>
      <w:r>
        <w:rPr>
          <w:highlight w:val="white"/>
        </w:rPr>
        <w:lastRenderedPageBreak/>
        <w:t xml:space="preserve">diverse perspectives, individuals become more open-minded, willing to question their assumptions, and more receptive to transformative learning. </w:t>
      </w:r>
      <w:r>
        <w:rPr>
          <w:color w:val="222222"/>
          <w:highlight w:val="white"/>
        </w:rPr>
        <w:t xml:space="preserve"> </w:t>
      </w:r>
      <w:r>
        <w:rPr>
          <w:highlight w:val="white"/>
        </w:rPr>
        <w:t>Critical reflection is understood as the fusion of personal experience with new knowledge and study content, leading to a new understanding and a new sense of the meaning of oneself, one’s learning, studies, and phenomena in the broader environment (</w:t>
      </w:r>
      <w:proofErr w:type="spellStart"/>
      <w:r>
        <w:rPr>
          <w:highlight w:val="white"/>
        </w:rPr>
        <w:t>Valdonė</w:t>
      </w:r>
      <w:proofErr w:type="spellEnd"/>
      <w:r>
        <w:rPr>
          <w:highlight w:val="white"/>
        </w:rPr>
        <w:t xml:space="preserve"> </w:t>
      </w:r>
      <w:proofErr w:type="spellStart"/>
      <w:r>
        <w:rPr>
          <w:highlight w:val="white"/>
        </w:rPr>
        <w:t>Indrašienė</w:t>
      </w:r>
      <w:proofErr w:type="spellEnd"/>
      <w:r>
        <w:rPr>
          <w:highlight w:val="white"/>
        </w:rPr>
        <w:t xml:space="preserve"> et al., 2023). Critical reflection involves examining one's thoughts, actions, and beliefs profoundly and reflectively. It requires asking oneself difficult questions and challenging preconceived notions. By engaging in critical reflection, individuals can identify the barriers holding them back and find ways to overcome them.</w:t>
      </w:r>
    </w:p>
    <w:p w14:paraId="00000035" w14:textId="77777777" w:rsidR="00A47B24" w:rsidRDefault="00000000">
      <w:pPr>
        <w:spacing w:line="480" w:lineRule="auto"/>
        <w:ind w:left="600" w:right="600"/>
        <w:rPr>
          <w:highlight w:val="white"/>
        </w:rPr>
      </w:pPr>
      <w:r>
        <w:rPr>
          <w:highlight w:val="white"/>
        </w:rPr>
        <w:t>One common barrier to personal growth is fear. Fear of failure, judgment, or fear of the unknown can prevent individuals from taking risks and pursuing their goals. Critical reflection allows individuals to confront these fears and explore the underlying reasons behind them. By understanding the root causes of their worries, individuals can develop strategies to overcome them and move forward. Another barrier to personal growth is a fixed mindset. A fixed mindset is the belief that one's abilities and intelligence are fixed traits that cannot be changed (</w:t>
      </w:r>
      <w:proofErr w:type="spellStart"/>
      <w:r>
        <w:rPr>
          <w:highlight w:val="white"/>
        </w:rPr>
        <w:t>Valdonė</w:t>
      </w:r>
      <w:proofErr w:type="spellEnd"/>
      <w:r>
        <w:rPr>
          <w:highlight w:val="white"/>
        </w:rPr>
        <w:t xml:space="preserve"> </w:t>
      </w:r>
      <w:proofErr w:type="spellStart"/>
      <w:r>
        <w:rPr>
          <w:highlight w:val="white"/>
        </w:rPr>
        <w:t>Indrašienė</w:t>
      </w:r>
      <w:proofErr w:type="spellEnd"/>
      <w:r>
        <w:rPr>
          <w:highlight w:val="white"/>
        </w:rPr>
        <w:t xml:space="preserve"> et al., 2023). This mindset limits individuals' potential and prevents them from seeking challenges or embracing growth opportunities. Critical reflection helps individuals recognize and challenge their fixed mindset. By adopting a growth mindset, which believes that abilities can be developed through effort and perseverance, individuals can open themselves up to new possibilities and experiences. It should be stressed here that the ‘critical’ in ‘critical reflection’ can be </w:t>
      </w:r>
      <w:r>
        <w:rPr>
          <w:highlight w:val="white"/>
        </w:rPr>
        <w:lastRenderedPageBreak/>
        <w:t>understood in two ways. First, critical thinking skills and attitudes (e.g., curiosity or reasonable doubt, intellectual stamina or perseverance, etc.) are essential in the reflection process. Second, the emphasis on critical reflection relates to issues involving the broader social context, relationships between various social groups, and value-based attitudes on fundamental social questions (</w:t>
      </w:r>
      <w:proofErr w:type="spellStart"/>
      <w:r>
        <w:rPr>
          <w:highlight w:val="white"/>
        </w:rPr>
        <w:t>Valdonė</w:t>
      </w:r>
      <w:proofErr w:type="spellEnd"/>
      <w:r>
        <w:rPr>
          <w:highlight w:val="white"/>
        </w:rPr>
        <w:t xml:space="preserve"> </w:t>
      </w:r>
      <w:proofErr w:type="spellStart"/>
      <w:r>
        <w:rPr>
          <w:highlight w:val="white"/>
        </w:rPr>
        <w:t>Indrašienė</w:t>
      </w:r>
      <w:proofErr w:type="spellEnd"/>
      <w:r>
        <w:rPr>
          <w:highlight w:val="white"/>
        </w:rPr>
        <w:t xml:space="preserve"> et al., 2023).</w:t>
      </w:r>
    </w:p>
    <w:p w14:paraId="00000036" w14:textId="77777777" w:rsidR="00A47B24" w:rsidRDefault="00000000">
      <w:pPr>
        <w:shd w:val="clear" w:color="auto" w:fill="FFFFFF"/>
        <w:spacing w:line="480" w:lineRule="auto"/>
        <w:ind w:left="600" w:right="600"/>
        <w:rPr>
          <w:highlight w:val="white"/>
        </w:rPr>
      </w:pPr>
      <w:r>
        <w:rPr>
          <w:highlight w:val="white"/>
        </w:rPr>
        <w:t>External influences can also act as barriers to personal growth. Societal norms, cultural expectations, and the opinions of others can sometimes discourage individuals from pursuing their true passions and aspirations. Critical reflection allows individuals to question these influences and evaluate whether they align with their values and goals. Individuals can chart their path toward personal growth by breaking free from societal expectations and embracing their authentic selves.</w:t>
      </w:r>
    </w:p>
    <w:p w14:paraId="00000037" w14:textId="77777777" w:rsidR="00A47B24" w:rsidRDefault="00000000">
      <w:pPr>
        <w:shd w:val="clear" w:color="auto" w:fill="FFFFFF"/>
        <w:spacing w:line="480" w:lineRule="auto"/>
        <w:ind w:left="600" w:right="600"/>
        <w:rPr>
          <w:highlight w:val="white"/>
        </w:rPr>
      </w:pPr>
      <w:r>
        <w:rPr>
          <w:highlight w:val="white"/>
        </w:rPr>
        <w:t>Critical reflection has a significant social impact as it encourages individuals and communities to question and challenge prevailing norms, systems, and structures. It</w:t>
      </w:r>
      <w:r>
        <w:rPr>
          <w:color w:val="222222"/>
          <w:highlight w:val="white"/>
        </w:rPr>
        <w:t xml:space="preserve"> prompts individuals to analyze social issues and inequalities critically. </w:t>
      </w:r>
      <w:r>
        <w:rPr>
          <w:highlight w:val="white"/>
        </w:rPr>
        <w:t xml:space="preserve">It encourages people to question societal norms, power dynamics, and systemic injustices. By critically reflecting on these issues, individuals can identify and challenge oppressive systems, advocate for marginalized communities, and work towards creating a more equitable and just society (Carmen et al., 2024).  OGS recognizes the importance of diverse perspectives and community engagement in transformative learning. Students are encouraged to engage in meaningful dialogues with peers, faculty, and community members. This helps students broaden their perspectives, challenge their assumptions, and develop empathy towards others. </w:t>
      </w:r>
      <w:r>
        <w:rPr>
          <w:highlight w:val="white"/>
        </w:rPr>
        <w:lastRenderedPageBreak/>
        <w:t xml:space="preserve">OGS promotes social and environmental justice as integral components of transformative learning. Reflecting on our world, we see that its marked inequality and precariousness are prominent characteristics. Inequality manifests as the first of these characteristics, while precariousness is the second (Carmen et al., 2024).  Students are encouraged to explore diversity, equity, and sustainability issues. Students develop a sense of social responsibility and a commitment to positive change through critical analysis and engagement with these topics. OGS recognizes the importance of diverse perspectives and community engagement in transformative learning. Students are encouraged to engage in meaningful dialogues with peers, faculty, and community members. This helps broaden their perspectives, challenge their assumptions, and develop empathy towards others. Students are encouraged to improve interpersonal communication and problem-solving skills and develop self-awareness, community connection, class and racial consciousness, and civic engagement (Castañeda, 2008). Including a community connection helps students understand and deconstruct course concepts within specific material and cultural conditions. More importantly, community partners can often build positive relationships with students and instructors and thus influence and impact college learners directly and subtly, expanding their engagement with colleges and universities (Castañeda, 2008). </w:t>
      </w:r>
    </w:p>
    <w:p w14:paraId="00000038" w14:textId="095B89AE" w:rsidR="00A47B24" w:rsidRDefault="00000000">
      <w:pPr>
        <w:shd w:val="clear" w:color="auto" w:fill="FFFFFF"/>
        <w:spacing w:line="480" w:lineRule="auto"/>
        <w:ind w:left="600" w:right="600"/>
        <w:rPr>
          <w:highlight w:val="white"/>
        </w:rPr>
      </w:pPr>
      <w:r>
        <w:rPr>
          <w:highlight w:val="white"/>
        </w:rPr>
        <w:t xml:space="preserve">OGS views transformative learning as an ongoing, lifelong process. The institution supports students in cultivating a mindset of continuous learning and personal transformation beyond their time at </w:t>
      </w:r>
      <w:r w:rsidR="0024038E">
        <w:rPr>
          <w:highlight w:val="white"/>
        </w:rPr>
        <w:t>graduate</w:t>
      </w:r>
      <w:r>
        <w:rPr>
          <w:highlight w:val="white"/>
        </w:rPr>
        <w:t xml:space="preserve"> school. This includes providing </w:t>
      </w:r>
      <w:r>
        <w:rPr>
          <w:highlight w:val="white"/>
        </w:rPr>
        <w:lastRenderedPageBreak/>
        <w:t>resources, networks, and opportunities for alums to continue their growth and contribute to the larger community.</w:t>
      </w:r>
    </w:p>
    <w:p w14:paraId="00000039" w14:textId="77777777" w:rsidR="00A47B24" w:rsidRDefault="00000000">
      <w:pPr>
        <w:shd w:val="clear" w:color="auto" w:fill="FFFFFF"/>
        <w:spacing w:line="480" w:lineRule="auto"/>
        <w:ind w:left="600" w:right="600"/>
        <w:rPr>
          <w:highlight w:val="white"/>
        </w:rPr>
      </w:pPr>
      <w:r>
        <w:rPr>
          <w:highlight w:val="white"/>
        </w:rPr>
        <w:t>Omega Graduate School's approach to transformative learning encompasses a holistic, experiential, and reflective process that fosters personal growth, self-awareness, and a deeper understanding of oneself and the world. The social impact of transformative learning theories is multifaceted. These theories emphasize the importance of critical thinking and reflection, promoting a more active and engaged approach to learning. By encouraging individuals to question and challenge existing beliefs, transformative learning theories foster a deeper understanding of complex social issues and encourage individuals to become informed and responsible citizens. Transformative learning theories recognize the interconnectedness of personal and social transformation. By emphasizing the role of personal beliefs and values in shaping one's understanding of the world, these theories highlight the potential for individual transformation to have broader social implications. Individuals who undergo transformative learning experiences are likelier to engage in social justice issues, challenge inequalities, and work toward positive social change.</w:t>
      </w:r>
    </w:p>
    <w:p w14:paraId="0000003A" w14:textId="77777777" w:rsidR="00A47B24" w:rsidRDefault="00A47B24">
      <w:pPr>
        <w:shd w:val="clear" w:color="auto" w:fill="FFFFFF"/>
        <w:spacing w:line="480" w:lineRule="auto"/>
        <w:ind w:left="600" w:right="600"/>
        <w:rPr>
          <w:highlight w:val="white"/>
        </w:rPr>
      </w:pPr>
    </w:p>
    <w:p w14:paraId="0000003B" w14:textId="77777777" w:rsidR="00A47B24" w:rsidRDefault="00A47B24">
      <w:pPr>
        <w:shd w:val="clear" w:color="auto" w:fill="FFFFFF"/>
        <w:spacing w:line="480" w:lineRule="auto"/>
        <w:ind w:left="600" w:right="600"/>
        <w:rPr>
          <w:highlight w:val="white"/>
        </w:rPr>
      </w:pPr>
    </w:p>
    <w:p w14:paraId="0000003C" w14:textId="77777777" w:rsidR="00A47B24" w:rsidRDefault="00A47B24">
      <w:pPr>
        <w:shd w:val="clear" w:color="auto" w:fill="FFFFFF"/>
        <w:spacing w:line="480" w:lineRule="auto"/>
        <w:ind w:left="600" w:right="600"/>
        <w:rPr>
          <w:highlight w:val="white"/>
        </w:rPr>
      </w:pPr>
    </w:p>
    <w:p w14:paraId="0000003D" w14:textId="77777777" w:rsidR="00A47B24" w:rsidRDefault="00A47B24">
      <w:pPr>
        <w:shd w:val="clear" w:color="auto" w:fill="FFFFFF"/>
        <w:spacing w:line="480" w:lineRule="auto"/>
        <w:ind w:left="600" w:right="600"/>
        <w:rPr>
          <w:highlight w:val="white"/>
        </w:rPr>
      </w:pPr>
    </w:p>
    <w:p w14:paraId="0000003E" w14:textId="77777777" w:rsidR="00A47B24" w:rsidRDefault="00A47B24">
      <w:pPr>
        <w:shd w:val="clear" w:color="auto" w:fill="FFFFFF"/>
        <w:spacing w:line="480" w:lineRule="auto"/>
        <w:ind w:left="600" w:right="600"/>
        <w:rPr>
          <w:highlight w:val="white"/>
        </w:rPr>
      </w:pPr>
    </w:p>
    <w:p w14:paraId="0000003F" w14:textId="77777777" w:rsidR="00A47B24" w:rsidRDefault="00A47B24">
      <w:pPr>
        <w:shd w:val="clear" w:color="auto" w:fill="FFFFFF"/>
        <w:spacing w:line="480" w:lineRule="auto"/>
        <w:ind w:left="600" w:right="600"/>
        <w:rPr>
          <w:highlight w:val="white"/>
        </w:rPr>
      </w:pPr>
    </w:p>
    <w:p w14:paraId="00000040" w14:textId="77777777" w:rsidR="00A47B24" w:rsidRDefault="00000000">
      <w:pPr>
        <w:pStyle w:val="Heading1"/>
        <w:keepNext w:val="0"/>
        <w:keepLines w:val="0"/>
        <w:spacing w:after="0" w:line="480" w:lineRule="auto"/>
        <w:ind w:left="600" w:right="600" w:firstLine="0"/>
        <w:rPr>
          <w:rFonts w:ascii="Times New Roman" w:eastAsia="Times New Roman" w:hAnsi="Times New Roman" w:cs="Times New Roman"/>
          <w:sz w:val="24"/>
          <w:szCs w:val="24"/>
          <w:highlight w:val="white"/>
        </w:rPr>
      </w:pPr>
      <w:bookmarkStart w:id="1" w:name="_heading=h.1q414i2493ij" w:colFirst="0" w:colLast="0"/>
      <w:bookmarkEnd w:id="1"/>
      <w:r>
        <w:rPr>
          <w:rFonts w:ascii="Times New Roman" w:eastAsia="Times New Roman" w:hAnsi="Times New Roman" w:cs="Times New Roman"/>
          <w:sz w:val="24"/>
          <w:szCs w:val="24"/>
          <w:highlight w:val="white"/>
        </w:rPr>
        <w:lastRenderedPageBreak/>
        <w:t>References</w:t>
      </w:r>
    </w:p>
    <w:p w14:paraId="00000041" w14:textId="77777777" w:rsidR="00A47B24" w:rsidRDefault="00000000">
      <w:pPr>
        <w:spacing w:line="480" w:lineRule="auto"/>
        <w:ind w:left="720"/>
        <w:rPr>
          <w:highlight w:val="white"/>
        </w:rPr>
      </w:pPr>
      <w:r>
        <w:rPr>
          <w:highlight w:val="white"/>
        </w:rPr>
        <w:t xml:space="preserve">Calleja, C. (2014). Jack Mezirow’s </w:t>
      </w:r>
      <w:proofErr w:type="spellStart"/>
      <w:r>
        <w:rPr>
          <w:highlight w:val="white"/>
        </w:rPr>
        <w:t>Conceptualisation</w:t>
      </w:r>
      <w:proofErr w:type="spellEnd"/>
      <w:r>
        <w:rPr>
          <w:highlight w:val="white"/>
        </w:rPr>
        <w:t xml:space="preserve"> of Adult Transformative Learning: A Review. </w:t>
      </w:r>
      <w:r>
        <w:rPr>
          <w:i/>
          <w:highlight w:val="white"/>
        </w:rPr>
        <w:t>Journal of Adult and Continuing Education</w:t>
      </w:r>
      <w:r>
        <w:rPr>
          <w:highlight w:val="white"/>
        </w:rPr>
        <w:t xml:space="preserve">, </w:t>
      </w:r>
      <w:r>
        <w:rPr>
          <w:i/>
          <w:highlight w:val="white"/>
        </w:rPr>
        <w:t>20</w:t>
      </w:r>
      <w:r>
        <w:rPr>
          <w:highlight w:val="white"/>
        </w:rPr>
        <w:t>(1), 117–136. https://doi.org/10.7227/jace.20.1.8</w:t>
      </w:r>
    </w:p>
    <w:p w14:paraId="00000042" w14:textId="77777777" w:rsidR="00A47B24" w:rsidRDefault="00000000">
      <w:pPr>
        <w:spacing w:line="480" w:lineRule="auto"/>
        <w:ind w:left="720"/>
        <w:rPr>
          <w:highlight w:val="white"/>
        </w:rPr>
      </w:pPr>
      <w:r>
        <w:rPr>
          <w:highlight w:val="white"/>
        </w:rPr>
        <w:t>Carmen, del, José-Luis Anta-</w:t>
      </w:r>
      <w:proofErr w:type="spellStart"/>
      <w:r>
        <w:rPr>
          <w:highlight w:val="white"/>
        </w:rPr>
        <w:t>Félez</w:t>
      </w:r>
      <w:proofErr w:type="spellEnd"/>
      <w:r>
        <w:rPr>
          <w:highlight w:val="white"/>
        </w:rPr>
        <w:t xml:space="preserve">, Grana, R., &amp; Rubén Gregorio Pérez-García. (2024). Critical Reflection on Inequality and Precariousness in Contemporary Society: Reconstructing Connections from Social Intervention. </w:t>
      </w:r>
      <w:r>
        <w:rPr>
          <w:i/>
          <w:highlight w:val="white"/>
        </w:rPr>
        <w:t>Education Sciences</w:t>
      </w:r>
      <w:r>
        <w:rPr>
          <w:highlight w:val="white"/>
        </w:rPr>
        <w:t xml:space="preserve">, </w:t>
      </w:r>
      <w:r>
        <w:rPr>
          <w:i/>
          <w:highlight w:val="white"/>
        </w:rPr>
        <w:t>14</w:t>
      </w:r>
      <w:r>
        <w:rPr>
          <w:highlight w:val="white"/>
        </w:rPr>
        <w:t>(4), 379–379. https://doi.org/10.3390/educsci14040379</w:t>
      </w:r>
    </w:p>
    <w:p w14:paraId="00000043" w14:textId="77777777" w:rsidR="00A47B24" w:rsidRDefault="00000000">
      <w:pPr>
        <w:spacing w:line="480" w:lineRule="auto"/>
        <w:ind w:left="720"/>
        <w:rPr>
          <w:highlight w:val="white"/>
        </w:rPr>
      </w:pPr>
      <w:r>
        <w:rPr>
          <w:highlight w:val="white"/>
        </w:rPr>
        <w:t xml:space="preserve">Castañeda, M. (2008). Transformative Learning Through Community Engagement. </w:t>
      </w:r>
      <w:r>
        <w:rPr>
          <w:i/>
          <w:highlight w:val="white"/>
        </w:rPr>
        <w:t>Latino Studies</w:t>
      </w:r>
      <w:r>
        <w:rPr>
          <w:highlight w:val="white"/>
        </w:rPr>
        <w:t xml:space="preserve">, </w:t>
      </w:r>
      <w:r>
        <w:rPr>
          <w:i/>
          <w:highlight w:val="white"/>
        </w:rPr>
        <w:t>6</w:t>
      </w:r>
      <w:r>
        <w:rPr>
          <w:highlight w:val="white"/>
        </w:rPr>
        <w:t>(3), 319–326. https://doi.org/10.1057/lst.2008.35</w:t>
      </w:r>
    </w:p>
    <w:p w14:paraId="00000044" w14:textId="77777777" w:rsidR="00A47B24" w:rsidRDefault="00000000">
      <w:pPr>
        <w:spacing w:line="480" w:lineRule="auto"/>
        <w:ind w:left="720"/>
        <w:rPr>
          <w:highlight w:val="white"/>
        </w:rPr>
      </w:pPr>
      <w:r>
        <w:rPr>
          <w:highlight w:val="white"/>
        </w:rPr>
        <w:t xml:space="preserve">Cranton, P. (2023). </w:t>
      </w:r>
      <w:r>
        <w:rPr>
          <w:i/>
          <w:highlight w:val="white"/>
        </w:rPr>
        <w:t>Understanding and Promoting Transformative Learning</w:t>
      </w:r>
      <w:r>
        <w:rPr>
          <w:highlight w:val="white"/>
        </w:rPr>
        <w:t>. Taylor &amp; Francis.</w:t>
      </w:r>
    </w:p>
    <w:p w14:paraId="00000045" w14:textId="77777777" w:rsidR="00A47B24" w:rsidRDefault="00000000">
      <w:pPr>
        <w:spacing w:line="480" w:lineRule="auto"/>
        <w:ind w:left="720"/>
        <w:rPr>
          <w:highlight w:val="white"/>
        </w:rPr>
      </w:pPr>
      <w:r>
        <w:rPr>
          <w:highlight w:val="white"/>
        </w:rPr>
        <w:t xml:space="preserve">Fleming, T. (2018). Critical Theory and Transformative Learning. </w:t>
      </w:r>
      <w:r>
        <w:rPr>
          <w:i/>
          <w:highlight w:val="white"/>
        </w:rPr>
        <w:t>Advances in Standardization Research</w:t>
      </w:r>
      <w:r>
        <w:rPr>
          <w:highlight w:val="white"/>
        </w:rPr>
        <w:t>. https://doi.org/10.4018/978-1-5225-6086-9</w:t>
      </w:r>
    </w:p>
    <w:p w14:paraId="00000046" w14:textId="77777777" w:rsidR="00A47B24" w:rsidRDefault="00000000">
      <w:pPr>
        <w:spacing w:line="480" w:lineRule="auto"/>
        <w:ind w:left="720"/>
        <w:rPr>
          <w:highlight w:val="white"/>
        </w:rPr>
      </w:pPr>
      <w:proofErr w:type="spellStart"/>
      <w:r>
        <w:rPr>
          <w:highlight w:val="white"/>
        </w:rPr>
        <w:t>Kazemek</w:t>
      </w:r>
      <w:proofErr w:type="spellEnd"/>
      <w:r>
        <w:rPr>
          <w:highlight w:val="white"/>
        </w:rPr>
        <w:t xml:space="preserve">, F. (2005). Becoming adult learners: principles and practices for effective development. </w:t>
      </w:r>
      <w:r>
        <w:rPr>
          <w:i/>
          <w:highlight w:val="white"/>
        </w:rPr>
        <w:t>Choice Reviews Online</w:t>
      </w:r>
      <w:r>
        <w:rPr>
          <w:highlight w:val="white"/>
        </w:rPr>
        <w:t xml:space="preserve">, </w:t>
      </w:r>
      <w:r>
        <w:rPr>
          <w:i/>
          <w:highlight w:val="white"/>
        </w:rPr>
        <w:t>42</w:t>
      </w:r>
      <w:r>
        <w:rPr>
          <w:highlight w:val="white"/>
        </w:rPr>
        <w:t>(05), 42–293442–2934. https://doi.org/10.5860/choice.42-2934</w:t>
      </w:r>
    </w:p>
    <w:p w14:paraId="00000047" w14:textId="77777777" w:rsidR="00A47B24" w:rsidRDefault="00000000">
      <w:pPr>
        <w:spacing w:line="480" w:lineRule="auto"/>
        <w:ind w:left="720"/>
        <w:rPr>
          <w:highlight w:val="white"/>
        </w:rPr>
      </w:pPr>
      <w:r>
        <w:rPr>
          <w:highlight w:val="white"/>
        </w:rPr>
        <w:t xml:space="preserve">Liu, K. (2015). Critical reflection as a framework for transformative learning in teacher education. </w:t>
      </w:r>
      <w:r>
        <w:rPr>
          <w:i/>
          <w:highlight w:val="white"/>
        </w:rPr>
        <w:t>Educational Review</w:t>
      </w:r>
      <w:r>
        <w:rPr>
          <w:highlight w:val="white"/>
        </w:rPr>
        <w:t xml:space="preserve">, </w:t>
      </w:r>
      <w:r>
        <w:rPr>
          <w:i/>
          <w:highlight w:val="white"/>
        </w:rPr>
        <w:t>67</w:t>
      </w:r>
      <w:r>
        <w:rPr>
          <w:highlight w:val="white"/>
        </w:rPr>
        <w:t>(2), 135–157. https://doi.org/10.1080/00131911.2013.839546</w:t>
      </w:r>
    </w:p>
    <w:p w14:paraId="00000048" w14:textId="77777777" w:rsidR="00A47B24" w:rsidRDefault="00000000">
      <w:pPr>
        <w:spacing w:line="480" w:lineRule="auto"/>
        <w:ind w:left="720"/>
        <w:rPr>
          <w:highlight w:val="white"/>
        </w:rPr>
      </w:pPr>
      <w:r>
        <w:rPr>
          <w:highlight w:val="white"/>
        </w:rPr>
        <w:t xml:space="preserve">Mezirow, J., &amp; Taylor, E. W. (2009). </w:t>
      </w:r>
      <w:r>
        <w:rPr>
          <w:i/>
          <w:highlight w:val="white"/>
        </w:rPr>
        <w:t>Transformative learning in practice: insights from community, workplace, and higher education</w:t>
      </w:r>
      <w:r>
        <w:rPr>
          <w:highlight w:val="white"/>
        </w:rPr>
        <w:t>. Jossey-Bass.</w:t>
      </w:r>
    </w:p>
    <w:p w14:paraId="00000049" w14:textId="77777777" w:rsidR="00A47B24" w:rsidRDefault="00000000">
      <w:pPr>
        <w:spacing w:line="480" w:lineRule="auto"/>
        <w:ind w:left="720"/>
        <w:rPr>
          <w:highlight w:val="white"/>
        </w:rPr>
      </w:pPr>
      <w:r>
        <w:rPr>
          <w:highlight w:val="white"/>
        </w:rPr>
        <w:lastRenderedPageBreak/>
        <w:t xml:space="preserve">Rodríguez Aboytes, J. G., &amp; Barth, M. (2020). Transformative learning in sustainability: a systematic literature review (1999-2019). </w:t>
      </w:r>
      <w:r>
        <w:rPr>
          <w:i/>
          <w:highlight w:val="white"/>
        </w:rPr>
        <w:t>International Journal of Sustainability in Higher Education</w:t>
      </w:r>
      <w:r>
        <w:rPr>
          <w:highlight w:val="white"/>
        </w:rPr>
        <w:t xml:space="preserve">, </w:t>
      </w:r>
      <w:r>
        <w:rPr>
          <w:i/>
          <w:highlight w:val="white"/>
        </w:rPr>
        <w:t>21</w:t>
      </w:r>
      <w:r>
        <w:rPr>
          <w:highlight w:val="white"/>
        </w:rPr>
        <w:t>(5), 993–1013. https://doi.org/10.1108/ijshe-05-2019-0168</w:t>
      </w:r>
    </w:p>
    <w:p w14:paraId="0000004A" w14:textId="77777777" w:rsidR="00A47B24" w:rsidRDefault="00000000">
      <w:pPr>
        <w:spacing w:line="480" w:lineRule="auto"/>
        <w:ind w:left="720"/>
        <w:rPr>
          <w:highlight w:val="white"/>
        </w:rPr>
      </w:pPr>
      <w:r>
        <w:rPr>
          <w:highlight w:val="white"/>
        </w:rPr>
        <w:t xml:space="preserve">Taylor, E. W. (2007). An update of transformative learning theory: a critical review of the empirical research (1999–2005). </w:t>
      </w:r>
      <w:r>
        <w:rPr>
          <w:i/>
          <w:highlight w:val="white"/>
        </w:rPr>
        <w:t>International Journal of Lifelong Education</w:t>
      </w:r>
      <w:r>
        <w:rPr>
          <w:highlight w:val="white"/>
        </w:rPr>
        <w:t xml:space="preserve">, </w:t>
      </w:r>
      <w:r>
        <w:rPr>
          <w:i/>
          <w:highlight w:val="white"/>
        </w:rPr>
        <w:t>26</w:t>
      </w:r>
      <w:r>
        <w:rPr>
          <w:highlight w:val="white"/>
        </w:rPr>
        <w:t>(2), 173–191. https://doi.org/10.1080/02601370701219475</w:t>
      </w:r>
    </w:p>
    <w:p w14:paraId="0000004B" w14:textId="77777777" w:rsidR="00A47B24" w:rsidRDefault="00000000">
      <w:pPr>
        <w:spacing w:line="480" w:lineRule="auto"/>
        <w:ind w:left="720"/>
        <w:rPr>
          <w:highlight w:val="white"/>
        </w:rPr>
      </w:pPr>
      <w:proofErr w:type="spellStart"/>
      <w:r>
        <w:rPr>
          <w:highlight w:val="white"/>
        </w:rPr>
        <w:t>Valdonė</w:t>
      </w:r>
      <w:proofErr w:type="spellEnd"/>
      <w:r>
        <w:rPr>
          <w:highlight w:val="white"/>
        </w:rPr>
        <w:t xml:space="preserve"> </w:t>
      </w:r>
      <w:proofErr w:type="spellStart"/>
      <w:r>
        <w:rPr>
          <w:highlight w:val="white"/>
        </w:rPr>
        <w:t>Indrašienė</w:t>
      </w:r>
      <w:proofErr w:type="spellEnd"/>
      <w:r>
        <w:rPr>
          <w:highlight w:val="white"/>
        </w:rPr>
        <w:t xml:space="preserve">, </w:t>
      </w:r>
      <w:proofErr w:type="spellStart"/>
      <w:r>
        <w:rPr>
          <w:highlight w:val="white"/>
        </w:rPr>
        <w:t>Jegelevičienė</w:t>
      </w:r>
      <w:proofErr w:type="spellEnd"/>
      <w:r>
        <w:rPr>
          <w:highlight w:val="white"/>
        </w:rPr>
        <w:t xml:space="preserve">, V., Jolanta </w:t>
      </w:r>
      <w:proofErr w:type="spellStart"/>
      <w:r>
        <w:rPr>
          <w:highlight w:val="white"/>
        </w:rPr>
        <w:t>Pivorienė</w:t>
      </w:r>
      <w:proofErr w:type="spellEnd"/>
      <w:r>
        <w:rPr>
          <w:highlight w:val="white"/>
        </w:rPr>
        <w:t xml:space="preserve">, Daiva </w:t>
      </w:r>
      <w:proofErr w:type="spellStart"/>
      <w:r>
        <w:rPr>
          <w:highlight w:val="white"/>
        </w:rPr>
        <w:t>Penkauskienė</w:t>
      </w:r>
      <w:proofErr w:type="spellEnd"/>
      <w:r>
        <w:rPr>
          <w:highlight w:val="white"/>
        </w:rPr>
        <w:t xml:space="preserve">, Jolanta </w:t>
      </w:r>
      <w:proofErr w:type="spellStart"/>
      <w:r>
        <w:rPr>
          <w:highlight w:val="white"/>
        </w:rPr>
        <w:t>Pivorienė</w:t>
      </w:r>
      <w:proofErr w:type="spellEnd"/>
      <w:r>
        <w:rPr>
          <w:highlight w:val="white"/>
        </w:rPr>
        <w:t xml:space="preserve">, Asta </w:t>
      </w:r>
      <w:proofErr w:type="spellStart"/>
      <w:r>
        <w:rPr>
          <w:highlight w:val="white"/>
        </w:rPr>
        <w:t>Railienė</w:t>
      </w:r>
      <w:proofErr w:type="spellEnd"/>
      <w:r>
        <w:rPr>
          <w:highlight w:val="white"/>
        </w:rPr>
        <w:t xml:space="preserve">, &amp; Sadauskas, J. (2023). Critical Reflection in Students’ Critical Thinking Teaching and Learning Experiences. </w:t>
      </w:r>
      <w:r>
        <w:rPr>
          <w:i/>
          <w:highlight w:val="white"/>
        </w:rPr>
        <w:t>Sustainability</w:t>
      </w:r>
      <w:r>
        <w:rPr>
          <w:highlight w:val="white"/>
        </w:rPr>
        <w:t xml:space="preserve">, </w:t>
      </w:r>
      <w:r>
        <w:rPr>
          <w:i/>
          <w:highlight w:val="white"/>
        </w:rPr>
        <w:t>15</w:t>
      </w:r>
      <w:r>
        <w:rPr>
          <w:highlight w:val="white"/>
        </w:rPr>
        <w:t>(18), 13500–13500. https://doi.org/10.3390/su151813500</w:t>
      </w:r>
    </w:p>
    <w:p w14:paraId="0000004C" w14:textId="77777777" w:rsidR="00A47B24" w:rsidRDefault="00A47B24">
      <w:pPr>
        <w:spacing w:line="480" w:lineRule="auto"/>
        <w:ind w:left="600" w:right="600"/>
        <w:rPr>
          <w:highlight w:val="white"/>
        </w:rPr>
      </w:pPr>
    </w:p>
    <w:p w14:paraId="0000004D" w14:textId="77777777" w:rsidR="00A47B24" w:rsidRDefault="00A47B24">
      <w:pPr>
        <w:spacing w:line="480" w:lineRule="auto"/>
        <w:ind w:left="600" w:right="600"/>
        <w:rPr>
          <w:highlight w:val="white"/>
        </w:rPr>
      </w:pPr>
    </w:p>
    <w:p w14:paraId="0000004E" w14:textId="77777777" w:rsidR="00A47B24" w:rsidRDefault="00A47B24">
      <w:pPr>
        <w:spacing w:line="480" w:lineRule="auto"/>
        <w:ind w:left="600" w:right="600"/>
        <w:rPr>
          <w:highlight w:val="white"/>
        </w:rPr>
      </w:pPr>
    </w:p>
    <w:p w14:paraId="0000004F" w14:textId="77777777" w:rsidR="00A47B24" w:rsidRDefault="00A47B24">
      <w:pPr>
        <w:spacing w:line="480" w:lineRule="auto"/>
        <w:ind w:left="600" w:right="600"/>
        <w:rPr>
          <w:highlight w:val="white"/>
        </w:rPr>
      </w:pPr>
    </w:p>
    <w:p w14:paraId="00000050" w14:textId="77777777" w:rsidR="00A47B24" w:rsidRDefault="00A47B24">
      <w:pPr>
        <w:spacing w:line="480" w:lineRule="auto"/>
        <w:ind w:left="600" w:right="600"/>
        <w:rPr>
          <w:highlight w:val="white"/>
        </w:rPr>
      </w:pPr>
    </w:p>
    <w:p w14:paraId="00000051" w14:textId="77777777" w:rsidR="00A47B24" w:rsidRDefault="00A47B24">
      <w:pPr>
        <w:spacing w:line="480" w:lineRule="auto"/>
        <w:ind w:left="600" w:right="600"/>
        <w:rPr>
          <w:color w:val="222222"/>
          <w:highlight w:val="white"/>
        </w:rPr>
      </w:pPr>
    </w:p>
    <w:p w14:paraId="00000052" w14:textId="77777777" w:rsidR="00A47B24" w:rsidRDefault="00A47B24">
      <w:pPr>
        <w:spacing w:line="480" w:lineRule="auto"/>
        <w:ind w:left="720"/>
      </w:pPr>
    </w:p>
    <w:sectPr w:rsidR="00A47B24">
      <w:headerReference w:type="default"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A83428" w14:textId="77777777" w:rsidR="00C45364" w:rsidRDefault="00C45364">
      <w:r>
        <w:separator/>
      </w:r>
    </w:p>
  </w:endnote>
  <w:endnote w:type="continuationSeparator" w:id="0">
    <w:p w14:paraId="548A4772" w14:textId="77777777" w:rsidR="00C45364" w:rsidRDefault="00C453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54" w14:textId="77777777" w:rsidR="00A47B24" w:rsidRDefault="00A47B24">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7CEF66" w14:textId="77777777" w:rsidR="00C45364" w:rsidRDefault="00C45364">
      <w:r>
        <w:separator/>
      </w:r>
    </w:p>
  </w:footnote>
  <w:footnote w:type="continuationSeparator" w:id="0">
    <w:p w14:paraId="4ABBAFF8" w14:textId="77777777" w:rsidR="00C45364" w:rsidRDefault="00C453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53" w14:textId="15B68FDF" w:rsidR="00A47B24" w:rsidRDefault="00000000">
    <w:pPr>
      <w:pBdr>
        <w:top w:val="nil"/>
        <w:left w:val="nil"/>
        <w:bottom w:val="nil"/>
        <w:right w:val="nil"/>
        <w:between w:val="nil"/>
      </w:pBdr>
      <w:tabs>
        <w:tab w:val="center" w:pos="4680"/>
        <w:tab w:val="right" w:pos="9360"/>
      </w:tabs>
      <w:rPr>
        <w:rFonts w:ascii="Arial" w:eastAsia="Arial" w:hAnsi="Arial" w:cs="Arial"/>
        <w:color w:val="000000"/>
        <w:sz w:val="16"/>
        <w:szCs w:val="16"/>
      </w:rPr>
    </w:pPr>
    <w:bookmarkStart w:id="2" w:name="_heading=h.tyjcwt" w:colFirst="0" w:colLast="0"/>
    <w:bookmarkEnd w:id="2"/>
    <w:r>
      <w:rPr>
        <w:rFonts w:ascii="Arial" w:eastAsia="Arial" w:hAnsi="Arial" w:cs="Arial"/>
        <w:sz w:val="16"/>
        <w:szCs w:val="16"/>
      </w:rPr>
      <w:t xml:space="preserve">C. Brian Diggs, </w:t>
    </w:r>
    <w:r>
      <w:rPr>
        <w:sz w:val="20"/>
        <w:szCs w:val="20"/>
      </w:rPr>
      <w:t xml:space="preserve">PHI 800 Transformative Learning and Adult Education, </w:t>
    </w:r>
    <w:r>
      <w:rPr>
        <w:rFonts w:ascii="Arial" w:eastAsia="Arial" w:hAnsi="Arial" w:cs="Arial"/>
        <w:color w:val="000000"/>
        <w:sz w:val="16"/>
        <w:szCs w:val="16"/>
      </w:rPr>
      <w:t>Assignment #</w:t>
    </w:r>
    <w:r>
      <w:rPr>
        <w:rFonts w:ascii="Arial" w:eastAsia="Arial" w:hAnsi="Arial" w:cs="Arial"/>
        <w:sz w:val="16"/>
        <w:szCs w:val="16"/>
      </w:rPr>
      <w:t>3</w:t>
    </w:r>
    <w:r>
      <w:rPr>
        <w:rFonts w:ascii="Arial" w:eastAsia="Arial" w:hAnsi="Arial" w:cs="Arial"/>
        <w:color w:val="000000"/>
        <w:sz w:val="16"/>
        <w:szCs w:val="16"/>
      </w:rPr>
      <w:t xml:space="preserve">, Date </w:t>
    </w:r>
    <w:r>
      <w:rPr>
        <w:rFonts w:ascii="Arial" w:eastAsia="Arial" w:hAnsi="Arial" w:cs="Arial"/>
        <w:sz w:val="16"/>
        <w:szCs w:val="16"/>
      </w:rPr>
      <w:t>05/18/2024</w:t>
    </w:r>
    <w:r>
      <w:rPr>
        <w:rFonts w:ascii="Arial" w:eastAsia="Arial" w:hAnsi="Arial" w:cs="Arial"/>
        <w:color w:val="000000"/>
        <w:sz w:val="16"/>
        <w:szCs w:val="16"/>
      </w:rPr>
      <w:tab/>
    </w:r>
    <w:r>
      <w:rPr>
        <w:rFonts w:ascii="Arial" w:eastAsia="Arial" w:hAnsi="Arial" w:cs="Arial"/>
        <w:color w:val="000000"/>
        <w:sz w:val="16"/>
        <w:szCs w:val="16"/>
      </w:rPr>
      <w:fldChar w:fldCharType="begin"/>
    </w:r>
    <w:r>
      <w:rPr>
        <w:rFonts w:ascii="Arial" w:eastAsia="Arial" w:hAnsi="Arial" w:cs="Arial"/>
        <w:color w:val="000000"/>
        <w:sz w:val="16"/>
        <w:szCs w:val="16"/>
      </w:rPr>
      <w:instrText>PAGE</w:instrText>
    </w:r>
    <w:r>
      <w:rPr>
        <w:rFonts w:ascii="Arial" w:eastAsia="Arial" w:hAnsi="Arial" w:cs="Arial"/>
        <w:color w:val="000000"/>
        <w:sz w:val="16"/>
        <w:szCs w:val="16"/>
      </w:rPr>
      <w:fldChar w:fldCharType="separate"/>
    </w:r>
    <w:r w:rsidR="00197EC1">
      <w:rPr>
        <w:rFonts w:ascii="Arial" w:eastAsia="Arial" w:hAnsi="Arial" w:cs="Arial"/>
        <w:noProof/>
        <w:color w:val="000000"/>
        <w:sz w:val="16"/>
        <w:szCs w:val="16"/>
      </w:rPr>
      <w:t>1</w:t>
    </w:r>
    <w:r>
      <w:rPr>
        <w:rFonts w:ascii="Arial" w:eastAsia="Arial" w:hAnsi="Arial" w:cs="Arial"/>
        <w:color w:val="000000"/>
        <w:sz w:val="16"/>
        <w:szCs w:val="16"/>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B24"/>
    <w:rsid w:val="00197EC1"/>
    <w:rsid w:val="0024038E"/>
    <w:rsid w:val="00666200"/>
    <w:rsid w:val="008A5E9A"/>
    <w:rsid w:val="0099281F"/>
    <w:rsid w:val="00A47B24"/>
    <w:rsid w:val="00C45364"/>
    <w:rsid w:val="00EE67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BCD5DC"/>
  <w15:docId w15:val="{50509CBE-5407-4BF7-9CA4-39AB092EE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spacing w:after="196" w:line="259" w:lineRule="auto"/>
      <w:ind w:left="459" w:hanging="10"/>
      <w:jc w:val="center"/>
      <w:outlineLvl w:val="0"/>
    </w:pPr>
    <w:rPr>
      <w:rFonts w:ascii="Arial" w:eastAsia="Arial" w:hAnsi="Arial" w:cs="Arial"/>
      <w:b/>
      <w:color w:val="000000"/>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NoSpacing">
    <w:name w:val="No Spacing"/>
    <w:uiPriority w:val="1"/>
    <w:qFormat/>
    <w:rsid w:val="00F32886"/>
  </w:style>
  <w:style w:type="paragraph" w:styleId="Header">
    <w:name w:val="header"/>
    <w:basedOn w:val="Normal"/>
    <w:link w:val="HeaderChar"/>
    <w:uiPriority w:val="99"/>
    <w:unhideWhenUsed/>
    <w:rsid w:val="00F32886"/>
    <w:pPr>
      <w:tabs>
        <w:tab w:val="center" w:pos="4680"/>
        <w:tab w:val="right" w:pos="9360"/>
      </w:tabs>
    </w:pPr>
  </w:style>
  <w:style w:type="character" w:customStyle="1" w:styleId="HeaderChar">
    <w:name w:val="Header Char"/>
    <w:basedOn w:val="DefaultParagraphFont"/>
    <w:link w:val="Header"/>
    <w:uiPriority w:val="99"/>
    <w:rsid w:val="00F32886"/>
  </w:style>
  <w:style w:type="paragraph" w:styleId="Footer">
    <w:name w:val="footer"/>
    <w:basedOn w:val="Normal"/>
    <w:link w:val="FooterChar"/>
    <w:uiPriority w:val="99"/>
    <w:unhideWhenUsed/>
    <w:rsid w:val="00F32886"/>
    <w:pPr>
      <w:tabs>
        <w:tab w:val="center" w:pos="4680"/>
        <w:tab w:val="right" w:pos="9360"/>
      </w:tabs>
    </w:pPr>
  </w:style>
  <w:style w:type="character" w:customStyle="1" w:styleId="FooterChar">
    <w:name w:val="Footer Char"/>
    <w:basedOn w:val="DefaultParagraphFont"/>
    <w:link w:val="Footer"/>
    <w:uiPriority w:val="99"/>
    <w:rsid w:val="00F328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6tcYo9BeG46k64n8MyVSXAuaUzA==">CgMxLjAyCGguZ2pkZ3hzMg5oLjFxNDE0aTI0OTNpajIIaC50eWpjd3Q4AHIhMVJFcjJJYTFpSUhEemh1TmJDSVRDenlIcVZlMmZsclN2</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1771</Words>
  <Characters>11715</Characters>
  <Application>Microsoft Office Word</Application>
  <DocSecurity>0</DocSecurity>
  <Lines>228</Lines>
  <Paragraphs>38</Paragraphs>
  <ScaleCrop>false</ScaleCrop>
  <Company/>
  <LinksUpToDate>false</LinksUpToDate>
  <CharactersWithSpaces>13456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Brian D</dc:creator>
  <cp:lastModifiedBy>Brian D</cp:lastModifiedBy>
  <cp:revision>3</cp:revision>
  <dcterms:created xsi:type="dcterms:W3CDTF">2024-05-14T22:24:00Z</dcterms:created>
  <dcterms:modified xsi:type="dcterms:W3CDTF">2024-05-14T22:29:00Z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a1bf8adf7142c126b225ccca3eab796167976d77ff61b08761b3d01896db12f7</vt:lpwstr>
  </property>
</Properties>
</file>