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48282F" w14:textId="77777777" w:rsidR="006A54C1" w:rsidRDefault="006A54C1" w:rsidP="006A54C1">
      <w:pPr>
        <w:shd w:val="clear" w:color="auto" w:fill="FFFFFF"/>
        <w:spacing w:before="100" w:beforeAutospacing="1" w:after="100" w:afterAutospacing="1"/>
        <w:jc w:val="center"/>
        <w:rPr>
          <w:rFonts w:ascii="Verdana" w:eastAsia="Times New Roman" w:hAnsi="Verdana" w:cs="Times New Roman"/>
          <w:color w:val="000000"/>
          <w:sz w:val="16"/>
          <w:szCs w:val="16"/>
        </w:rPr>
      </w:pPr>
    </w:p>
    <w:p w14:paraId="45D141FA" w14:textId="77777777" w:rsidR="006A54C1" w:rsidRDefault="006A54C1" w:rsidP="006A54C1">
      <w:pPr>
        <w:shd w:val="clear" w:color="auto" w:fill="FFFFFF"/>
        <w:spacing w:before="100" w:beforeAutospacing="1" w:after="100" w:afterAutospacing="1"/>
        <w:jc w:val="center"/>
        <w:rPr>
          <w:rFonts w:ascii="Verdana" w:eastAsia="Times New Roman" w:hAnsi="Verdana" w:cs="Times New Roman"/>
          <w:color w:val="000000"/>
          <w:sz w:val="16"/>
          <w:szCs w:val="16"/>
        </w:rPr>
      </w:pPr>
    </w:p>
    <w:p w14:paraId="400DDFC2" w14:textId="77777777" w:rsidR="006A54C1" w:rsidRDefault="006A54C1" w:rsidP="006A54C1">
      <w:pPr>
        <w:shd w:val="clear" w:color="auto" w:fill="FFFFFF"/>
        <w:spacing w:before="100" w:beforeAutospacing="1" w:after="100" w:afterAutospacing="1"/>
        <w:jc w:val="center"/>
        <w:rPr>
          <w:rFonts w:ascii="Verdana" w:eastAsia="Times New Roman" w:hAnsi="Verdana" w:cs="Times New Roman"/>
          <w:color w:val="000000"/>
          <w:sz w:val="16"/>
          <w:szCs w:val="16"/>
        </w:rPr>
      </w:pPr>
    </w:p>
    <w:p w14:paraId="1A67592C" w14:textId="77777777" w:rsidR="006A54C1" w:rsidRDefault="006A54C1" w:rsidP="006A54C1">
      <w:pPr>
        <w:shd w:val="clear" w:color="auto" w:fill="FFFFFF"/>
        <w:spacing w:before="100" w:beforeAutospacing="1" w:after="100" w:afterAutospacing="1"/>
        <w:jc w:val="center"/>
        <w:rPr>
          <w:rFonts w:ascii="Verdana" w:eastAsia="Times New Roman" w:hAnsi="Verdana" w:cs="Times New Roman"/>
          <w:color w:val="000000"/>
          <w:sz w:val="16"/>
          <w:szCs w:val="16"/>
        </w:rPr>
      </w:pPr>
    </w:p>
    <w:p w14:paraId="3E199529" w14:textId="77777777" w:rsidR="006A54C1" w:rsidRDefault="006A54C1" w:rsidP="006A54C1">
      <w:pPr>
        <w:shd w:val="clear" w:color="auto" w:fill="FFFFFF"/>
        <w:spacing w:before="100" w:beforeAutospacing="1" w:after="100" w:afterAutospacing="1"/>
        <w:jc w:val="center"/>
        <w:rPr>
          <w:rFonts w:ascii="Verdana" w:eastAsia="Times New Roman" w:hAnsi="Verdana" w:cs="Times New Roman"/>
          <w:color w:val="000000"/>
          <w:sz w:val="16"/>
          <w:szCs w:val="16"/>
        </w:rPr>
      </w:pPr>
    </w:p>
    <w:p w14:paraId="102E1FC0" w14:textId="77777777" w:rsidR="006A54C1" w:rsidRDefault="006A54C1" w:rsidP="006A54C1">
      <w:pPr>
        <w:shd w:val="clear" w:color="auto" w:fill="FFFFFF"/>
        <w:spacing w:before="100" w:beforeAutospacing="1" w:after="100" w:afterAutospacing="1"/>
        <w:jc w:val="center"/>
        <w:rPr>
          <w:rFonts w:ascii="Verdana" w:eastAsia="Times New Roman" w:hAnsi="Verdana" w:cs="Times New Roman"/>
          <w:color w:val="000000"/>
          <w:sz w:val="16"/>
          <w:szCs w:val="16"/>
        </w:rPr>
      </w:pPr>
    </w:p>
    <w:p w14:paraId="06662A04" w14:textId="77777777" w:rsidR="006A54C1" w:rsidRDefault="006A54C1" w:rsidP="006A54C1">
      <w:pPr>
        <w:shd w:val="clear" w:color="auto" w:fill="FFFFFF"/>
        <w:spacing w:before="100" w:beforeAutospacing="1" w:after="100" w:afterAutospacing="1"/>
        <w:jc w:val="center"/>
        <w:rPr>
          <w:rFonts w:ascii="Verdana" w:eastAsia="Times New Roman" w:hAnsi="Verdana" w:cs="Times New Roman"/>
          <w:color w:val="000000"/>
          <w:sz w:val="16"/>
          <w:szCs w:val="16"/>
        </w:rPr>
      </w:pPr>
    </w:p>
    <w:p w14:paraId="34493252" w14:textId="77777777" w:rsidR="006A54C1" w:rsidRDefault="006A54C1" w:rsidP="006A54C1">
      <w:pPr>
        <w:shd w:val="clear" w:color="auto" w:fill="FFFFFF"/>
        <w:spacing w:before="100" w:beforeAutospacing="1" w:after="100" w:afterAutospacing="1"/>
        <w:jc w:val="center"/>
        <w:rPr>
          <w:rFonts w:ascii="Verdana" w:eastAsia="Times New Roman" w:hAnsi="Verdana" w:cs="Times New Roman"/>
          <w:color w:val="000000"/>
          <w:sz w:val="16"/>
          <w:szCs w:val="16"/>
        </w:rPr>
      </w:pPr>
    </w:p>
    <w:p w14:paraId="11570822" w14:textId="77777777" w:rsidR="006A54C1" w:rsidRDefault="006A54C1" w:rsidP="006A54C1">
      <w:pPr>
        <w:shd w:val="clear" w:color="auto" w:fill="FFFFFF"/>
        <w:spacing w:before="100" w:beforeAutospacing="1" w:after="100" w:afterAutospacing="1"/>
        <w:jc w:val="center"/>
        <w:rPr>
          <w:rFonts w:ascii="Verdana" w:eastAsia="Times New Roman" w:hAnsi="Verdana" w:cs="Times New Roman"/>
          <w:color w:val="000000"/>
          <w:sz w:val="16"/>
          <w:szCs w:val="16"/>
        </w:rPr>
      </w:pPr>
    </w:p>
    <w:p w14:paraId="6B531A10" w14:textId="60B91839" w:rsidR="006A54C1" w:rsidRDefault="006A54C1" w:rsidP="006A54C1">
      <w:pPr>
        <w:shd w:val="clear" w:color="auto" w:fill="FFFFFF"/>
        <w:spacing w:before="100" w:beforeAutospacing="1" w:after="100" w:afterAutospacing="1"/>
        <w:jc w:val="center"/>
        <w:rPr>
          <w:rFonts w:ascii="Verdana" w:eastAsia="Times New Roman" w:hAnsi="Verdana" w:cs="Times New Roman"/>
          <w:color w:val="000000"/>
          <w:sz w:val="16"/>
          <w:szCs w:val="16"/>
        </w:rPr>
      </w:pPr>
      <w:r>
        <w:rPr>
          <w:rFonts w:ascii="Verdana" w:eastAsia="Times New Roman" w:hAnsi="Verdana" w:cs="Times New Roman"/>
          <w:color w:val="000000"/>
          <w:sz w:val="16"/>
          <w:szCs w:val="16"/>
        </w:rPr>
        <w:t>Hermeneutics and Communication</w:t>
      </w:r>
    </w:p>
    <w:p w14:paraId="0C81BF2A" w14:textId="3BC532BF" w:rsidR="006A54C1" w:rsidRDefault="006A54C1" w:rsidP="006A54C1">
      <w:pPr>
        <w:shd w:val="clear" w:color="auto" w:fill="FFFFFF"/>
        <w:spacing w:before="100" w:beforeAutospacing="1" w:after="100" w:afterAutospacing="1"/>
        <w:jc w:val="center"/>
        <w:rPr>
          <w:rFonts w:ascii="Verdana" w:eastAsia="Times New Roman" w:hAnsi="Verdana" w:cs="Times New Roman"/>
          <w:color w:val="000000"/>
          <w:sz w:val="16"/>
          <w:szCs w:val="16"/>
        </w:rPr>
      </w:pPr>
      <w:r>
        <w:rPr>
          <w:rFonts w:ascii="Verdana" w:eastAsia="Times New Roman" w:hAnsi="Verdana" w:cs="Times New Roman"/>
          <w:color w:val="000000"/>
          <w:sz w:val="16"/>
          <w:szCs w:val="16"/>
        </w:rPr>
        <w:t>Tiffanie D. Willis</w:t>
      </w:r>
    </w:p>
    <w:p w14:paraId="4DBD3143" w14:textId="3A803CCA" w:rsidR="006A54C1" w:rsidRDefault="006A54C1" w:rsidP="006A54C1">
      <w:pPr>
        <w:shd w:val="clear" w:color="auto" w:fill="FFFFFF"/>
        <w:spacing w:before="100" w:beforeAutospacing="1" w:after="100" w:afterAutospacing="1"/>
        <w:jc w:val="center"/>
        <w:rPr>
          <w:rFonts w:ascii="Verdana" w:eastAsia="Times New Roman" w:hAnsi="Verdana" w:cs="Times New Roman"/>
          <w:color w:val="000000"/>
          <w:sz w:val="16"/>
          <w:szCs w:val="16"/>
        </w:rPr>
      </w:pPr>
      <w:r>
        <w:rPr>
          <w:rFonts w:ascii="Verdana" w:eastAsia="Times New Roman" w:hAnsi="Verdana" w:cs="Times New Roman"/>
          <w:color w:val="000000"/>
          <w:sz w:val="16"/>
          <w:szCs w:val="16"/>
        </w:rPr>
        <w:t>Omega Graduate School</w:t>
      </w:r>
    </w:p>
    <w:p w14:paraId="64A8F33D" w14:textId="65A300BE" w:rsidR="006A54C1" w:rsidRDefault="006A54C1" w:rsidP="006A54C1">
      <w:pPr>
        <w:shd w:val="clear" w:color="auto" w:fill="FFFFFF"/>
        <w:spacing w:before="100" w:beforeAutospacing="1" w:after="100" w:afterAutospacing="1"/>
        <w:jc w:val="center"/>
        <w:rPr>
          <w:rFonts w:ascii="Verdana" w:eastAsia="Times New Roman" w:hAnsi="Verdana" w:cs="Times New Roman"/>
          <w:color w:val="000000"/>
          <w:sz w:val="16"/>
          <w:szCs w:val="16"/>
        </w:rPr>
      </w:pPr>
      <w:r>
        <w:rPr>
          <w:rFonts w:ascii="Verdana" w:eastAsia="Times New Roman" w:hAnsi="Verdana" w:cs="Times New Roman"/>
          <w:color w:val="000000"/>
          <w:sz w:val="16"/>
          <w:szCs w:val="16"/>
        </w:rPr>
        <w:t>March 1</w:t>
      </w:r>
      <w:r w:rsidR="00193733">
        <w:rPr>
          <w:rFonts w:ascii="Verdana" w:eastAsia="Times New Roman" w:hAnsi="Verdana" w:cs="Times New Roman"/>
          <w:color w:val="000000"/>
          <w:sz w:val="16"/>
          <w:szCs w:val="16"/>
        </w:rPr>
        <w:t>6</w:t>
      </w:r>
      <w:r>
        <w:rPr>
          <w:rFonts w:ascii="Verdana" w:eastAsia="Times New Roman" w:hAnsi="Verdana" w:cs="Times New Roman"/>
          <w:color w:val="000000"/>
          <w:sz w:val="16"/>
          <w:szCs w:val="16"/>
        </w:rPr>
        <w:t>, 2024</w:t>
      </w:r>
    </w:p>
    <w:p w14:paraId="3D1E247E" w14:textId="77777777" w:rsidR="006A54C1" w:rsidRDefault="006A54C1" w:rsidP="006A54C1">
      <w:pPr>
        <w:shd w:val="clear" w:color="auto" w:fill="FFFFFF"/>
        <w:spacing w:before="100" w:beforeAutospacing="1" w:after="100" w:afterAutospacing="1"/>
        <w:jc w:val="center"/>
        <w:rPr>
          <w:rFonts w:ascii="Verdana" w:eastAsia="Times New Roman" w:hAnsi="Verdana" w:cs="Times New Roman"/>
          <w:color w:val="000000"/>
          <w:sz w:val="16"/>
          <w:szCs w:val="16"/>
        </w:rPr>
      </w:pPr>
    </w:p>
    <w:p w14:paraId="4615BB69" w14:textId="77777777" w:rsidR="006A54C1" w:rsidRDefault="006A54C1" w:rsidP="006A54C1">
      <w:pPr>
        <w:shd w:val="clear" w:color="auto" w:fill="FFFFFF"/>
        <w:spacing w:before="100" w:beforeAutospacing="1" w:after="100" w:afterAutospacing="1"/>
        <w:jc w:val="center"/>
        <w:rPr>
          <w:rFonts w:ascii="Verdana" w:eastAsia="Times New Roman" w:hAnsi="Verdana" w:cs="Times New Roman"/>
          <w:color w:val="000000"/>
          <w:sz w:val="16"/>
          <w:szCs w:val="16"/>
        </w:rPr>
      </w:pPr>
    </w:p>
    <w:p w14:paraId="4C6C6B37" w14:textId="77777777" w:rsidR="006A54C1" w:rsidRDefault="006A54C1" w:rsidP="006A54C1">
      <w:pPr>
        <w:shd w:val="clear" w:color="auto" w:fill="FFFFFF"/>
        <w:spacing w:before="100" w:beforeAutospacing="1" w:after="100" w:afterAutospacing="1"/>
        <w:jc w:val="center"/>
        <w:rPr>
          <w:rFonts w:ascii="Verdana" w:eastAsia="Times New Roman" w:hAnsi="Verdana" w:cs="Times New Roman"/>
          <w:color w:val="000000"/>
          <w:sz w:val="16"/>
          <w:szCs w:val="16"/>
        </w:rPr>
      </w:pPr>
    </w:p>
    <w:p w14:paraId="74C06390" w14:textId="77777777" w:rsidR="006A54C1" w:rsidRDefault="006A54C1" w:rsidP="006A54C1">
      <w:pPr>
        <w:shd w:val="clear" w:color="auto" w:fill="FFFFFF"/>
        <w:spacing w:before="100" w:beforeAutospacing="1" w:after="100" w:afterAutospacing="1"/>
        <w:jc w:val="center"/>
        <w:rPr>
          <w:rFonts w:ascii="Verdana" w:eastAsia="Times New Roman" w:hAnsi="Verdana" w:cs="Times New Roman"/>
          <w:color w:val="000000"/>
          <w:sz w:val="16"/>
          <w:szCs w:val="16"/>
        </w:rPr>
      </w:pPr>
    </w:p>
    <w:p w14:paraId="25FBC4AC" w14:textId="77777777" w:rsidR="006A54C1" w:rsidRDefault="006A54C1" w:rsidP="006A54C1">
      <w:pPr>
        <w:shd w:val="clear" w:color="auto" w:fill="FFFFFF"/>
        <w:spacing w:before="100" w:beforeAutospacing="1" w:after="100" w:afterAutospacing="1"/>
        <w:jc w:val="center"/>
        <w:rPr>
          <w:rFonts w:ascii="Verdana" w:eastAsia="Times New Roman" w:hAnsi="Verdana" w:cs="Times New Roman"/>
          <w:color w:val="000000"/>
          <w:sz w:val="16"/>
          <w:szCs w:val="16"/>
        </w:rPr>
      </w:pPr>
    </w:p>
    <w:p w14:paraId="207EFA21" w14:textId="77777777" w:rsidR="006A54C1" w:rsidRDefault="006A54C1" w:rsidP="006A54C1">
      <w:pPr>
        <w:shd w:val="clear" w:color="auto" w:fill="FFFFFF"/>
        <w:spacing w:before="100" w:beforeAutospacing="1" w:after="100" w:afterAutospacing="1"/>
        <w:jc w:val="center"/>
        <w:rPr>
          <w:rFonts w:ascii="Verdana" w:eastAsia="Times New Roman" w:hAnsi="Verdana" w:cs="Times New Roman"/>
          <w:color w:val="000000"/>
          <w:sz w:val="16"/>
          <w:szCs w:val="16"/>
        </w:rPr>
      </w:pPr>
    </w:p>
    <w:p w14:paraId="5C320963" w14:textId="37845BC8" w:rsidR="006A54C1" w:rsidRDefault="006A54C1" w:rsidP="006A54C1">
      <w:pPr>
        <w:shd w:val="clear" w:color="auto" w:fill="FFFFFF"/>
        <w:spacing w:before="100" w:beforeAutospacing="1" w:after="100" w:afterAutospacing="1"/>
        <w:jc w:val="center"/>
        <w:rPr>
          <w:rFonts w:ascii="Verdana" w:eastAsia="Times New Roman" w:hAnsi="Verdana" w:cs="Times New Roman"/>
          <w:color w:val="000000"/>
          <w:sz w:val="16"/>
          <w:szCs w:val="16"/>
        </w:rPr>
      </w:pPr>
      <w:r>
        <w:rPr>
          <w:rFonts w:ascii="Verdana" w:eastAsia="Times New Roman" w:hAnsi="Verdana" w:cs="Times New Roman"/>
          <w:color w:val="000000"/>
          <w:sz w:val="16"/>
          <w:szCs w:val="16"/>
        </w:rPr>
        <w:t>Professor</w:t>
      </w:r>
    </w:p>
    <w:p w14:paraId="6BC1CB17" w14:textId="04991D7B" w:rsidR="006A54C1" w:rsidRDefault="006A54C1" w:rsidP="006A54C1">
      <w:pPr>
        <w:shd w:val="clear" w:color="auto" w:fill="FFFFFF"/>
        <w:spacing w:before="100" w:beforeAutospacing="1" w:after="100" w:afterAutospacing="1"/>
        <w:jc w:val="center"/>
        <w:rPr>
          <w:rFonts w:ascii="Verdana" w:eastAsia="Times New Roman" w:hAnsi="Verdana" w:cs="Times New Roman"/>
          <w:color w:val="000000"/>
          <w:sz w:val="16"/>
          <w:szCs w:val="16"/>
        </w:rPr>
      </w:pPr>
    </w:p>
    <w:p w14:paraId="010CAF5C" w14:textId="7FDC104D" w:rsidR="006A54C1" w:rsidRDefault="006A54C1" w:rsidP="006A54C1">
      <w:pPr>
        <w:shd w:val="clear" w:color="auto" w:fill="FFFFFF"/>
        <w:spacing w:before="100" w:beforeAutospacing="1" w:after="100" w:afterAutospacing="1"/>
        <w:jc w:val="center"/>
        <w:rPr>
          <w:rFonts w:ascii="Verdana" w:eastAsia="Times New Roman" w:hAnsi="Verdana" w:cs="Times New Roman"/>
          <w:color w:val="000000"/>
          <w:sz w:val="16"/>
          <w:szCs w:val="16"/>
        </w:rPr>
      </w:pPr>
      <w:r>
        <w:rPr>
          <w:rFonts w:ascii="Verdana" w:eastAsia="Times New Roman" w:hAnsi="Verdana" w:cs="Times New Roman"/>
          <w:color w:val="000000"/>
          <w:sz w:val="16"/>
          <w:szCs w:val="16"/>
        </w:rPr>
        <w:t>Dr. Kenneth Schmidt</w:t>
      </w:r>
    </w:p>
    <w:p w14:paraId="1B647189" w14:textId="77777777" w:rsidR="006A54C1" w:rsidRDefault="006A54C1" w:rsidP="006A54C1">
      <w:pPr>
        <w:shd w:val="clear" w:color="auto" w:fill="FFFFFF"/>
        <w:spacing w:before="100" w:beforeAutospacing="1" w:after="100" w:afterAutospacing="1"/>
        <w:jc w:val="center"/>
        <w:rPr>
          <w:rFonts w:ascii="Verdana" w:eastAsia="Times New Roman" w:hAnsi="Verdana" w:cs="Times New Roman"/>
          <w:color w:val="000000"/>
          <w:sz w:val="16"/>
          <w:szCs w:val="16"/>
        </w:rPr>
      </w:pPr>
    </w:p>
    <w:p w14:paraId="602E2849" w14:textId="77777777" w:rsidR="006A54C1" w:rsidRDefault="006A54C1" w:rsidP="0085334D">
      <w:pPr>
        <w:shd w:val="clear" w:color="auto" w:fill="FFFFFF"/>
        <w:spacing w:before="100" w:beforeAutospacing="1" w:after="100" w:afterAutospacing="1"/>
        <w:rPr>
          <w:rFonts w:ascii="Verdana" w:eastAsia="Times New Roman" w:hAnsi="Verdana" w:cs="Times New Roman"/>
          <w:color w:val="000000"/>
          <w:sz w:val="16"/>
          <w:szCs w:val="16"/>
        </w:rPr>
      </w:pPr>
    </w:p>
    <w:p w14:paraId="6D82C26F" w14:textId="77777777" w:rsidR="006A54C1" w:rsidRDefault="006A54C1" w:rsidP="0085334D">
      <w:pPr>
        <w:shd w:val="clear" w:color="auto" w:fill="FFFFFF"/>
        <w:spacing w:before="100" w:beforeAutospacing="1" w:after="100" w:afterAutospacing="1"/>
        <w:rPr>
          <w:rFonts w:ascii="Verdana" w:eastAsia="Times New Roman" w:hAnsi="Verdana" w:cs="Times New Roman"/>
          <w:color w:val="000000"/>
          <w:sz w:val="16"/>
          <w:szCs w:val="16"/>
        </w:rPr>
      </w:pPr>
    </w:p>
    <w:p w14:paraId="193AADD1" w14:textId="77777777" w:rsidR="006A54C1" w:rsidRDefault="006A54C1" w:rsidP="0085334D">
      <w:pPr>
        <w:shd w:val="clear" w:color="auto" w:fill="FFFFFF"/>
        <w:spacing w:before="100" w:beforeAutospacing="1" w:after="100" w:afterAutospacing="1"/>
        <w:rPr>
          <w:rFonts w:ascii="Verdana" w:eastAsia="Times New Roman" w:hAnsi="Verdana" w:cs="Times New Roman"/>
          <w:color w:val="000000"/>
          <w:sz w:val="16"/>
          <w:szCs w:val="16"/>
        </w:rPr>
      </w:pPr>
    </w:p>
    <w:p w14:paraId="0D05763B" w14:textId="77777777" w:rsidR="006A54C1" w:rsidRDefault="006A54C1" w:rsidP="0085334D">
      <w:pPr>
        <w:shd w:val="clear" w:color="auto" w:fill="FFFFFF"/>
        <w:spacing w:before="100" w:beforeAutospacing="1" w:after="100" w:afterAutospacing="1"/>
        <w:rPr>
          <w:rFonts w:ascii="Verdana" w:eastAsia="Times New Roman" w:hAnsi="Verdana" w:cs="Times New Roman"/>
          <w:color w:val="000000"/>
          <w:sz w:val="16"/>
          <w:szCs w:val="16"/>
        </w:rPr>
      </w:pPr>
    </w:p>
    <w:p w14:paraId="7316DF96" w14:textId="77777777" w:rsidR="006A54C1" w:rsidRDefault="006A54C1" w:rsidP="0085334D">
      <w:pPr>
        <w:shd w:val="clear" w:color="auto" w:fill="FFFFFF"/>
        <w:spacing w:before="100" w:beforeAutospacing="1" w:after="100" w:afterAutospacing="1"/>
        <w:rPr>
          <w:rFonts w:ascii="Verdana" w:eastAsia="Times New Roman" w:hAnsi="Verdana" w:cs="Times New Roman"/>
          <w:color w:val="000000"/>
          <w:sz w:val="16"/>
          <w:szCs w:val="16"/>
        </w:rPr>
      </w:pPr>
    </w:p>
    <w:p w14:paraId="35AF0ACA" w14:textId="4F8C69C3" w:rsidR="0085334D" w:rsidRDefault="0085334D" w:rsidP="006A54C1">
      <w:pPr>
        <w:shd w:val="clear" w:color="auto" w:fill="FFFFFF"/>
        <w:spacing w:before="100" w:beforeAutospacing="1" w:after="100" w:afterAutospacing="1"/>
        <w:jc w:val="center"/>
        <w:rPr>
          <w:rFonts w:ascii="Verdana" w:eastAsia="Times New Roman" w:hAnsi="Verdana" w:cs="Times New Roman"/>
          <w:color w:val="000000"/>
          <w:sz w:val="16"/>
          <w:szCs w:val="16"/>
        </w:rPr>
      </w:pPr>
      <w:r>
        <w:rPr>
          <w:rFonts w:ascii="Verdana" w:eastAsia="Times New Roman" w:hAnsi="Verdana" w:cs="Times New Roman"/>
          <w:color w:val="000000"/>
          <w:sz w:val="16"/>
          <w:szCs w:val="16"/>
        </w:rPr>
        <w:t>COM 803 Hermeneutics Assignment # 4</w:t>
      </w:r>
    </w:p>
    <w:p w14:paraId="344D1490" w14:textId="7D295501" w:rsidR="0085334D" w:rsidRPr="0085334D" w:rsidRDefault="0085334D" w:rsidP="006A54C1">
      <w:pPr>
        <w:shd w:val="clear" w:color="auto" w:fill="FFFFFF"/>
        <w:spacing w:before="100" w:beforeAutospacing="1" w:after="100" w:afterAutospacing="1"/>
        <w:rPr>
          <w:rFonts w:ascii="Verdana" w:eastAsia="Times New Roman" w:hAnsi="Verdana" w:cs="Times New Roman"/>
          <w:color w:val="000000" w:themeColor="text1"/>
          <w:sz w:val="16"/>
          <w:szCs w:val="16"/>
        </w:rPr>
      </w:pPr>
      <w:r w:rsidRPr="0085334D">
        <w:rPr>
          <w:rFonts w:ascii="Verdana" w:eastAsia="Times New Roman" w:hAnsi="Verdana" w:cs="Times New Roman"/>
          <w:color w:val="000000" w:themeColor="text1"/>
          <w:sz w:val="16"/>
          <w:szCs w:val="16"/>
        </w:rPr>
        <w:t>Assignment #4 – Course Learning Journal</w:t>
      </w:r>
    </w:p>
    <w:p w14:paraId="0C1A9E39" w14:textId="77777777" w:rsidR="0085334D" w:rsidRPr="0085334D" w:rsidRDefault="0085334D" w:rsidP="002A4621">
      <w:pPr>
        <w:shd w:val="clear" w:color="auto" w:fill="FFFFFF"/>
        <w:rPr>
          <w:rFonts w:ascii="Verdana" w:eastAsia="Times New Roman" w:hAnsi="Verdana" w:cs="Times New Roman"/>
          <w:color w:val="000000" w:themeColor="text1"/>
          <w:sz w:val="16"/>
          <w:szCs w:val="16"/>
        </w:rPr>
      </w:pPr>
      <w:r w:rsidRPr="0085334D">
        <w:rPr>
          <w:rFonts w:ascii="Verdana" w:eastAsia="Times New Roman" w:hAnsi="Verdana" w:cs="Times New Roman"/>
          <w:color w:val="000000" w:themeColor="text1"/>
          <w:sz w:val="16"/>
          <w:szCs w:val="16"/>
        </w:rPr>
        <w:t>The journal is a written reflection of your learning journey while working in each course. The</w:t>
      </w:r>
    </w:p>
    <w:p w14:paraId="7434B63D" w14:textId="77777777" w:rsidR="0085334D" w:rsidRPr="0085334D" w:rsidRDefault="0085334D" w:rsidP="002A4621">
      <w:pPr>
        <w:shd w:val="clear" w:color="auto" w:fill="FFFFFF"/>
        <w:rPr>
          <w:rFonts w:ascii="Verdana" w:eastAsia="Times New Roman" w:hAnsi="Verdana" w:cs="Times New Roman"/>
          <w:color w:val="000000"/>
          <w:sz w:val="16"/>
          <w:szCs w:val="16"/>
        </w:rPr>
      </w:pPr>
      <w:r w:rsidRPr="0085334D">
        <w:rPr>
          <w:rFonts w:ascii="Verdana" w:eastAsia="Times New Roman" w:hAnsi="Verdana" w:cs="Times New Roman"/>
          <w:color w:val="000000" w:themeColor="text1"/>
          <w:sz w:val="16"/>
          <w:szCs w:val="16"/>
        </w:rPr>
        <w:t xml:space="preserve">Learning Journal integrates the </w:t>
      </w:r>
      <w:r w:rsidRPr="0085334D">
        <w:rPr>
          <w:rFonts w:ascii="Verdana" w:eastAsia="Times New Roman" w:hAnsi="Verdana" w:cs="Times New Roman"/>
          <w:color w:val="000000"/>
          <w:sz w:val="16"/>
          <w:szCs w:val="16"/>
        </w:rPr>
        <w:t>essential elements of the course within your professional field of</w:t>
      </w:r>
    </w:p>
    <w:p w14:paraId="25403195" w14:textId="77777777" w:rsidR="0085334D" w:rsidRPr="0085334D" w:rsidRDefault="0085334D" w:rsidP="002A4621">
      <w:pPr>
        <w:shd w:val="clear" w:color="auto" w:fill="FFFFFF"/>
        <w:rPr>
          <w:rFonts w:ascii="Verdana" w:eastAsia="Times New Roman" w:hAnsi="Verdana" w:cs="Times New Roman"/>
          <w:color w:val="000000"/>
          <w:sz w:val="16"/>
          <w:szCs w:val="16"/>
        </w:rPr>
      </w:pPr>
      <w:r w:rsidRPr="0085334D">
        <w:rPr>
          <w:rFonts w:ascii="Verdana" w:eastAsia="Times New Roman" w:hAnsi="Verdana" w:cs="Times New Roman"/>
          <w:color w:val="000000"/>
          <w:sz w:val="16"/>
          <w:szCs w:val="16"/>
        </w:rPr>
        <w:t>interest. The objective of the course journal is to produce a degree of acculturation, integrating</w:t>
      </w:r>
    </w:p>
    <w:p w14:paraId="2ABAD881" w14:textId="77777777" w:rsidR="0085334D" w:rsidRPr="0085334D" w:rsidRDefault="0085334D" w:rsidP="002A4621">
      <w:pPr>
        <w:shd w:val="clear" w:color="auto" w:fill="FFFFFF"/>
        <w:rPr>
          <w:rFonts w:ascii="Verdana" w:eastAsia="Times New Roman" w:hAnsi="Verdana" w:cs="Times New Roman"/>
          <w:color w:val="000000"/>
          <w:sz w:val="16"/>
          <w:szCs w:val="16"/>
        </w:rPr>
      </w:pPr>
      <w:r w:rsidRPr="0085334D">
        <w:rPr>
          <w:rFonts w:ascii="Verdana" w:eastAsia="Times New Roman" w:hAnsi="Verdana" w:cs="Times New Roman"/>
          <w:color w:val="000000"/>
          <w:sz w:val="16"/>
          <w:szCs w:val="16"/>
        </w:rPr>
        <w:t>new ideas into your existing knowledge of each course. This is also an opportunity to</w:t>
      </w:r>
    </w:p>
    <w:p w14:paraId="5D108941" w14:textId="77777777" w:rsidR="0085334D" w:rsidRPr="0085334D" w:rsidRDefault="0085334D" w:rsidP="002A4621">
      <w:pPr>
        <w:shd w:val="clear" w:color="auto" w:fill="FFFFFF"/>
        <w:rPr>
          <w:rFonts w:ascii="Verdana" w:eastAsia="Times New Roman" w:hAnsi="Verdana" w:cs="Times New Roman"/>
          <w:color w:val="000000"/>
          <w:sz w:val="16"/>
          <w:szCs w:val="16"/>
        </w:rPr>
      </w:pPr>
      <w:r w:rsidRPr="0085334D">
        <w:rPr>
          <w:rFonts w:ascii="Verdana" w:eastAsia="Times New Roman" w:hAnsi="Verdana" w:cs="Times New Roman"/>
          <w:color w:val="000000"/>
          <w:sz w:val="16"/>
          <w:szCs w:val="16"/>
        </w:rPr>
        <w:t>communicate with your professor insights gained as a result of the course. The course</w:t>
      </w:r>
    </w:p>
    <w:p w14:paraId="5E6E6BE3" w14:textId="77777777" w:rsidR="0085334D" w:rsidRPr="0085334D" w:rsidRDefault="0085334D" w:rsidP="002A4621">
      <w:pPr>
        <w:shd w:val="clear" w:color="auto" w:fill="FFFFFF"/>
        <w:rPr>
          <w:rFonts w:ascii="Verdana" w:eastAsia="Times New Roman" w:hAnsi="Verdana" w:cs="Times New Roman"/>
          <w:color w:val="000000"/>
          <w:sz w:val="16"/>
          <w:szCs w:val="16"/>
        </w:rPr>
      </w:pPr>
      <w:r w:rsidRPr="0085334D">
        <w:rPr>
          <w:rFonts w:ascii="Verdana" w:eastAsia="Times New Roman" w:hAnsi="Verdana" w:cs="Times New Roman"/>
          <w:color w:val="000000"/>
          <w:sz w:val="16"/>
          <w:szCs w:val="16"/>
        </w:rPr>
        <w:t>learning journal should be 3-5 pages in length and should include the following sections:</w:t>
      </w:r>
    </w:p>
    <w:p w14:paraId="4D2DC52C" w14:textId="77777777" w:rsidR="0085334D" w:rsidRPr="0085334D" w:rsidRDefault="0085334D" w:rsidP="002A4621">
      <w:pPr>
        <w:shd w:val="clear" w:color="auto" w:fill="FFFFFF"/>
        <w:rPr>
          <w:rFonts w:ascii="Verdana" w:eastAsia="Times New Roman" w:hAnsi="Verdana" w:cs="Times New Roman"/>
          <w:color w:val="000000"/>
          <w:sz w:val="16"/>
          <w:szCs w:val="16"/>
        </w:rPr>
      </w:pPr>
      <w:r w:rsidRPr="0085334D">
        <w:rPr>
          <w:rFonts w:ascii="Verdana" w:eastAsia="Times New Roman" w:hAnsi="Verdana" w:cs="Times New Roman"/>
          <w:color w:val="000000"/>
          <w:sz w:val="16"/>
          <w:szCs w:val="16"/>
        </w:rPr>
        <w:t>1. Introduction –Summarize the intent of the course, how it fits into the graduate</w:t>
      </w:r>
    </w:p>
    <w:p w14:paraId="6FF1FD6D" w14:textId="77777777" w:rsidR="0085334D" w:rsidRPr="0085334D" w:rsidRDefault="0085334D" w:rsidP="002A4621">
      <w:pPr>
        <w:shd w:val="clear" w:color="auto" w:fill="FFFFFF"/>
        <w:rPr>
          <w:rFonts w:ascii="Verdana" w:eastAsia="Times New Roman" w:hAnsi="Verdana" w:cs="Times New Roman"/>
          <w:color w:val="000000"/>
          <w:sz w:val="16"/>
          <w:szCs w:val="16"/>
        </w:rPr>
      </w:pPr>
      <w:r w:rsidRPr="0085334D">
        <w:rPr>
          <w:rFonts w:ascii="Verdana" w:eastAsia="Times New Roman" w:hAnsi="Verdana" w:cs="Times New Roman"/>
          <w:color w:val="000000"/>
          <w:sz w:val="16"/>
          <w:szCs w:val="16"/>
        </w:rPr>
        <w:t>program as a whole, and the relevance of its position in the curricular sequence.</w:t>
      </w:r>
    </w:p>
    <w:p w14:paraId="319433A3" w14:textId="77777777" w:rsidR="0085334D" w:rsidRPr="0085334D" w:rsidRDefault="0085334D" w:rsidP="002A4621">
      <w:pPr>
        <w:shd w:val="clear" w:color="auto" w:fill="FFFFFF"/>
        <w:rPr>
          <w:rFonts w:ascii="Verdana" w:eastAsia="Times New Roman" w:hAnsi="Verdana" w:cs="Times New Roman"/>
          <w:color w:val="000000"/>
          <w:sz w:val="16"/>
          <w:szCs w:val="16"/>
        </w:rPr>
      </w:pPr>
      <w:r w:rsidRPr="0085334D">
        <w:rPr>
          <w:rFonts w:ascii="Verdana" w:eastAsia="Times New Roman" w:hAnsi="Verdana" w:cs="Times New Roman"/>
          <w:color w:val="000000"/>
          <w:sz w:val="16"/>
          <w:szCs w:val="16"/>
        </w:rPr>
        <w:t>2. Personal Growth - Describe your personal growth–how the course stretched or</w:t>
      </w:r>
    </w:p>
    <w:p w14:paraId="1D8DC391" w14:textId="77777777" w:rsidR="0085334D" w:rsidRPr="0085334D" w:rsidRDefault="0085334D" w:rsidP="002A4621">
      <w:pPr>
        <w:shd w:val="clear" w:color="auto" w:fill="FFFFFF"/>
        <w:rPr>
          <w:rFonts w:ascii="Verdana" w:eastAsia="Times New Roman" w:hAnsi="Verdana" w:cs="Times New Roman"/>
          <w:color w:val="000000"/>
          <w:sz w:val="16"/>
          <w:szCs w:val="16"/>
        </w:rPr>
      </w:pPr>
      <w:r w:rsidRPr="0085334D">
        <w:rPr>
          <w:rFonts w:ascii="Verdana" w:eastAsia="Times New Roman" w:hAnsi="Verdana" w:cs="Times New Roman"/>
          <w:color w:val="000000"/>
          <w:sz w:val="16"/>
          <w:szCs w:val="16"/>
        </w:rPr>
        <w:t>challenged you– and your progress in mastery of course content and skills during</w:t>
      </w:r>
    </w:p>
    <w:p w14:paraId="629452DD" w14:textId="77777777" w:rsidR="0085334D" w:rsidRPr="0085334D" w:rsidRDefault="0085334D" w:rsidP="002A4621">
      <w:pPr>
        <w:shd w:val="clear" w:color="auto" w:fill="FFFFFF"/>
        <w:rPr>
          <w:rFonts w:ascii="Verdana" w:eastAsia="Times New Roman" w:hAnsi="Verdana" w:cs="Times New Roman"/>
          <w:color w:val="000000"/>
          <w:sz w:val="16"/>
          <w:szCs w:val="16"/>
        </w:rPr>
      </w:pPr>
      <w:r w:rsidRPr="0085334D">
        <w:rPr>
          <w:rFonts w:ascii="Verdana" w:eastAsia="Times New Roman" w:hAnsi="Verdana" w:cs="Times New Roman"/>
          <w:color w:val="000000"/>
          <w:sz w:val="16"/>
          <w:szCs w:val="16"/>
        </w:rPr>
        <w:t>the week and through subsequent readings – what new insights or skills you gained.</w:t>
      </w:r>
    </w:p>
    <w:p w14:paraId="6F3BC32C" w14:textId="77777777" w:rsidR="0085334D" w:rsidRPr="0085334D" w:rsidRDefault="0085334D" w:rsidP="002A4621">
      <w:pPr>
        <w:shd w:val="clear" w:color="auto" w:fill="FFFFFF"/>
        <w:rPr>
          <w:rFonts w:ascii="Verdana" w:eastAsia="Times New Roman" w:hAnsi="Verdana" w:cs="Times New Roman"/>
          <w:color w:val="000000"/>
          <w:sz w:val="16"/>
          <w:szCs w:val="16"/>
        </w:rPr>
      </w:pPr>
      <w:r w:rsidRPr="0085334D">
        <w:rPr>
          <w:rFonts w:ascii="Verdana" w:eastAsia="Times New Roman" w:hAnsi="Verdana" w:cs="Times New Roman"/>
          <w:color w:val="000000"/>
          <w:sz w:val="16"/>
          <w:szCs w:val="16"/>
        </w:rPr>
        <w:t>3. Reflective Entry - Add a reflective entry that describes the contextualization (or</w:t>
      </w:r>
    </w:p>
    <w:p w14:paraId="62BB557C" w14:textId="77777777" w:rsidR="0085334D" w:rsidRPr="0085334D" w:rsidRDefault="0085334D" w:rsidP="002A4621">
      <w:pPr>
        <w:shd w:val="clear" w:color="auto" w:fill="FFFFFF"/>
        <w:rPr>
          <w:rFonts w:ascii="Verdana" w:eastAsia="Times New Roman" w:hAnsi="Verdana" w:cs="Times New Roman"/>
          <w:color w:val="000000"/>
          <w:sz w:val="16"/>
          <w:szCs w:val="16"/>
        </w:rPr>
      </w:pPr>
      <w:r w:rsidRPr="0085334D">
        <w:rPr>
          <w:rFonts w:ascii="Verdana" w:eastAsia="Times New Roman" w:hAnsi="Verdana" w:cs="Times New Roman"/>
          <w:color w:val="000000"/>
          <w:sz w:val="16"/>
          <w:szCs w:val="16"/>
        </w:rPr>
        <w:t>adaptation and relevant application) of new learning in your professional field.</w:t>
      </w:r>
    </w:p>
    <w:p w14:paraId="47CB6278" w14:textId="77777777" w:rsidR="0085334D" w:rsidRPr="0085334D" w:rsidRDefault="0085334D" w:rsidP="002A4621">
      <w:pPr>
        <w:shd w:val="clear" w:color="auto" w:fill="FFFFFF"/>
        <w:rPr>
          <w:rFonts w:ascii="Verdana" w:eastAsia="Times New Roman" w:hAnsi="Verdana" w:cs="Times New Roman"/>
          <w:color w:val="000000"/>
          <w:sz w:val="16"/>
          <w:szCs w:val="16"/>
        </w:rPr>
      </w:pPr>
      <w:r w:rsidRPr="0085334D">
        <w:rPr>
          <w:rFonts w:ascii="Verdana" w:eastAsia="Times New Roman" w:hAnsi="Verdana" w:cs="Times New Roman"/>
          <w:color w:val="000000"/>
          <w:sz w:val="16"/>
          <w:szCs w:val="16"/>
        </w:rPr>
        <w:t xml:space="preserve">What questions or concerns have surfaced about your professional field as a </w:t>
      </w:r>
      <w:proofErr w:type="gramStart"/>
      <w:r w:rsidRPr="0085334D">
        <w:rPr>
          <w:rFonts w:ascii="Verdana" w:eastAsia="Times New Roman" w:hAnsi="Verdana" w:cs="Times New Roman"/>
          <w:color w:val="000000"/>
          <w:sz w:val="16"/>
          <w:szCs w:val="16"/>
        </w:rPr>
        <w:t>result</w:t>
      </w:r>
      <w:proofErr w:type="gramEnd"/>
    </w:p>
    <w:p w14:paraId="608D6910" w14:textId="77777777" w:rsidR="0085334D" w:rsidRPr="0085334D" w:rsidRDefault="0085334D" w:rsidP="002A4621">
      <w:pPr>
        <w:shd w:val="clear" w:color="auto" w:fill="FFFFFF"/>
        <w:rPr>
          <w:rFonts w:ascii="Verdana" w:eastAsia="Times New Roman" w:hAnsi="Verdana" w:cs="Times New Roman"/>
          <w:color w:val="000000"/>
          <w:sz w:val="16"/>
          <w:szCs w:val="16"/>
        </w:rPr>
      </w:pPr>
      <w:r w:rsidRPr="0085334D">
        <w:rPr>
          <w:rFonts w:ascii="Verdana" w:eastAsia="Times New Roman" w:hAnsi="Verdana" w:cs="Times New Roman"/>
          <w:color w:val="000000"/>
          <w:sz w:val="16"/>
          <w:szCs w:val="16"/>
        </w:rPr>
        <w:t>of your study?</w:t>
      </w:r>
    </w:p>
    <w:p w14:paraId="25E8F1E1" w14:textId="77777777" w:rsidR="002A4621" w:rsidRDefault="0085334D" w:rsidP="002A4621">
      <w:pPr>
        <w:shd w:val="clear" w:color="auto" w:fill="FFFFFF"/>
        <w:rPr>
          <w:rFonts w:ascii="Verdana" w:eastAsia="Times New Roman" w:hAnsi="Verdana" w:cs="Times New Roman"/>
          <w:color w:val="000000"/>
          <w:sz w:val="16"/>
          <w:szCs w:val="16"/>
        </w:rPr>
      </w:pPr>
      <w:r w:rsidRPr="0085334D">
        <w:rPr>
          <w:rFonts w:ascii="Verdana" w:eastAsia="Times New Roman" w:hAnsi="Verdana" w:cs="Times New Roman"/>
          <w:color w:val="000000"/>
          <w:sz w:val="16"/>
          <w:szCs w:val="16"/>
        </w:rPr>
        <w:t>4. Conclusion – Evaluate the effectiveness of the course in meeting your professional,</w:t>
      </w:r>
    </w:p>
    <w:p w14:paraId="4195D552" w14:textId="4177A45A" w:rsidR="0085334D" w:rsidRPr="0085334D" w:rsidRDefault="0085334D" w:rsidP="002A4621">
      <w:pPr>
        <w:shd w:val="clear" w:color="auto" w:fill="FFFFFF"/>
        <w:rPr>
          <w:rFonts w:ascii="Verdana" w:eastAsia="Times New Roman" w:hAnsi="Verdana" w:cs="Times New Roman"/>
          <w:color w:val="000000"/>
          <w:sz w:val="16"/>
          <w:szCs w:val="16"/>
        </w:rPr>
      </w:pPr>
      <w:r w:rsidRPr="0085334D">
        <w:rPr>
          <w:rFonts w:ascii="Verdana" w:eastAsia="Times New Roman" w:hAnsi="Verdana" w:cs="Times New Roman"/>
          <w:color w:val="000000"/>
          <w:sz w:val="16"/>
          <w:szCs w:val="16"/>
        </w:rPr>
        <w:t>religious, and educational goals.</w:t>
      </w:r>
    </w:p>
    <w:p w14:paraId="50B35DD0" w14:textId="02F23373" w:rsidR="00684439" w:rsidRDefault="00ED15F8"/>
    <w:p w14:paraId="20AC67DE" w14:textId="1119861F" w:rsidR="002A4621" w:rsidRDefault="002A4621"/>
    <w:p w14:paraId="1B3B0EE8" w14:textId="43B7A43C" w:rsidR="002A4621" w:rsidRDefault="002A4621"/>
    <w:p w14:paraId="77247659" w14:textId="4CDD2B65" w:rsidR="002A4621" w:rsidRDefault="002A4621"/>
    <w:p w14:paraId="5BD68D4B" w14:textId="50F75AA6" w:rsidR="002A4621" w:rsidRDefault="002A4621"/>
    <w:p w14:paraId="3C5D7B6E" w14:textId="6954FEBB" w:rsidR="002A4621" w:rsidRDefault="002A4621"/>
    <w:p w14:paraId="7CBD289E" w14:textId="7FCC29AF" w:rsidR="002A4621" w:rsidRDefault="002A4621"/>
    <w:p w14:paraId="56681B2E" w14:textId="72E7903F" w:rsidR="002A4621" w:rsidRDefault="002A4621"/>
    <w:p w14:paraId="3895A73D" w14:textId="603DADCB" w:rsidR="002A4621" w:rsidRDefault="002A4621"/>
    <w:p w14:paraId="39412E65" w14:textId="149DB6E1" w:rsidR="002A4621" w:rsidRDefault="002A4621"/>
    <w:p w14:paraId="017D9595" w14:textId="49E01F50" w:rsidR="002A4621" w:rsidRDefault="002A4621"/>
    <w:p w14:paraId="361E2405" w14:textId="3D589E98" w:rsidR="002A4621" w:rsidRDefault="002A4621"/>
    <w:p w14:paraId="0BC911B3" w14:textId="3BB8C9C2" w:rsidR="002A4621" w:rsidRDefault="002A4621"/>
    <w:p w14:paraId="3B20E720" w14:textId="74940EC4" w:rsidR="002A4621" w:rsidRDefault="002A4621"/>
    <w:p w14:paraId="6F0760B9" w14:textId="09168C3A" w:rsidR="002A4621" w:rsidRDefault="002A4621"/>
    <w:p w14:paraId="410E39A7" w14:textId="59C6986E" w:rsidR="002A4621" w:rsidRDefault="002A4621"/>
    <w:p w14:paraId="32D288DB" w14:textId="51D90BAE" w:rsidR="002A4621" w:rsidRDefault="002A4621"/>
    <w:p w14:paraId="0EA1EF0D" w14:textId="755C7B38" w:rsidR="002A4621" w:rsidRDefault="002A4621"/>
    <w:p w14:paraId="77F007B4" w14:textId="4E64880A" w:rsidR="002A4621" w:rsidRDefault="002A4621"/>
    <w:p w14:paraId="01C3C705" w14:textId="4EB6C70F" w:rsidR="002A4621" w:rsidRDefault="002A4621"/>
    <w:p w14:paraId="54FF65CA" w14:textId="64F0D0F8" w:rsidR="002A4621" w:rsidRDefault="002A4621"/>
    <w:p w14:paraId="058DAB17" w14:textId="26E94189" w:rsidR="002A4621" w:rsidRDefault="002A4621"/>
    <w:p w14:paraId="5D83F6BD" w14:textId="2A9DA5ED" w:rsidR="002A4621" w:rsidRDefault="002A4621"/>
    <w:p w14:paraId="7CF332D6" w14:textId="18F22F5C" w:rsidR="002A4621" w:rsidRDefault="002A4621"/>
    <w:p w14:paraId="1E0F9A64" w14:textId="57A2AA1F" w:rsidR="002A4621" w:rsidRDefault="002A4621"/>
    <w:p w14:paraId="16653F28" w14:textId="77777777" w:rsidR="002A4621" w:rsidRDefault="002A4621"/>
    <w:p w14:paraId="26C5F545" w14:textId="3766A256" w:rsidR="006A54C1" w:rsidRDefault="006A54C1"/>
    <w:p w14:paraId="49E107D5" w14:textId="70B8374B" w:rsidR="002A4621" w:rsidRPr="002D2EEE" w:rsidRDefault="00660302" w:rsidP="002D2EEE">
      <w:pPr>
        <w:spacing w:line="480" w:lineRule="auto"/>
        <w:ind w:firstLine="720"/>
        <w:rPr>
          <w:sz w:val="21"/>
          <w:szCs w:val="21"/>
        </w:rPr>
      </w:pPr>
      <w:r>
        <w:rPr>
          <w:sz w:val="21"/>
          <w:szCs w:val="21"/>
        </w:rPr>
        <w:lastRenderedPageBreak/>
        <w:t xml:space="preserve">In the journey of personal growth in this Hermeneutics Course, I explored my personal health and structural environment crisis, where misconceptions and bias impacting in a challenging way. </w:t>
      </w:r>
      <w:r w:rsidR="00AF215C" w:rsidRPr="002D2EEE">
        <w:rPr>
          <w:sz w:val="21"/>
          <w:szCs w:val="21"/>
        </w:rPr>
        <w:t>In the</w:t>
      </w:r>
      <w:r w:rsidR="005C3513" w:rsidRPr="002D2EEE">
        <w:rPr>
          <w:sz w:val="21"/>
          <w:szCs w:val="21"/>
        </w:rPr>
        <w:t xml:space="preserve"> paper </w:t>
      </w:r>
      <w:r w:rsidR="00AF215C" w:rsidRPr="002D2EEE">
        <w:rPr>
          <w:sz w:val="21"/>
          <w:szCs w:val="21"/>
        </w:rPr>
        <w:t xml:space="preserve">Hermeneutics and the Study of Communication, authors Lawrence Grossberg and Clifford G. Christians write the definition of hermeneutics (the study of the interpretive </w:t>
      </w:r>
      <w:r w:rsidR="005C3513" w:rsidRPr="002D2EEE">
        <w:rPr>
          <w:sz w:val="21"/>
          <w:szCs w:val="21"/>
        </w:rPr>
        <w:t>process</w:t>
      </w:r>
      <w:r w:rsidR="00AF215C" w:rsidRPr="002D2EEE">
        <w:rPr>
          <w:sz w:val="21"/>
          <w:szCs w:val="21"/>
        </w:rPr>
        <w:t>)</w:t>
      </w:r>
      <w:r w:rsidR="005C3513" w:rsidRPr="002D2EEE">
        <w:rPr>
          <w:sz w:val="21"/>
          <w:szCs w:val="21"/>
        </w:rPr>
        <w:t>.</w:t>
      </w:r>
      <w:r w:rsidR="00B43FE9" w:rsidRPr="002D2EEE">
        <w:rPr>
          <w:sz w:val="21"/>
          <w:szCs w:val="21"/>
        </w:rPr>
        <w:t xml:space="preserve"> </w:t>
      </w:r>
      <w:r w:rsidR="00761924" w:rsidRPr="002D2EEE">
        <w:rPr>
          <w:sz w:val="21"/>
          <w:szCs w:val="21"/>
        </w:rPr>
        <w:t>They continue to share a historic hermeneutics from its Hellenic roots through the phase Hellenic roots  through</w:t>
      </w:r>
      <w:r w:rsidR="00E61935" w:rsidRPr="002D2EEE">
        <w:rPr>
          <w:sz w:val="21"/>
          <w:szCs w:val="21"/>
        </w:rPr>
        <w:t xml:space="preserve"> the phase of traditional hermeneutics to the major </w:t>
      </w:r>
      <w:r w:rsidR="00BE4D21" w:rsidRPr="002D2EEE">
        <w:rPr>
          <w:sz w:val="21"/>
          <w:szCs w:val="21"/>
        </w:rPr>
        <w:t>reformulation</w:t>
      </w:r>
      <w:r w:rsidR="00E61935" w:rsidRPr="002D2EEE">
        <w:rPr>
          <w:sz w:val="21"/>
          <w:szCs w:val="21"/>
        </w:rPr>
        <w:t xml:space="preserve"> of the field by Friedrich Schleiermacher and Wihelm Dilthey in the </w:t>
      </w:r>
      <w:r w:rsidR="00BE4D21" w:rsidRPr="002D2EEE">
        <w:rPr>
          <w:sz w:val="21"/>
          <w:szCs w:val="21"/>
        </w:rPr>
        <w:t>ninetieth</w:t>
      </w:r>
      <w:r w:rsidR="00E61935" w:rsidRPr="002D2EEE">
        <w:rPr>
          <w:sz w:val="21"/>
          <w:szCs w:val="21"/>
        </w:rPr>
        <w:t xml:space="preserve"> </w:t>
      </w:r>
      <w:r w:rsidR="00BE4D21" w:rsidRPr="002D2EEE">
        <w:rPr>
          <w:sz w:val="21"/>
          <w:szCs w:val="21"/>
        </w:rPr>
        <w:t>century</w:t>
      </w:r>
      <w:r w:rsidR="00E61935" w:rsidRPr="002D2EEE">
        <w:rPr>
          <w:sz w:val="21"/>
          <w:szCs w:val="21"/>
        </w:rPr>
        <w:t xml:space="preserve">, paper  describes a contemporary phenomenological hermeneutics.  It points out that the phenomenological hermeneutics meaning is </w:t>
      </w:r>
      <w:r w:rsidR="00BE4D21" w:rsidRPr="002D2EEE">
        <w:rPr>
          <w:sz w:val="21"/>
          <w:szCs w:val="21"/>
        </w:rPr>
        <w:t>fundamental</w:t>
      </w:r>
      <w:r w:rsidR="00E61935" w:rsidRPr="002D2EEE">
        <w:rPr>
          <w:sz w:val="21"/>
          <w:szCs w:val="21"/>
        </w:rPr>
        <w:t xml:space="preserve">., </w:t>
      </w:r>
      <w:r w:rsidR="00BE4D21" w:rsidRPr="002D2EEE">
        <w:rPr>
          <w:sz w:val="21"/>
          <w:szCs w:val="21"/>
        </w:rPr>
        <w:t>subjectivity</w:t>
      </w:r>
      <w:r w:rsidR="00E61935" w:rsidRPr="002D2EEE">
        <w:rPr>
          <w:sz w:val="21"/>
          <w:szCs w:val="21"/>
        </w:rPr>
        <w:t xml:space="preserve"> is redefined as being-interpreted, </w:t>
      </w:r>
      <w:r w:rsidR="00B405A7" w:rsidRPr="002D2EEE">
        <w:rPr>
          <w:sz w:val="21"/>
          <w:szCs w:val="21"/>
        </w:rPr>
        <w:t>objectively</w:t>
      </w:r>
      <w:r w:rsidR="00E61935" w:rsidRPr="002D2EEE">
        <w:rPr>
          <w:sz w:val="21"/>
          <w:szCs w:val="21"/>
        </w:rPr>
        <w:t xml:space="preserve"> is redefined  as historicity (the on</w:t>
      </w:r>
      <w:r w:rsidR="007510EE" w:rsidRPr="002D2EEE">
        <w:rPr>
          <w:sz w:val="21"/>
          <w:szCs w:val="21"/>
        </w:rPr>
        <w:t xml:space="preserve"> </w:t>
      </w:r>
      <w:r w:rsidR="00E61935" w:rsidRPr="002D2EEE">
        <w:rPr>
          <w:sz w:val="21"/>
          <w:szCs w:val="21"/>
        </w:rPr>
        <w:t xml:space="preserve">goingness of interpretation beyond the existential possibilities of individuals, language is an active </w:t>
      </w:r>
      <w:r w:rsidR="007510EE" w:rsidRPr="002D2EEE">
        <w:rPr>
          <w:sz w:val="21"/>
          <w:szCs w:val="21"/>
        </w:rPr>
        <w:t>presence</w:t>
      </w:r>
      <w:r w:rsidR="00E61935" w:rsidRPr="002D2EEE">
        <w:rPr>
          <w:sz w:val="21"/>
          <w:szCs w:val="21"/>
        </w:rPr>
        <w:t xml:space="preserve"> in the constitutive  structure of meaning or existence, understanding is an event of language, and communication is the ongoing process of interpretation within language.  This paper also discuss the Paul Ricoeur’s Theory of comprehension and he permits isolation. (</w:t>
      </w:r>
      <w:r w:rsidR="002C7E80" w:rsidRPr="002D2EEE">
        <w:rPr>
          <w:sz w:val="21"/>
          <w:szCs w:val="21"/>
        </w:rPr>
        <w:t>Grossberg, 1978</w:t>
      </w:r>
      <w:r w:rsidR="00E61935" w:rsidRPr="002D2EEE">
        <w:rPr>
          <w:sz w:val="21"/>
          <w:szCs w:val="21"/>
        </w:rPr>
        <w:t>)</w:t>
      </w:r>
    </w:p>
    <w:p w14:paraId="173EB23B" w14:textId="77777777" w:rsidR="002A4621" w:rsidRPr="00D345E5" w:rsidRDefault="002A4621" w:rsidP="002A4621">
      <w:pPr>
        <w:pStyle w:val="paragraph"/>
        <w:spacing w:before="0" w:beforeAutospacing="0" w:after="0" w:afterAutospacing="0" w:line="480" w:lineRule="auto"/>
        <w:ind w:firstLine="720"/>
        <w:contextualSpacing/>
        <w:textAlignment w:val="baseline"/>
        <w:rPr>
          <w:rFonts w:asciiTheme="minorHAnsi" w:hAnsiTheme="minorHAnsi" w:cstheme="minorHAnsi"/>
          <w:color w:val="000000" w:themeColor="text1"/>
          <w:sz w:val="21"/>
          <w:szCs w:val="21"/>
        </w:rPr>
      </w:pPr>
      <w:r w:rsidRPr="00D345E5">
        <w:rPr>
          <w:rStyle w:val="normaltextrun"/>
          <w:rFonts w:asciiTheme="minorHAnsi" w:hAnsiTheme="minorHAnsi" w:cstheme="minorHAnsi"/>
          <w:color w:val="000000" w:themeColor="text1"/>
          <w:sz w:val="21"/>
          <w:szCs w:val="21"/>
        </w:rPr>
        <w:t xml:space="preserve">Center for Disease Control and Prevention, reports 9 million adults are not taking prescriptions for disease care. (Cohen) At disease diagnosis, healthy blood and perceptions confronted my convictions. Cleansed blood </w:t>
      </w:r>
      <w:proofErr w:type="gramStart"/>
      <w:r w:rsidRPr="00D345E5">
        <w:rPr>
          <w:rStyle w:val="normaltextrun"/>
          <w:rFonts w:asciiTheme="minorHAnsi" w:hAnsiTheme="minorHAnsi" w:cstheme="minorHAnsi"/>
          <w:color w:val="000000" w:themeColor="text1"/>
          <w:sz w:val="21"/>
          <w:szCs w:val="21"/>
        </w:rPr>
        <w:t>was</w:t>
      </w:r>
      <w:proofErr w:type="gramEnd"/>
      <w:r w:rsidRPr="00D345E5">
        <w:rPr>
          <w:rStyle w:val="normaltextrun"/>
          <w:rFonts w:asciiTheme="minorHAnsi" w:hAnsiTheme="minorHAnsi" w:cstheme="minorHAnsi"/>
          <w:color w:val="000000" w:themeColor="text1"/>
          <w:sz w:val="21"/>
          <w:szCs w:val="21"/>
        </w:rPr>
        <w:t xml:space="preserve"> afforded me, and a second test in less than ten days from the initial test documented a wrong prior diagnosis for infectious disease. Acknowledging, the overpowering impact of judgments, perceptions, and management of persons classified with infectious disease, was amazingly incorrect. Especially, after I became that person. Mainstream mingling and or with faith congregation dwindled. </w:t>
      </w:r>
      <w:r w:rsidRPr="00D345E5">
        <w:rPr>
          <w:rStyle w:val="eop"/>
          <w:rFonts w:asciiTheme="minorHAnsi" w:hAnsiTheme="minorHAnsi" w:cstheme="minorHAnsi"/>
          <w:color w:val="000000" w:themeColor="text1"/>
          <w:sz w:val="21"/>
          <w:szCs w:val="21"/>
        </w:rPr>
        <w:t> </w:t>
      </w:r>
      <w:r w:rsidRPr="00D345E5">
        <w:rPr>
          <w:rStyle w:val="normaltextrun"/>
          <w:rFonts w:asciiTheme="minorHAnsi" w:hAnsiTheme="minorHAnsi" w:cstheme="minorHAnsi"/>
          <w:color w:val="000000" w:themeColor="text1"/>
          <w:sz w:val="21"/>
          <w:szCs w:val="21"/>
        </w:rPr>
        <w:t>Formerly clouded by societal biases and misconceptions, that disease was solely the result of personal negligence or poor lifestyle choices, was no more. As I knew the truth, none of the latter was the case for me. During this timeframe, before marriage, I remained a virgin, having kissed one man during courtship, which my husband confirmed on our wedding day and night, and in future years, our son born at home through vaginal birth without any signs of infectious disease.</w:t>
      </w:r>
      <w:r w:rsidRPr="00D345E5">
        <w:rPr>
          <w:rFonts w:asciiTheme="minorHAnsi" w:hAnsiTheme="minorHAnsi" w:cstheme="minorHAnsi"/>
          <w:color w:val="000000" w:themeColor="text1"/>
          <w:sz w:val="21"/>
          <w:szCs w:val="21"/>
        </w:rPr>
        <w:t xml:space="preserve"> </w:t>
      </w:r>
      <w:r w:rsidRPr="00D345E5">
        <w:rPr>
          <w:rStyle w:val="normaltextrun"/>
          <w:rFonts w:asciiTheme="minorHAnsi" w:hAnsiTheme="minorHAnsi" w:cstheme="minorHAnsi"/>
          <w:color w:val="000000" w:themeColor="text1"/>
          <w:sz w:val="21"/>
          <w:szCs w:val="21"/>
        </w:rPr>
        <w:t xml:space="preserve">Drawing upon insights from scholars like J. L. Stratton, St. Thomas Aquinas, and J. Jastrow, I recognized perception as “Causal Theory,” through </w:t>
      </w:r>
      <w:r w:rsidRPr="00D345E5">
        <w:rPr>
          <w:rStyle w:val="normaltextrun"/>
          <w:rFonts w:asciiTheme="minorHAnsi" w:hAnsiTheme="minorHAnsi" w:cstheme="minorHAnsi"/>
          <w:color w:val="000000" w:themeColor="text1"/>
          <w:sz w:val="21"/>
          <w:szCs w:val="21"/>
        </w:rPr>
        <w:lastRenderedPageBreak/>
        <w:t>sensory experience or impulses toward thinking. (Jastrow, p. 524 – 525) </w:t>
      </w:r>
      <w:r w:rsidRPr="00D345E5">
        <w:rPr>
          <w:rStyle w:val="eop"/>
          <w:rFonts w:asciiTheme="minorHAnsi" w:hAnsiTheme="minorHAnsi" w:cstheme="minorHAnsi"/>
          <w:color w:val="000000" w:themeColor="text1"/>
          <w:sz w:val="21"/>
          <w:szCs w:val="21"/>
        </w:rPr>
        <w:t> </w:t>
      </w:r>
      <w:r w:rsidRPr="00D345E5">
        <w:rPr>
          <w:rFonts w:asciiTheme="minorHAnsi" w:hAnsiTheme="minorHAnsi" w:cstheme="minorHAnsi"/>
          <w:color w:val="000000" w:themeColor="text1"/>
          <w:sz w:val="21"/>
          <w:szCs w:val="21"/>
        </w:rPr>
        <w:t>Despite the stigma surrounding infectious diseases</w:t>
      </w:r>
      <w:r w:rsidRPr="00D345E5">
        <w:rPr>
          <w:rStyle w:val="eop"/>
          <w:rFonts w:asciiTheme="minorHAnsi" w:hAnsiTheme="minorHAnsi" w:cstheme="minorHAnsi"/>
          <w:color w:val="000000" w:themeColor="text1"/>
          <w:sz w:val="21"/>
          <w:szCs w:val="21"/>
        </w:rPr>
        <w:t xml:space="preserve">, </w:t>
      </w:r>
      <w:r w:rsidRPr="00D345E5">
        <w:rPr>
          <w:rFonts w:asciiTheme="minorHAnsi" w:hAnsiTheme="minorHAnsi" w:cstheme="minorHAnsi"/>
          <w:color w:val="000000" w:themeColor="text1"/>
          <w:sz w:val="21"/>
          <w:szCs w:val="21"/>
        </w:rPr>
        <w:t xml:space="preserve">the personal experience reinforced the importance of a broader community understanding encompassing spiritual, mental, and physical dimensions. </w:t>
      </w:r>
    </w:p>
    <w:p w14:paraId="5B48458B" w14:textId="76ACBB0D" w:rsidR="002A4621" w:rsidRPr="00D345E5" w:rsidRDefault="00660302" w:rsidP="002A4621">
      <w:pPr>
        <w:pStyle w:val="paragraph"/>
        <w:spacing w:before="0" w:beforeAutospacing="0" w:after="0" w:afterAutospacing="0" w:line="480" w:lineRule="auto"/>
        <w:ind w:firstLine="720"/>
        <w:contextualSpacing/>
        <w:textAlignment w:val="baseline"/>
        <w:rPr>
          <w:rFonts w:asciiTheme="minorHAnsi" w:hAnsiTheme="minorHAnsi" w:cstheme="minorHAnsi"/>
          <w:color w:val="000000" w:themeColor="text1"/>
          <w:sz w:val="21"/>
          <w:szCs w:val="21"/>
        </w:rPr>
      </w:pPr>
      <w:r>
        <w:rPr>
          <w:rFonts w:asciiTheme="minorHAnsi" w:hAnsiTheme="minorHAnsi" w:cstheme="minorHAnsi"/>
          <w:color w:val="000000" w:themeColor="text1"/>
          <w:sz w:val="21"/>
          <w:szCs w:val="21"/>
        </w:rPr>
        <w:t xml:space="preserve">The reflection about health and or response faced in the workplace, I learned greater insights about icon Sojourner Truth and how to </w:t>
      </w:r>
      <w:r w:rsidR="00FB2EA0">
        <w:rPr>
          <w:rFonts w:asciiTheme="minorHAnsi" w:hAnsiTheme="minorHAnsi" w:cstheme="minorHAnsi"/>
          <w:color w:val="000000" w:themeColor="text1"/>
          <w:sz w:val="21"/>
          <w:szCs w:val="21"/>
        </w:rPr>
        <w:t>pursue</w:t>
      </w:r>
      <w:r>
        <w:rPr>
          <w:rFonts w:asciiTheme="minorHAnsi" w:hAnsiTheme="minorHAnsi" w:cstheme="minorHAnsi"/>
          <w:color w:val="000000" w:themeColor="text1"/>
          <w:sz w:val="21"/>
          <w:szCs w:val="21"/>
        </w:rPr>
        <w:t xml:space="preserve"> the best well-being and </w:t>
      </w:r>
      <w:r w:rsidR="00FB2EA0">
        <w:rPr>
          <w:rFonts w:asciiTheme="minorHAnsi" w:hAnsiTheme="minorHAnsi" w:cstheme="minorHAnsi"/>
          <w:color w:val="000000" w:themeColor="text1"/>
          <w:sz w:val="21"/>
          <w:szCs w:val="21"/>
        </w:rPr>
        <w:t>resilience</w:t>
      </w:r>
      <w:r>
        <w:rPr>
          <w:rFonts w:asciiTheme="minorHAnsi" w:hAnsiTheme="minorHAnsi" w:cstheme="minorHAnsi"/>
          <w:color w:val="000000" w:themeColor="text1"/>
          <w:sz w:val="21"/>
          <w:szCs w:val="21"/>
        </w:rPr>
        <w:t xml:space="preserve"> to press pass barriers and build or maintain strength and know appropriately address</w:t>
      </w:r>
      <w:r w:rsidR="00FB2EA0">
        <w:rPr>
          <w:rFonts w:asciiTheme="minorHAnsi" w:hAnsiTheme="minorHAnsi" w:cstheme="minorHAnsi"/>
          <w:color w:val="000000" w:themeColor="text1"/>
          <w:sz w:val="21"/>
          <w:szCs w:val="21"/>
        </w:rPr>
        <w:t xml:space="preserve"> and lead positive outcomes. </w:t>
      </w:r>
      <w:r w:rsidR="002A4621" w:rsidRPr="00D345E5">
        <w:rPr>
          <w:rFonts w:asciiTheme="minorHAnsi" w:hAnsiTheme="minorHAnsi" w:cstheme="minorHAnsi"/>
          <w:color w:val="000000" w:themeColor="text1"/>
          <w:sz w:val="21"/>
          <w:szCs w:val="21"/>
        </w:rPr>
        <w:t xml:space="preserve">Although at the time of my own adverse action case working in another Agency the pre-blood </w:t>
      </w:r>
      <w:proofErr w:type="gramStart"/>
      <w:r w:rsidR="002A4621" w:rsidRPr="00D345E5">
        <w:rPr>
          <w:rFonts w:asciiTheme="minorHAnsi" w:hAnsiTheme="minorHAnsi" w:cstheme="minorHAnsi"/>
          <w:color w:val="000000" w:themeColor="text1"/>
          <w:sz w:val="21"/>
          <w:szCs w:val="21"/>
        </w:rPr>
        <w:t>analysis</w:t>
      </w:r>
      <w:proofErr w:type="gramEnd"/>
      <w:r w:rsidR="002A4621" w:rsidRPr="00D345E5">
        <w:rPr>
          <w:rFonts w:asciiTheme="minorHAnsi" w:hAnsiTheme="minorHAnsi" w:cstheme="minorHAnsi"/>
          <w:color w:val="000000" w:themeColor="text1"/>
          <w:sz w:val="21"/>
          <w:szCs w:val="21"/>
        </w:rPr>
        <w:t xml:space="preserve"> I had accomplished for healthy baby review, became a choice of Human Resource lack of research gave support for the planned management action.  Seeking accuracy in the planned management action, through the remedy merit submission process, the addressing of the needless challenges were presented to Federal Opportunity evaluators, who guide the governance of structures for merit submission process and the Administrative Judge responded quicker than quick.  Involuntary separations of African American Black Women (EEOC, 2023 p.8) The performance testing timing, the adequate facilities for providing accommodations for pregnant women and to role of faith expression in the </w:t>
      </w:r>
      <w:r w:rsidR="00193733" w:rsidRPr="00D345E5">
        <w:rPr>
          <w:rFonts w:asciiTheme="minorHAnsi" w:hAnsiTheme="minorHAnsi" w:cstheme="minorHAnsi"/>
          <w:color w:val="000000" w:themeColor="text1"/>
          <w:sz w:val="21"/>
          <w:szCs w:val="21"/>
        </w:rPr>
        <w:t>workplace</w:t>
      </w:r>
      <w:r w:rsidR="002A4621" w:rsidRPr="00D345E5">
        <w:rPr>
          <w:rFonts w:asciiTheme="minorHAnsi" w:hAnsiTheme="minorHAnsi" w:cstheme="minorHAnsi"/>
          <w:color w:val="000000" w:themeColor="text1"/>
          <w:sz w:val="21"/>
          <w:szCs w:val="21"/>
        </w:rPr>
        <w:t xml:space="preserve"> due to spiritual beliefs while navigating the </w:t>
      </w:r>
      <w:proofErr w:type="gramStart"/>
      <w:r w:rsidR="002A4621" w:rsidRPr="00D345E5">
        <w:rPr>
          <w:rFonts w:asciiTheme="minorHAnsi" w:hAnsiTheme="minorHAnsi" w:cstheme="minorHAnsi"/>
          <w:color w:val="000000" w:themeColor="text1"/>
          <w:sz w:val="21"/>
          <w:szCs w:val="21"/>
        </w:rPr>
        <w:t>work place</w:t>
      </w:r>
      <w:proofErr w:type="gramEnd"/>
      <w:r w:rsidR="002A4621" w:rsidRPr="00D345E5">
        <w:rPr>
          <w:rFonts w:asciiTheme="minorHAnsi" w:hAnsiTheme="minorHAnsi" w:cstheme="minorHAnsi"/>
          <w:color w:val="000000" w:themeColor="text1"/>
          <w:sz w:val="21"/>
          <w:szCs w:val="21"/>
        </w:rPr>
        <w:t xml:space="preserve"> justice was pronounced and I was Issued to return to work with remittance of salary and time loss.  Voluntary separations of African American Women (EEOC, 2023 page 6) My ability to submit, clear, adequate with merit caused a motivation of impact for great success for myself and many others on this ‘flower-bed’ of workforce injustices for other Ruddy-Tint individuals, by </w:t>
      </w:r>
      <w:proofErr w:type="spellStart"/>
      <w:r w:rsidR="002A4621" w:rsidRPr="00D345E5">
        <w:rPr>
          <w:rFonts w:asciiTheme="minorHAnsi" w:hAnsiTheme="minorHAnsi" w:cstheme="minorHAnsi"/>
          <w:color w:val="000000" w:themeColor="text1"/>
          <w:sz w:val="21"/>
          <w:szCs w:val="21"/>
        </w:rPr>
        <w:t>Gods</w:t>
      </w:r>
      <w:proofErr w:type="spellEnd"/>
      <w:r w:rsidR="002A4621" w:rsidRPr="00D345E5">
        <w:rPr>
          <w:rFonts w:asciiTheme="minorHAnsi" w:hAnsiTheme="minorHAnsi" w:cstheme="minorHAnsi"/>
          <w:color w:val="000000" w:themeColor="text1"/>
          <w:sz w:val="21"/>
          <w:szCs w:val="21"/>
        </w:rPr>
        <w:t xml:space="preserve"> grace my challenge to the injustice FALSELY pronounced upon me placed an imprint on that Agency and lack of performance and skill lacking equity or inclusiveness work environment. </w:t>
      </w:r>
    </w:p>
    <w:p w14:paraId="7EA0C39A" w14:textId="29FC91C7" w:rsidR="002A4621" w:rsidRDefault="002A4621" w:rsidP="002A4621">
      <w:pPr>
        <w:pStyle w:val="paragraph"/>
        <w:spacing w:before="0" w:beforeAutospacing="0" w:after="0" w:afterAutospacing="0" w:line="480" w:lineRule="auto"/>
        <w:ind w:firstLine="720"/>
        <w:contextualSpacing/>
        <w:textAlignment w:val="baseline"/>
        <w:rPr>
          <w:rFonts w:asciiTheme="minorHAnsi" w:hAnsiTheme="minorHAnsi" w:cstheme="minorHAnsi"/>
          <w:color w:val="000000" w:themeColor="text1"/>
          <w:sz w:val="21"/>
          <w:szCs w:val="21"/>
        </w:rPr>
      </w:pPr>
      <w:r w:rsidRPr="00D345E5">
        <w:rPr>
          <w:rFonts w:asciiTheme="minorHAnsi" w:hAnsiTheme="minorHAnsi" w:cstheme="minorHAnsi"/>
          <w:color w:val="000000" w:themeColor="text1"/>
          <w:sz w:val="21"/>
          <w:szCs w:val="21"/>
        </w:rPr>
        <w:t xml:space="preserve">These Agency planned management Agency systems can be harmful in several ways.  I was positioned to face many barriers in gain of training to enable me to  effectively understand the new base-line systems, this limited my social mobility in the workforce at mid-level. Those who were messy and not humble  were inadvertently favored and although had privileges gained more in the already existent network.  </w:t>
      </w:r>
      <w:r>
        <w:rPr>
          <w:rFonts w:asciiTheme="minorHAnsi" w:hAnsiTheme="minorHAnsi" w:cstheme="minorHAnsi"/>
          <w:color w:val="000000" w:themeColor="text1"/>
          <w:sz w:val="21"/>
          <w:szCs w:val="21"/>
        </w:rPr>
        <w:t xml:space="preserve">The planned management action I experienced was facilitated by recent legislation signed by the former US </w:t>
      </w:r>
      <w:r>
        <w:rPr>
          <w:rFonts w:asciiTheme="minorHAnsi" w:hAnsiTheme="minorHAnsi" w:cstheme="minorHAnsi"/>
          <w:color w:val="000000" w:themeColor="text1"/>
          <w:sz w:val="21"/>
          <w:szCs w:val="21"/>
        </w:rPr>
        <w:lastRenderedPageBreak/>
        <w:t xml:space="preserve">President and the State of Arkansas Agency systems, which volunteered to pilot its themes. This perpetuated existing inequities and reinforced disparities, </w:t>
      </w:r>
      <w:r w:rsidR="002D2EEE">
        <w:rPr>
          <w:rFonts w:asciiTheme="minorHAnsi" w:hAnsiTheme="minorHAnsi" w:cstheme="minorHAnsi"/>
          <w:color w:val="000000" w:themeColor="text1"/>
          <w:sz w:val="21"/>
          <w:szCs w:val="21"/>
        </w:rPr>
        <w:t>depending</w:t>
      </w:r>
      <w:r>
        <w:rPr>
          <w:rFonts w:asciiTheme="minorHAnsi" w:hAnsiTheme="minorHAnsi" w:cstheme="minorHAnsi"/>
          <w:color w:val="000000" w:themeColor="text1"/>
          <w:sz w:val="21"/>
          <w:szCs w:val="21"/>
        </w:rPr>
        <w:t xml:space="preserve"> systemic barriers and </w:t>
      </w:r>
      <w:r w:rsidR="002D2EEE">
        <w:rPr>
          <w:rFonts w:asciiTheme="minorHAnsi" w:hAnsiTheme="minorHAnsi" w:cstheme="minorHAnsi"/>
          <w:color w:val="000000" w:themeColor="text1"/>
          <w:sz w:val="21"/>
          <w:szCs w:val="21"/>
        </w:rPr>
        <w:t>historical</w:t>
      </w:r>
      <w:r>
        <w:rPr>
          <w:rFonts w:asciiTheme="minorHAnsi" w:hAnsiTheme="minorHAnsi" w:cstheme="minorHAnsi"/>
          <w:color w:val="000000" w:themeColor="text1"/>
          <w:sz w:val="21"/>
          <w:szCs w:val="21"/>
        </w:rPr>
        <w:t xml:space="preserve"> </w:t>
      </w:r>
      <w:r w:rsidR="002D2EEE">
        <w:rPr>
          <w:rFonts w:asciiTheme="minorHAnsi" w:hAnsiTheme="minorHAnsi" w:cstheme="minorHAnsi"/>
          <w:color w:val="000000" w:themeColor="text1"/>
          <w:sz w:val="21"/>
          <w:szCs w:val="21"/>
        </w:rPr>
        <w:t>disadvantaged’s</w:t>
      </w:r>
      <w:r>
        <w:rPr>
          <w:rFonts w:asciiTheme="minorHAnsi" w:hAnsiTheme="minorHAnsi" w:cstheme="minorHAnsi"/>
          <w:color w:val="000000" w:themeColor="text1"/>
          <w:sz w:val="21"/>
          <w:szCs w:val="21"/>
        </w:rPr>
        <w:t xml:space="preserve"> faced by qualified, experienced certified, and academically sound ruddy-tint women in the workforce. The </w:t>
      </w:r>
      <w:r w:rsidR="002D2EEE">
        <w:rPr>
          <w:rFonts w:asciiTheme="minorHAnsi" w:hAnsiTheme="minorHAnsi" w:cstheme="minorHAnsi"/>
          <w:color w:val="000000" w:themeColor="text1"/>
          <w:sz w:val="21"/>
          <w:szCs w:val="21"/>
        </w:rPr>
        <w:t>stifling</w:t>
      </w:r>
      <w:r>
        <w:rPr>
          <w:rFonts w:asciiTheme="minorHAnsi" w:hAnsiTheme="minorHAnsi" w:cstheme="minorHAnsi"/>
          <w:color w:val="000000" w:themeColor="text1"/>
          <w:sz w:val="21"/>
          <w:szCs w:val="21"/>
        </w:rPr>
        <w:t xml:space="preserve"> of workforce innovation prioritizes conformity over creativity, overlooking valuable insights from individuals with unique perspectives, and maintaining rigid structures.</w:t>
      </w:r>
    </w:p>
    <w:p w14:paraId="787CF08A" w14:textId="77777777" w:rsidR="002A4621" w:rsidRDefault="002A4621" w:rsidP="002A4621">
      <w:pPr>
        <w:pStyle w:val="paragraph"/>
        <w:spacing w:before="0" w:beforeAutospacing="0" w:after="0" w:afterAutospacing="0" w:line="480" w:lineRule="auto"/>
        <w:ind w:firstLine="720"/>
        <w:contextualSpacing/>
        <w:textAlignment w:val="baseline"/>
        <w:rPr>
          <w:rFonts w:asciiTheme="minorHAnsi" w:hAnsiTheme="minorHAnsi" w:cstheme="minorHAnsi"/>
          <w:color w:val="000000" w:themeColor="text1"/>
          <w:sz w:val="21"/>
          <w:szCs w:val="21"/>
        </w:rPr>
      </w:pPr>
      <w:r>
        <w:rPr>
          <w:rFonts w:asciiTheme="minorHAnsi" w:hAnsiTheme="minorHAnsi" w:cstheme="minorHAnsi"/>
          <w:color w:val="000000" w:themeColor="text1"/>
          <w:sz w:val="21"/>
          <w:szCs w:val="21"/>
        </w:rPr>
        <w:t>While my employment improved the fiscal year performance of the Department and Squadron, as a Ruddy-Tint Woman in a Federal Leadership position, I soon encountered the pay gap and malicious planned management actions during my Agency career spanning over a decade. The inequity in access and persistent timeframes exacerbate population limits, leading to far-reaching social and economic consequences affecting individuals, families, and social interactions, particularly for women lacking faith. Addressing these challenges requires Federal Agencies to critically assess their governance structures and merit submission professes, actively identifying and dismantling systemic barriers while promoting correctness, facts, and ease.</w:t>
      </w:r>
    </w:p>
    <w:p w14:paraId="6C24D93D" w14:textId="4402156B" w:rsidR="002A4621" w:rsidRPr="00D345E5" w:rsidRDefault="00FB2EA0" w:rsidP="002A4621">
      <w:pPr>
        <w:pStyle w:val="paragraph"/>
        <w:spacing w:before="0" w:beforeAutospacing="0" w:after="0" w:afterAutospacing="0" w:line="480" w:lineRule="auto"/>
        <w:ind w:firstLine="720"/>
        <w:contextualSpacing/>
        <w:textAlignment w:val="baseline"/>
        <w:rPr>
          <w:rFonts w:asciiTheme="minorHAnsi" w:hAnsiTheme="minorHAnsi" w:cstheme="minorHAnsi"/>
          <w:color w:val="000000" w:themeColor="text1"/>
          <w:sz w:val="21"/>
          <w:szCs w:val="21"/>
        </w:rPr>
      </w:pPr>
      <w:r>
        <w:rPr>
          <w:rFonts w:asciiTheme="minorHAnsi" w:hAnsiTheme="minorHAnsi" w:cstheme="minorHAnsi"/>
          <w:color w:val="000000" w:themeColor="text1"/>
          <w:sz w:val="21"/>
          <w:szCs w:val="21"/>
        </w:rPr>
        <w:t xml:space="preserve">Questions on Delayed submission for adverse action claims are Why do women with claims of merit delay in submitting discrimination applications? What structural barriers exist within federal agencies that hinder the timely submission of these claims? </w:t>
      </w:r>
      <w:r w:rsidR="002A4621">
        <w:rPr>
          <w:rFonts w:asciiTheme="minorHAnsi" w:hAnsiTheme="minorHAnsi" w:cstheme="minorHAnsi"/>
          <w:color w:val="000000" w:themeColor="text1"/>
          <w:sz w:val="21"/>
          <w:szCs w:val="21"/>
        </w:rPr>
        <w:t xml:space="preserve">Unhealthy career environments exacerbate the challenges faced by qualified mid-managerial Ruddy-Tint women. Toxic workplace cultures, characterized by discrimination, microaggressions, and lack of support, contribute to heightened stress levels and decreased fulfillments impeding career advancement and overall well-being. It is imperative for organizations to adopt more inclusive hiring and promotion practices, provide targeted support and resources, and prioritize human resource articulation over planned management protectionism. </w:t>
      </w:r>
    </w:p>
    <w:p w14:paraId="5CAEE3C8" w14:textId="77777777" w:rsidR="002A4621" w:rsidRPr="00D345E5" w:rsidRDefault="002A4621" w:rsidP="002A4621">
      <w:pPr>
        <w:pStyle w:val="paragraph"/>
        <w:spacing w:before="0" w:beforeAutospacing="0" w:after="0" w:afterAutospacing="0" w:line="480" w:lineRule="auto"/>
        <w:ind w:firstLine="720"/>
        <w:contextualSpacing/>
        <w:textAlignment w:val="baseline"/>
        <w:rPr>
          <w:rFonts w:asciiTheme="minorHAnsi" w:hAnsiTheme="minorHAnsi" w:cstheme="minorHAnsi"/>
          <w:color w:val="000000" w:themeColor="text1"/>
          <w:sz w:val="21"/>
          <w:szCs w:val="21"/>
        </w:rPr>
      </w:pPr>
      <w:r w:rsidRPr="00D345E5">
        <w:rPr>
          <w:rFonts w:asciiTheme="minorHAnsi" w:hAnsiTheme="minorHAnsi" w:cstheme="minorHAnsi"/>
          <w:color w:val="000000" w:themeColor="text1"/>
          <w:sz w:val="21"/>
          <w:szCs w:val="21"/>
        </w:rPr>
        <w:t xml:space="preserve">Perceived healthful living standards as wage disparities, even when married, limited access to workforce opportunity, limitations or inadequate support systems </w:t>
      </w:r>
      <w:proofErr w:type="gramStart"/>
      <w:r w:rsidRPr="00D345E5">
        <w:rPr>
          <w:rFonts w:asciiTheme="minorHAnsi" w:hAnsiTheme="minorHAnsi" w:cstheme="minorHAnsi"/>
          <w:color w:val="000000" w:themeColor="text1"/>
          <w:sz w:val="21"/>
          <w:szCs w:val="21"/>
        </w:rPr>
        <w:t>hinder</w:t>
      </w:r>
      <w:proofErr w:type="gramEnd"/>
      <w:r w:rsidRPr="00D345E5">
        <w:rPr>
          <w:rFonts w:asciiTheme="minorHAnsi" w:hAnsiTheme="minorHAnsi" w:cstheme="minorHAnsi"/>
          <w:color w:val="000000" w:themeColor="text1"/>
          <w:sz w:val="21"/>
          <w:szCs w:val="21"/>
        </w:rPr>
        <w:t xml:space="preserve"> the Ruddy-tint individual or woman from the best foods, housing and leisure activities and perpetuates the cycle of inequality.</w:t>
      </w:r>
    </w:p>
    <w:p w14:paraId="3C655BC7" w14:textId="45C8CD5E" w:rsidR="002A4621" w:rsidRDefault="002A4621" w:rsidP="002A4621">
      <w:pPr>
        <w:pStyle w:val="paragraph"/>
        <w:spacing w:before="0" w:beforeAutospacing="0" w:after="0" w:afterAutospacing="0" w:line="480" w:lineRule="auto"/>
        <w:ind w:firstLine="720"/>
        <w:contextualSpacing/>
        <w:textAlignment w:val="baseline"/>
        <w:rPr>
          <w:rFonts w:asciiTheme="minorHAnsi" w:hAnsiTheme="minorHAnsi" w:cstheme="minorHAnsi"/>
          <w:color w:val="000000" w:themeColor="text1"/>
          <w:sz w:val="21"/>
          <w:szCs w:val="21"/>
        </w:rPr>
      </w:pPr>
      <w:r>
        <w:rPr>
          <w:rFonts w:asciiTheme="minorHAnsi" w:hAnsiTheme="minorHAnsi" w:cstheme="minorHAnsi"/>
          <w:color w:val="000000" w:themeColor="text1"/>
          <w:sz w:val="21"/>
          <w:szCs w:val="21"/>
        </w:rPr>
        <w:t xml:space="preserve">Timely completion of work </w:t>
      </w:r>
      <w:r w:rsidR="00B43FE9">
        <w:rPr>
          <w:rFonts w:asciiTheme="minorHAnsi" w:hAnsiTheme="minorHAnsi" w:cstheme="minorHAnsi"/>
          <w:color w:val="000000" w:themeColor="text1"/>
          <w:sz w:val="21"/>
          <w:szCs w:val="21"/>
        </w:rPr>
        <w:t>assignments</w:t>
      </w:r>
      <w:r>
        <w:rPr>
          <w:rFonts w:asciiTheme="minorHAnsi" w:hAnsiTheme="minorHAnsi" w:cstheme="minorHAnsi"/>
          <w:color w:val="000000" w:themeColor="text1"/>
          <w:sz w:val="21"/>
          <w:szCs w:val="21"/>
        </w:rPr>
        <w:t xml:space="preserve">, professional </w:t>
      </w:r>
      <w:r w:rsidR="00B43FE9">
        <w:rPr>
          <w:rFonts w:asciiTheme="minorHAnsi" w:hAnsiTheme="minorHAnsi" w:cstheme="minorHAnsi"/>
          <w:color w:val="000000" w:themeColor="text1"/>
          <w:sz w:val="21"/>
          <w:szCs w:val="21"/>
        </w:rPr>
        <w:t>conduct</w:t>
      </w:r>
      <w:r>
        <w:rPr>
          <w:rFonts w:asciiTheme="minorHAnsi" w:hAnsiTheme="minorHAnsi" w:cstheme="minorHAnsi"/>
          <w:color w:val="000000" w:themeColor="text1"/>
          <w:sz w:val="21"/>
          <w:szCs w:val="21"/>
        </w:rPr>
        <w:t xml:space="preserve">, and compliance with management expectations typically lead to </w:t>
      </w:r>
      <w:r w:rsidR="00B43FE9">
        <w:rPr>
          <w:rFonts w:asciiTheme="minorHAnsi" w:hAnsiTheme="minorHAnsi" w:cstheme="minorHAnsi"/>
          <w:color w:val="000000" w:themeColor="text1"/>
          <w:sz w:val="21"/>
          <w:szCs w:val="21"/>
        </w:rPr>
        <w:t>beneficial</w:t>
      </w:r>
      <w:r>
        <w:rPr>
          <w:rFonts w:asciiTheme="minorHAnsi" w:hAnsiTheme="minorHAnsi" w:cstheme="minorHAnsi"/>
          <w:color w:val="000000" w:themeColor="text1"/>
          <w:sz w:val="21"/>
          <w:szCs w:val="21"/>
        </w:rPr>
        <w:t xml:space="preserve"> outcomes like early retirement or transitioning to new career paths. </w:t>
      </w:r>
      <w:r>
        <w:rPr>
          <w:rFonts w:asciiTheme="minorHAnsi" w:hAnsiTheme="minorHAnsi" w:cstheme="minorHAnsi"/>
          <w:color w:val="000000" w:themeColor="text1"/>
          <w:sz w:val="21"/>
          <w:szCs w:val="21"/>
        </w:rPr>
        <w:lastRenderedPageBreak/>
        <w:t xml:space="preserve">However, as a mid-managerial Ruddy-Tint </w:t>
      </w:r>
      <w:r w:rsidR="00B43FE9">
        <w:rPr>
          <w:rFonts w:asciiTheme="minorHAnsi" w:hAnsiTheme="minorHAnsi" w:cstheme="minorHAnsi"/>
          <w:color w:val="000000" w:themeColor="text1"/>
          <w:sz w:val="21"/>
          <w:szCs w:val="21"/>
        </w:rPr>
        <w:t>woman</w:t>
      </w:r>
      <w:r>
        <w:rPr>
          <w:rFonts w:asciiTheme="minorHAnsi" w:hAnsiTheme="minorHAnsi" w:cstheme="minorHAnsi"/>
          <w:color w:val="000000" w:themeColor="text1"/>
          <w:sz w:val="21"/>
          <w:szCs w:val="21"/>
        </w:rPr>
        <w:t>, I encountered challenges where planned management actions lead to harmful termination, despite my contributions being frequently overlooked. Through the merit system of appeals, I pursued recognition for my career achievements, facing hurdles at the organizational level but ultimately finding success with the help of a supportive Administrative Judge.</w:t>
      </w:r>
      <w:r w:rsidR="00B43FE9">
        <w:rPr>
          <w:rFonts w:asciiTheme="minorHAnsi" w:hAnsiTheme="minorHAnsi" w:cstheme="minorHAnsi"/>
          <w:color w:val="000000" w:themeColor="text1"/>
          <w:sz w:val="21"/>
          <w:szCs w:val="21"/>
        </w:rPr>
        <w:t xml:space="preserve"> </w:t>
      </w:r>
      <w:r>
        <w:rPr>
          <w:rFonts w:asciiTheme="minorHAnsi" w:hAnsiTheme="minorHAnsi" w:cstheme="minorHAnsi"/>
          <w:color w:val="000000" w:themeColor="text1"/>
          <w:sz w:val="21"/>
          <w:szCs w:val="21"/>
        </w:rPr>
        <w:t>Faith-</w:t>
      </w:r>
      <w:r w:rsidR="00B43FE9">
        <w:rPr>
          <w:rFonts w:asciiTheme="minorHAnsi" w:hAnsiTheme="minorHAnsi" w:cstheme="minorHAnsi"/>
          <w:color w:val="000000" w:themeColor="text1"/>
          <w:sz w:val="21"/>
          <w:szCs w:val="21"/>
        </w:rPr>
        <w:t>intergraded</w:t>
      </w:r>
      <w:r>
        <w:rPr>
          <w:rFonts w:asciiTheme="minorHAnsi" w:hAnsiTheme="minorHAnsi" w:cstheme="minorHAnsi"/>
          <w:color w:val="000000" w:themeColor="text1"/>
          <w:sz w:val="21"/>
          <w:szCs w:val="21"/>
        </w:rPr>
        <w:t xml:space="preserve"> </w:t>
      </w:r>
      <w:r w:rsidR="00B43FE9">
        <w:rPr>
          <w:rFonts w:asciiTheme="minorHAnsi" w:hAnsiTheme="minorHAnsi" w:cstheme="minorHAnsi"/>
          <w:color w:val="000000" w:themeColor="text1"/>
          <w:sz w:val="21"/>
          <w:szCs w:val="21"/>
        </w:rPr>
        <w:t>Hermetics</w:t>
      </w:r>
      <w:r>
        <w:rPr>
          <w:rFonts w:asciiTheme="minorHAnsi" w:hAnsiTheme="minorHAnsi" w:cstheme="minorHAnsi"/>
          <w:color w:val="000000" w:themeColor="text1"/>
          <w:sz w:val="21"/>
          <w:szCs w:val="21"/>
        </w:rPr>
        <w:t xml:space="preserve"> played a crucial role in coping with </w:t>
      </w:r>
      <w:r w:rsidR="00B43FE9">
        <w:rPr>
          <w:rFonts w:asciiTheme="minorHAnsi" w:hAnsiTheme="minorHAnsi" w:cstheme="minorHAnsi"/>
          <w:color w:val="000000" w:themeColor="text1"/>
          <w:sz w:val="21"/>
          <w:szCs w:val="21"/>
        </w:rPr>
        <w:t>these</w:t>
      </w:r>
      <w:r>
        <w:rPr>
          <w:rFonts w:asciiTheme="minorHAnsi" w:hAnsiTheme="minorHAnsi" w:cstheme="minorHAnsi"/>
          <w:color w:val="000000" w:themeColor="text1"/>
          <w:sz w:val="21"/>
          <w:szCs w:val="21"/>
        </w:rPr>
        <w:t xml:space="preserve"> structural barriers. Like many other Ruddy-Tint mid-managerial women, I turned to my faith for solace and strength during adversity.  </w:t>
      </w:r>
      <w:r w:rsidR="00B43FE9">
        <w:rPr>
          <w:rFonts w:asciiTheme="minorHAnsi" w:hAnsiTheme="minorHAnsi" w:cstheme="minorHAnsi"/>
          <w:color w:val="000000" w:themeColor="text1"/>
          <w:sz w:val="21"/>
          <w:szCs w:val="21"/>
        </w:rPr>
        <w:t>D</w:t>
      </w:r>
      <w:r>
        <w:rPr>
          <w:rFonts w:asciiTheme="minorHAnsi" w:hAnsiTheme="minorHAnsi" w:cstheme="minorHAnsi"/>
          <w:color w:val="000000" w:themeColor="text1"/>
          <w:sz w:val="21"/>
          <w:szCs w:val="21"/>
        </w:rPr>
        <w:t xml:space="preserve">aily reflections and </w:t>
      </w:r>
      <w:r w:rsidR="00B43FE9">
        <w:rPr>
          <w:rFonts w:asciiTheme="minorHAnsi" w:hAnsiTheme="minorHAnsi" w:cstheme="minorHAnsi"/>
          <w:color w:val="000000" w:themeColor="text1"/>
          <w:sz w:val="21"/>
          <w:szCs w:val="21"/>
        </w:rPr>
        <w:t>resilience</w:t>
      </w:r>
      <w:r>
        <w:rPr>
          <w:rFonts w:asciiTheme="minorHAnsi" w:hAnsiTheme="minorHAnsi" w:cstheme="minorHAnsi"/>
          <w:color w:val="000000" w:themeColor="text1"/>
          <w:sz w:val="21"/>
          <w:szCs w:val="21"/>
        </w:rPr>
        <w:t xml:space="preserve"> gained through these experiences, I found purpose guiding my life and professional actions forward.</w:t>
      </w:r>
    </w:p>
    <w:p w14:paraId="177EBF41" w14:textId="300B5083" w:rsidR="002A4621" w:rsidRDefault="002A4621" w:rsidP="002A4621">
      <w:pPr>
        <w:pStyle w:val="paragraph"/>
        <w:spacing w:before="0" w:beforeAutospacing="0" w:after="0" w:afterAutospacing="0" w:line="480" w:lineRule="auto"/>
        <w:ind w:firstLine="720"/>
        <w:contextualSpacing/>
        <w:textAlignment w:val="baseline"/>
        <w:rPr>
          <w:rFonts w:asciiTheme="minorHAnsi" w:hAnsiTheme="minorHAnsi" w:cstheme="minorHAnsi"/>
          <w:color w:val="000000" w:themeColor="text1"/>
          <w:sz w:val="21"/>
          <w:szCs w:val="21"/>
        </w:rPr>
      </w:pPr>
      <w:r>
        <w:rPr>
          <w:rFonts w:asciiTheme="minorHAnsi" w:hAnsiTheme="minorHAnsi" w:cstheme="minorHAnsi"/>
          <w:color w:val="000000" w:themeColor="text1"/>
          <w:sz w:val="21"/>
          <w:szCs w:val="21"/>
        </w:rPr>
        <w:t xml:space="preserve">Recognizing the insights offered by faith-integrated </w:t>
      </w:r>
      <w:r w:rsidR="00B43FE9">
        <w:rPr>
          <w:rFonts w:asciiTheme="minorHAnsi" w:hAnsiTheme="minorHAnsi" w:cstheme="minorHAnsi"/>
          <w:color w:val="000000" w:themeColor="text1"/>
          <w:sz w:val="21"/>
          <w:szCs w:val="21"/>
        </w:rPr>
        <w:t>Hermeneutics</w:t>
      </w:r>
      <w:r>
        <w:rPr>
          <w:rFonts w:asciiTheme="minorHAnsi" w:hAnsiTheme="minorHAnsi" w:cstheme="minorHAnsi"/>
          <w:color w:val="000000" w:themeColor="text1"/>
          <w:sz w:val="21"/>
          <w:szCs w:val="21"/>
        </w:rPr>
        <w:t xml:space="preserve">, managerial teams must address the urgent need for inclusive and equitable environments. Ruddy-Tint women and men </w:t>
      </w:r>
      <w:r w:rsidR="00B43FE9">
        <w:rPr>
          <w:rFonts w:asciiTheme="minorHAnsi" w:hAnsiTheme="minorHAnsi" w:cstheme="minorHAnsi"/>
          <w:color w:val="000000" w:themeColor="text1"/>
          <w:sz w:val="21"/>
          <w:szCs w:val="21"/>
        </w:rPr>
        <w:t>facing</w:t>
      </w:r>
      <w:r>
        <w:rPr>
          <w:rFonts w:asciiTheme="minorHAnsi" w:hAnsiTheme="minorHAnsi" w:cstheme="minorHAnsi"/>
          <w:color w:val="000000" w:themeColor="text1"/>
          <w:sz w:val="21"/>
          <w:szCs w:val="21"/>
        </w:rPr>
        <w:t xml:space="preserve"> </w:t>
      </w:r>
      <w:r w:rsidR="00B43FE9">
        <w:rPr>
          <w:rFonts w:asciiTheme="minorHAnsi" w:hAnsiTheme="minorHAnsi" w:cstheme="minorHAnsi"/>
          <w:color w:val="000000" w:themeColor="text1"/>
          <w:sz w:val="21"/>
          <w:szCs w:val="21"/>
        </w:rPr>
        <w:t>marginalization</w:t>
      </w:r>
      <w:r>
        <w:rPr>
          <w:rFonts w:asciiTheme="minorHAnsi" w:hAnsiTheme="minorHAnsi" w:cstheme="minorHAnsi"/>
          <w:color w:val="000000" w:themeColor="text1"/>
          <w:sz w:val="21"/>
          <w:szCs w:val="21"/>
        </w:rPr>
        <w:t xml:space="preserve"> require timely remedy from adverse experiences in hostile work </w:t>
      </w:r>
      <w:r w:rsidR="00B43FE9">
        <w:rPr>
          <w:rFonts w:asciiTheme="minorHAnsi" w:hAnsiTheme="minorHAnsi" w:cstheme="minorHAnsi"/>
          <w:color w:val="000000" w:themeColor="text1"/>
          <w:sz w:val="21"/>
          <w:szCs w:val="21"/>
        </w:rPr>
        <w:t>environments</w:t>
      </w:r>
      <w:r>
        <w:rPr>
          <w:rFonts w:asciiTheme="minorHAnsi" w:hAnsiTheme="minorHAnsi" w:cstheme="minorHAnsi"/>
          <w:color w:val="000000" w:themeColor="text1"/>
          <w:sz w:val="21"/>
          <w:szCs w:val="21"/>
        </w:rPr>
        <w:t xml:space="preserve">. Drawing inspiration from figures like </w:t>
      </w:r>
      <w:r w:rsidR="00B43FE9">
        <w:rPr>
          <w:rFonts w:asciiTheme="minorHAnsi" w:hAnsiTheme="minorHAnsi" w:cstheme="minorHAnsi"/>
          <w:color w:val="000000" w:themeColor="text1"/>
          <w:sz w:val="21"/>
          <w:szCs w:val="21"/>
        </w:rPr>
        <w:t>Sojourner</w:t>
      </w:r>
      <w:r>
        <w:rPr>
          <w:rFonts w:asciiTheme="minorHAnsi" w:hAnsiTheme="minorHAnsi" w:cstheme="minorHAnsi"/>
          <w:color w:val="000000" w:themeColor="text1"/>
          <w:sz w:val="21"/>
          <w:szCs w:val="21"/>
        </w:rPr>
        <w:t xml:space="preserve"> Truth, who advocated for humanity and equity, we must acknowledge the importance of amplifying the voice of marginalized individuals in the workforce.</w:t>
      </w:r>
    </w:p>
    <w:p w14:paraId="747BF1E8" w14:textId="253514BF" w:rsidR="002A4621" w:rsidRPr="00D345E5" w:rsidRDefault="00B43FE9" w:rsidP="00B43FE9">
      <w:pPr>
        <w:pStyle w:val="paragraph"/>
        <w:spacing w:before="0" w:beforeAutospacing="0" w:after="0" w:afterAutospacing="0" w:line="480" w:lineRule="auto"/>
        <w:ind w:firstLine="720"/>
        <w:contextualSpacing/>
        <w:textAlignment w:val="baseline"/>
        <w:rPr>
          <w:rFonts w:asciiTheme="minorHAnsi" w:hAnsiTheme="minorHAnsi" w:cstheme="minorHAnsi"/>
          <w:color w:val="000000" w:themeColor="text1"/>
          <w:sz w:val="21"/>
          <w:szCs w:val="21"/>
        </w:rPr>
      </w:pPr>
      <w:r>
        <w:rPr>
          <w:rFonts w:asciiTheme="minorHAnsi" w:hAnsiTheme="minorHAnsi" w:cstheme="minorHAnsi"/>
          <w:color w:val="000000" w:themeColor="text1"/>
          <w:sz w:val="21"/>
          <w:szCs w:val="21"/>
        </w:rPr>
        <w:t>Truth,</w:t>
      </w:r>
      <w:r w:rsidR="002A4621" w:rsidRPr="00D345E5">
        <w:rPr>
          <w:rFonts w:asciiTheme="minorHAnsi" w:hAnsiTheme="minorHAnsi" w:cstheme="minorHAnsi"/>
          <w:color w:val="000000" w:themeColor="text1"/>
          <w:sz w:val="21"/>
          <w:szCs w:val="21"/>
        </w:rPr>
        <w:t xml:space="preserve"> </w:t>
      </w:r>
      <w:r w:rsidR="0008432F">
        <w:rPr>
          <w:rFonts w:asciiTheme="minorHAnsi" w:hAnsiTheme="minorHAnsi" w:cstheme="minorHAnsi"/>
          <w:color w:val="000000" w:themeColor="text1"/>
          <w:sz w:val="21"/>
          <w:szCs w:val="21"/>
        </w:rPr>
        <w:t xml:space="preserve">modeled </w:t>
      </w:r>
      <w:r>
        <w:rPr>
          <w:rFonts w:asciiTheme="minorHAnsi" w:hAnsiTheme="minorHAnsi" w:cstheme="minorHAnsi"/>
          <w:color w:val="000000" w:themeColor="text1"/>
          <w:sz w:val="21"/>
          <w:szCs w:val="21"/>
        </w:rPr>
        <w:t xml:space="preserve">for </w:t>
      </w:r>
      <w:r w:rsidR="002A4621" w:rsidRPr="00D345E5">
        <w:rPr>
          <w:rFonts w:asciiTheme="minorHAnsi" w:hAnsiTheme="minorHAnsi" w:cstheme="minorHAnsi"/>
          <w:color w:val="000000" w:themeColor="text1"/>
          <w:sz w:val="21"/>
          <w:szCs w:val="21"/>
        </w:rPr>
        <w:t xml:space="preserve">ruddy-tint women’s, men’s and human suffrage rights movement and </w:t>
      </w:r>
      <w:proofErr w:type="gramStart"/>
      <w:r w:rsidR="002A4621" w:rsidRPr="00D345E5">
        <w:rPr>
          <w:rFonts w:asciiTheme="minorHAnsi" w:hAnsiTheme="minorHAnsi" w:cstheme="minorHAnsi"/>
          <w:color w:val="000000" w:themeColor="text1"/>
          <w:sz w:val="21"/>
          <w:szCs w:val="21"/>
        </w:rPr>
        <w:t>The</w:t>
      </w:r>
      <w:proofErr w:type="gramEnd"/>
      <w:r w:rsidR="002A4621" w:rsidRPr="00D345E5">
        <w:rPr>
          <w:rFonts w:asciiTheme="minorHAnsi" w:hAnsiTheme="minorHAnsi" w:cstheme="minorHAnsi"/>
          <w:color w:val="000000" w:themeColor="text1"/>
          <w:sz w:val="21"/>
          <w:szCs w:val="21"/>
        </w:rPr>
        <w:t xml:space="preserve"> civil war reconstruction</w:t>
      </w:r>
      <w:r w:rsidR="0008432F">
        <w:rPr>
          <w:rFonts w:asciiTheme="minorHAnsi" w:hAnsiTheme="minorHAnsi" w:cstheme="minorHAnsi"/>
          <w:color w:val="000000" w:themeColor="text1"/>
          <w:sz w:val="21"/>
          <w:szCs w:val="21"/>
        </w:rPr>
        <w:t xml:space="preserve"> focus that changed </w:t>
      </w:r>
      <w:r w:rsidR="00193733">
        <w:rPr>
          <w:rFonts w:asciiTheme="minorHAnsi" w:hAnsiTheme="minorHAnsi" w:cstheme="minorHAnsi"/>
          <w:color w:val="000000" w:themeColor="text1"/>
          <w:sz w:val="21"/>
          <w:szCs w:val="21"/>
        </w:rPr>
        <w:t>structures</w:t>
      </w:r>
      <w:r w:rsidR="002A4621" w:rsidRPr="00D345E5">
        <w:rPr>
          <w:rFonts w:asciiTheme="minorHAnsi" w:hAnsiTheme="minorHAnsi" w:cstheme="minorHAnsi"/>
          <w:color w:val="000000" w:themeColor="text1"/>
          <w:sz w:val="21"/>
          <w:szCs w:val="21"/>
        </w:rPr>
        <w:t>. Many of the things she pursued are still a work in profess, some over 150 years later.  During research, I see and I am convicted that this win in U.S. Federal Court was a pivotal triumph for her life and laid the foundation for her subsequent continued activism, vocal advocacy for social reform as noted in the annuals of history. She boldly spoke out on topics untouched as prison reform, poverty rights and universal suffrage, secure land grants and private property ownership toward sufficiency and speaking to congress.</w:t>
      </w:r>
    </w:p>
    <w:p w14:paraId="51FC548E" w14:textId="1661EC35" w:rsidR="002A4621" w:rsidRPr="00D345E5" w:rsidRDefault="002A4621" w:rsidP="002A4621">
      <w:pPr>
        <w:pStyle w:val="paragraph"/>
        <w:spacing w:before="0" w:beforeAutospacing="0" w:after="0" w:afterAutospacing="0" w:line="480" w:lineRule="auto"/>
        <w:ind w:firstLine="720"/>
        <w:contextualSpacing/>
        <w:textAlignment w:val="baseline"/>
        <w:rPr>
          <w:rFonts w:asciiTheme="minorHAnsi" w:hAnsiTheme="minorHAnsi" w:cstheme="minorHAnsi"/>
          <w:color w:val="000000" w:themeColor="text1"/>
          <w:sz w:val="21"/>
          <w:szCs w:val="21"/>
        </w:rPr>
      </w:pPr>
      <w:r w:rsidRPr="00D345E5">
        <w:rPr>
          <w:rFonts w:asciiTheme="minorHAnsi" w:hAnsiTheme="minorHAnsi" w:cstheme="minorHAnsi"/>
          <w:color w:val="000000" w:themeColor="text1"/>
          <w:sz w:val="21"/>
          <w:szCs w:val="21"/>
        </w:rPr>
        <w:t xml:space="preserve">Since God created all people equal, Truth believed, it is a sin to treat any group of people as less than human. She practiced Christianity “Progressive” Millerite itinerant speaker of the Gospel message as a religion that changes individuals and society, through judgment and mercy. She held salvation and social reform together, believing that God’s work of redemption takes place in </w:t>
      </w:r>
      <w:r w:rsidRPr="00D345E5">
        <w:rPr>
          <w:rFonts w:asciiTheme="minorHAnsi" w:hAnsiTheme="minorHAnsi" w:cstheme="minorHAnsi"/>
          <w:i/>
          <w:iCs/>
          <w:color w:val="000000" w:themeColor="text1"/>
          <w:sz w:val="21"/>
          <w:szCs w:val="21"/>
        </w:rPr>
        <w:t xml:space="preserve">this  </w:t>
      </w:r>
      <w:r w:rsidRPr="00D345E5">
        <w:rPr>
          <w:rFonts w:asciiTheme="minorHAnsi" w:hAnsiTheme="minorHAnsi" w:cstheme="minorHAnsi"/>
          <w:color w:val="000000" w:themeColor="text1"/>
          <w:sz w:val="21"/>
          <w:szCs w:val="21"/>
        </w:rPr>
        <w:t xml:space="preserve">world. Her identity as a child of God gave her courage to claim her rights and fight for others’ rights too. The many hardships she faced did </w:t>
      </w:r>
      <w:r w:rsidRPr="00D345E5">
        <w:rPr>
          <w:rFonts w:asciiTheme="minorHAnsi" w:hAnsiTheme="minorHAnsi" w:cstheme="minorHAnsi"/>
          <w:color w:val="000000" w:themeColor="text1"/>
          <w:sz w:val="21"/>
          <w:szCs w:val="21"/>
        </w:rPr>
        <w:lastRenderedPageBreak/>
        <w:t xml:space="preserve">not </w:t>
      </w:r>
      <w:proofErr w:type="spellStart"/>
      <w:r w:rsidRPr="00D345E5">
        <w:rPr>
          <w:rFonts w:asciiTheme="minorHAnsi" w:hAnsiTheme="minorHAnsi" w:cstheme="minorHAnsi"/>
          <w:color w:val="000000" w:themeColor="text1"/>
          <w:sz w:val="21"/>
          <w:szCs w:val="21"/>
        </w:rPr>
        <w:t>queel</w:t>
      </w:r>
      <w:proofErr w:type="spellEnd"/>
      <w:r w:rsidRPr="00D345E5">
        <w:rPr>
          <w:rFonts w:asciiTheme="minorHAnsi" w:hAnsiTheme="minorHAnsi" w:cstheme="minorHAnsi"/>
          <w:color w:val="000000" w:themeColor="text1"/>
          <w:sz w:val="21"/>
          <w:szCs w:val="21"/>
        </w:rPr>
        <w:t xml:space="preserve"> her joy. “Bless God,” she said. “I have had a ride.” ( </w:t>
      </w:r>
      <w:proofErr w:type="spellStart"/>
      <w:r w:rsidRPr="00D345E5">
        <w:rPr>
          <w:rFonts w:asciiTheme="minorHAnsi" w:hAnsiTheme="minorHAnsi" w:cstheme="minorHAnsi"/>
          <w:color w:val="000000" w:themeColor="text1"/>
          <w:sz w:val="21"/>
          <w:szCs w:val="21"/>
        </w:rPr>
        <w:t>Koister</w:t>
      </w:r>
      <w:proofErr w:type="spellEnd"/>
      <w:r w:rsidRPr="00D345E5">
        <w:rPr>
          <w:rFonts w:asciiTheme="minorHAnsi" w:hAnsiTheme="minorHAnsi" w:cstheme="minorHAnsi"/>
          <w:color w:val="000000" w:themeColor="text1"/>
          <w:sz w:val="21"/>
          <w:szCs w:val="21"/>
        </w:rPr>
        <w:t xml:space="preserve">, 2023 ) </w:t>
      </w:r>
      <w:r w:rsidRPr="00D345E5">
        <w:rPr>
          <w:rFonts w:asciiTheme="minorHAnsi" w:hAnsiTheme="minorHAnsi" w:cstheme="minorHAnsi"/>
          <w:b/>
          <w:bCs/>
          <w:color w:val="000000" w:themeColor="text1"/>
          <w:sz w:val="21"/>
          <w:szCs w:val="21"/>
        </w:rPr>
        <w:t xml:space="preserve">Truth, was alarmed by the spread of slums, poverty, and the exploitation of labor. </w:t>
      </w:r>
      <w:r w:rsidRPr="00D345E5">
        <w:rPr>
          <w:rFonts w:asciiTheme="minorHAnsi" w:hAnsiTheme="minorHAnsi" w:cstheme="minorHAnsi"/>
          <w:color w:val="000000" w:themeColor="text1"/>
          <w:sz w:val="21"/>
          <w:szCs w:val="21"/>
        </w:rPr>
        <w:t>( Ham, 1998 ) Truth advocated for men and women</w:t>
      </w:r>
      <w:r w:rsidR="000371B6">
        <w:rPr>
          <w:rFonts w:asciiTheme="minorHAnsi" w:hAnsiTheme="minorHAnsi" w:cstheme="minorHAnsi"/>
          <w:color w:val="000000" w:themeColor="text1"/>
          <w:sz w:val="21"/>
          <w:szCs w:val="21"/>
        </w:rPr>
        <w:t>, the family</w:t>
      </w:r>
      <w:r w:rsidRPr="00D345E5">
        <w:rPr>
          <w:rFonts w:asciiTheme="minorHAnsi" w:hAnsiTheme="minorHAnsi" w:cstheme="minorHAnsi"/>
          <w:color w:val="000000" w:themeColor="text1"/>
          <w:sz w:val="21"/>
          <w:szCs w:val="21"/>
        </w:rPr>
        <w:t>. This inclusion of men provides the Ruddy-Tint woman with an opportunity to address her own gender oppression without directly attaching men as often is unlike the case with the Feminist movement. At Vertical Absolute we focus on Fathers and Families. The Godhead is the giver of life thus the seed. The seed must take root in fertile soil. Fertile soil is soil imbued with Christ.</w:t>
      </w:r>
      <w:r w:rsidR="000371B6">
        <w:rPr>
          <w:rFonts w:asciiTheme="minorHAnsi" w:hAnsiTheme="minorHAnsi" w:cstheme="minorHAnsi"/>
          <w:color w:val="000000" w:themeColor="text1"/>
          <w:sz w:val="21"/>
          <w:szCs w:val="21"/>
        </w:rPr>
        <w:t xml:space="preserve"> </w:t>
      </w:r>
      <w:proofErr w:type="gramStart"/>
      <w:r w:rsidR="000371B6">
        <w:rPr>
          <w:rFonts w:asciiTheme="minorHAnsi" w:hAnsiTheme="minorHAnsi" w:cstheme="minorHAnsi"/>
          <w:color w:val="000000" w:themeColor="text1"/>
          <w:sz w:val="21"/>
          <w:szCs w:val="21"/>
        </w:rPr>
        <w:t>So</w:t>
      </w:r>
      <w:proofErr w:type="gramEnd"/>
      <w:r w:rsidR="000371B6">
        <w:rPr>
          <w:rFonts w:asciiTheme="minorHAnsi" w:hAnsiTheme="minorHAnsi" w:cstheme="minorHAnsi"/>
          <w:color w:val="000000" w:themeColor="text1"/>
          <w:sz w:val="21"/>
          <w:szCs w:val="21"/>
        </w:rPr>
        <w:t xml:space="preserve"> He uses me as a vessel for more and better.</w:t>
      </w:r>
    </w:p>
    <w:p w14:paraId="5844AE6A" w14:textId="77777777" w:rsidR="002A4621" w:rsidRPr="00D345E5" w:rsidRDefault="002A4621" w:rsidP="002A4621">
      <w:pPr>
        <w:pStyle w:val="paragraph"/>
        <w:spacing w:before="0" w:beforeAutospacing="0" w:after="0" w:afterAutospacing="0" w:line="480" w:lineRule="auto"/>
        <w:ind w:firstLine="720"/>
        <w:contextualSpacing/>
        <w:textAlignment w:val="baseline"/>
        <w:rPr>
          <w:rStyle w:val="eop"/>
          <w:rFonts w:asciiTheme="minorHAnsi" w:hAnsiTheme="minorHAnsi" w:cstheme="minorHAnsi"/>
          <w:color w:val="000000" w:themeColor="text1"/>
          <w:sz w:val="21"/>
          <w:szCs w:val="21"/>
        </w:rPr>
      </w:pPr>
      <w:r w:rsidRPr="00D345E5">
        <w:rPr>
          <w:rFonts w:asciiTheme="minorHAnsi" w:hAnsiTheme="minorHAnsi" w:cstheme="minorHAnsi"/>
          <w:color w:val="000000" w:themeColor="text1"/>
          <w:sz w:val="21"/>
          <w:szCs w:val="21"/>
        </w:rPr>
        <w:t xml:space="preserve">Religion shapes response to workplace discrimination. Leave and accommodations while pregnant we will examine how aspects of gender, race and religion provide overlapping interpretations or models oppression and disease. This essay draws from the critical tools of the faith integrated hermeneutic of cultural blindness. However, may the reader appreciate that religious dignity for every individual can provide a foundation for promoting a workplace culture that condemns sexual discrimination and hostile workforce abuse. Religion is not to delay a person of faith to report or tolerate abuse.  Ethnic discrimination in the workplace has a profound effect on individuals well-being. Especially, this discrimination can emphasize and heighten the awareness of the pervasive nature of unlearned managers upon those who challenge discriminatory practices. Sojourner Truth used critical consciousness, to challenge individuals discriminatory practices and her ‘voice’ commanded not demanded the valued and respected attention for changed. Even to the likes of the late President Abraham Lincoln. </w:t>
      </w:r>
      <w:r w:rsidRPr="00D345E5">
        <w:rPr>
          <w:rStyle w:val="eop"/>
          <w:rFonts w:asciiTheme="minorHAnsi" w:hAnsiTheme="minorHAnsi" w:cstheme="minorHAnsi"/>
          <w:color w:val="000000" w:themeColor="text1"/>
          <w:sz w:val="21"/>
          <w:szCs w:val="21"/>
        </w:rPr>
        <w:t xml:space="preserve">. </w:t>
      </w:r>
    </w:p>
    <w:p w14:paraId="5DE408C0" w14:textId="7EAB6BCF" w:rsidR="002A4621" w:rsidRPr="00D345E5" w:rsidRDefault="002A4621" w:rsidP="002A4621">
      <w:pPr>
        <w:spacing w:line="480" w:lineRule="auto"/>
        <w:ind w:firstLine="720"/>
        <w:rPr>
          <w:rFonts w:cstheme="minorHAnsi"/>
          <w:color w:val="000000" w:themeColor="text1"/>
          <w:sz w:val="21"/>
          <w:szCs w:val="21"/>
        </w:rPr>
      </w:pPr>
      <w:r w:rsidRPr="00D345E5">
        <w:rPr>
          <w:rFonts w:cstheme="minorHAnsi"/>
          <w:color w:val="000000" w:themeColor="text1"/>
          <w:sz w:val="21"/>
          <w:szCs w:val="21"/>
        </w:rPr>
        <w:t xml:space="preserve">This essay concludes </w:t>
      </w:r>
      <w:r w:rsidR="000371B6">
        <w:rPr>
          <w:rFonts w:cstheme="minorHAnsi"/>
          <w:color w:val="000000" w:themeColor="text1"/>
          <w:sz w:val="21"/>
          <w:szCs w:val="21"/>
        </w:rPr>
        <w:t xml:space="preserve">in Assignment 4, due to my really learning and enjoying the content researched, </w:t>
      </w:r>
      <w:r w:rsidRPr="00D345E5">
        <w:rPr>
          <w:rFonts w:cstheme="minorHAnsi"/>
          <w:color w:val="000000" w:themeColor="text1"/>
          <w:sz w:val="21"/>
          <w:szCs w:val="21"/>
        </w:rPr>
        <w:t xml:space="preserve">that our voice is rooted in the barrier brakers of stigma, stress and workforce discrimination, disease response to the under resourced or privileges in built environment for the building of cultural capacity does not replace healthful-living , submitting a claim of merit remains the impact not only on the specific individual life for mental health but to ignite balance and defuse the workforce bias, which drives the financial burden and stress on the traditional family unit when the remedy is not pursued racism and economic along with health disparities marginalize the future for balanced lived experiences for individuals, families, and </w:t>
      </w:r>
      <w:r w:rsidRPr="00D345E5">
        <w:rPr>
          <w:rFonts w:cstheme="minorHAnsi"/>
          <w:color w:val="000000" w:themeColor="text1"/>
          <w:sz w:val="21"/>
          <w:szCs w:val="21"/>
        </w:rPr>
        <w:lastRenderedPageBreak/>
        <w:t>communities and residential neighborhoods, especially those of multi-ethnic and generational layers of ruddy-tint often proportionately under resourced city, county, remote and rural areas, throughout the United States.</w:t>
      </w:r>
    </w:p>
    <w:p w14:paraId="10308B57" w14:textId="77777777" w:rsidR="002A4621" w:rsidRPr="00D345E5" w:rsidRDefault="002A4621" w:rsidP="002A4621">
      <w:pPr>
        <w:spacing w:line="480" w:lineRule="auto"/>
        <w:ind w:firstLine="720"/>
        <w:rPr>
          <w:rFonts w:cstheme="minorHAnsi"/>
          <w:color w:val="000000" w:themeColor="text1"/>
          <w:sz w:val="21"/>
          <w:szCs w:val="21"/>
        </w:rPr>
      </w:pPr>
      <w:r w:rsidRPr="00D345E5">
        <w:rPr>
          <w:rFonts w:cstheme="minorHAnsi"/>
          <w:color w:val="000000" w:themeColor="text1"/>
          <w:sz w:val="21"/>
          <w:szCs w:val="21"/>
        </w:rPr>
        <w:t>Sojourner Truth’s legacy of activism and advocacy continues to inspire Ruddy-Tint women and women of the World in federal sector workforce. Despite historical and continued systemic discrimination, Ruddy-Tint women have made respectable and generous applied brilliance affording sizable strides in every aspect of human life.  Ruddy-Tint women presence in federal leadership positions underscores their resilience and determination to break barriers and advocate for equity and balance.  The health of the built-environment and those faced by women facing disparities is at higher rates of chronic illnesses and limited access with time delay for remedy, and resources this promotes health equity</w:t>
      </w:r>
      <w:r>
        <w:rPr>
          <w:rFonts w:cstheme="minorHAnsi"/>
          <w:color w:val="000000" w:themeColor="text1"/>
          <w:sz w:val="21"/>
          <w:szCs w:val="21"/>
        </w:rPr>
        <w:t xml:space="preserve"> with flourishing</w:t>
      </w:r>
      <w:r w:rsidRPr="00D345E5">
        <w:rPr>
          <w:rFonts w:cstheme="minorHAnsi"/>
          <w:color w:val="000000" w:themeColor="text1"/>
          <w:sz w:val="21"/>
          <w:szCs w:val="21"/>
        </w:rPr>
        <w:t xml:space="preserve"> in the workplace. </w:t>
      </w:r>
    </w:p>
    <w:p w14:paraId="315E3710" w14:textId="241A9811" w:rsidR="002A4621" w:rsidRDefault="002A4621" w:rsidP="002A4621">
      <w:pPr>
        <w:spacing w:line="480" w:lineRule="auto"/>
        <w:ind w:firstLine="720"/>
        <w:rPr>
          <w:rFonts w:cstheme="minorHAnsi"/>
          <w:sz w:val="21"/>
          <w:szCs w:val="21"/>
        </w:rPr>
      </w:pPr>
      <w:r w:rsidRPr="00D345E5">
        <w:rPr>
          <w:rFonts w:cstheme="minorHAnsi"/>
          <w:color w:val="000000" w:themeColor="text1"/>
          <w:sz w:val="21"/>
          <w:szCs w:val="21"/>
        </w:rPr>
        <w:t xml:space="preserve">Human flourishing </w:t>
      </w:r>
      <w:r w:rsidR="000371B6">
        <w:rPr>
          <w:rFonts w:cstheme="minorHAnsi"/>
          <w:color w:val="000000" w:themeColor="text1"/>
          <w:sz w:val="21"/>
          <w:szCs w:val="21"/>
        </w:rPr>
        <w:t xml:space="preserve">includes Faith-intergraded hermeneutics </w:t>
      </w:r>
      <w:r w:rsidRPr="00D345E5">
        <w:rPr>
          <w:rFonts w:cstheme="minorHAnsi"/>
          <w:color w:val="000000" w:themeColor="text1"/>
          <w:sz w:val="21"/>
          <w:szCs w:val="21"/>
        </w:rPr>
        <w:t xml:space="preserve">that is stifled due to </w:t>
      </w:r>
      <w:r>
        <w:rPr>
          <w:rFonts w:cstheme="minorHAnsi"/>
          <w:color w:val="000000" w:themeColor="text1"/>
          <w:sz w:val="21"/>
          <w:szCs w:val="21"/>
        </w:rPr>
        <w:t xml:space="preserve">unaddressed </w:t>
      </w:r>
      <w:r w:rsidRPr="00D345E5">
        <w:rPr>
          <w:rFonts w:cstheme="minorHAnsi"/>
          <w:color w:val="000000" w:themeColor="text1"/>
          <w:sz w:val="21"/>
          <w:szCs w:val="21"/>
        </w:rPr>
        <w:t xml:space="preserve">discrimination in the workplace is a serious issue a cultural transformation is required within all </w:t>
      </w:r>
      <w:r>
        <w:rPr>
          <w:rFonts w:cstheme="minorHAnsi"/>
          <w:color w:val="000000" w:themeColor="text1"/>
          <w:sz w:val="21"/>
          <w:szCs w:val="21"/>
        </w:rPr>
        <w:t>DoD A</w:t>
      </w:r>
      <w:r w:rsidRPr="00D345E5">
        <w:rPr>
          <w:rFonts w:cstheme="minorHAnsi"/>
          <w:color w:val="000000" w:themeColor="text1"/>
          <w:sz w:val="21"/>
          <w:szCs w:val="21"/>
        </w:rPr>
        <w:t xml:space="preserve">gencies for a strategic process to confront the systemic and prevalent framework </w:t>
      </w:r>
      <w:r>
        <w:rPr>
          <w:rFonts w:cstheme="minorHAnsi"/>
          <w:color w:val="000000" w:themeColor="text1"/>
          <w:sz w:val="21"/>
          <w:szCs w:val="21"/>
        </w:rPr>
        <w:t>to get dismantled.</w:t>
      </w:r>
      <w:r w:rsidRPr="00D345E5">
        <w:rPr>
          <w:rFonts w:cstheme="minorHAnsi"/>
          <w:color w:val="000000" w:themeColor="text1"/>
          <w:sz w:val="21"/>
          <w:szCs w:val="21"/>
        </w:rPr>
        <w:t xml:space="preserve"> </w:t>
      </w:r>
      <w:r w:rsidR="009107FA">
        <w:rPr>
          <w:rFonts w:cstheme="minorHAnsi"/>
          <w:color w:val="000000" w:themeColor="text1"/>
          <w:sz w:val="21"/>
          <w:szCs w:val="21"/>
        </w:rPr>
        <w:t xml:space="preserve"> By addressing systemic barriers and promoting inclusivity, organizations can create environments that foster human flouring and promote health equity. </w:t>
      </w:r>
      <w:r>
        <w:rPr>
          <w:rFonts w:cstheme="minorHAnsi"/>
          <w:color w:val="000000" w:themeColor="text1"/>
          <w:sz w:val="21"/>
          <w:szCs w:val="21"/>
        </w:rPr>
        <w:t>T</w:t>
      </w:r>
      <w:r w:rsidRPr="00D345E5">
        <w:rPr>
          <w:rFonts w:cstheme="minorHAnsi"/>
          <w:color w:val="000000" w:themeColor="text1"/>
          <w:sz w:val="21"/>
          <w:szCs w:val="21"/>
        </w:rPr>
        <w:t>o implement a shared purpos</w:t>
      </w:r>
      <w:r>
        <w:rPr>
          <w:rFonts w:cstheme="minorHAnsi"/>
          <w:color w:val="000000" w:themeColor="text1"/>
          <w:sz w:val="21"/>
          <w:szCs w:val="21"/>
        </w:rPr>
        <w:t xml:space="preserve">e, </w:t>
      </w:r>
      <w:r w:rsidRPr="00D345E5">
        <w:rPr>
          <w:rFonts w:cstheme="minorHAnsi"/>
          <w:color w:val="000000" w:themeColor="text1"/>
          <w:sz w:val="21"/>
          <w:szCs w:val="21"/>
        </w:rPr>
        <w:t>Ruddy-Tint women must not delay submission of merit because one’s faith and religio</w:t>
      </w:r>
      <w:r>
        <w:rPr>
          <w:rFonts w:cstheme="minorHAnsi"/>
          <w:color w:val="000000" w:themeColor="text1"/>
          <w:sz w:val="21"/>
          <w:szCs w:val="21"/>
        </w:rPr>
        <w:t>us</w:t>
      </w:r>
      <w:r w:rsidRPr="00D345E5">
        <w:rPr>
          <w:rFonts w:cstheme="minorHAnsi"/>
          <w:color w:val="000000" w:themeColor="text1"/>
          <w:sz w:val="21"/>
          <w:szCs w:val="21"/>
        </w:rPr>
        <w:t xml:space="preserve"> role in shaping response to workplace discrimination. </w:t>
      </w:r>
      <w:r w:rsidRPr="00D345E5">
        <w:rPr>
          <w:rFonts w:cstheme="minorHAnsi"/>
          <w:sz w:val="21"/>
          <w:szCs w:val="21"/>
        </w:rPr>
        <w:t>Just like Truth shaped and defined history</w:t>
      </w:r>
      <w:r>
        <w:rPr>
          <w:rFonts w:cstheme="minorHAnsi"/>
          <w:sz w:val="21"/>
          <w:szCs w:val="21"/>
        </w:rPr>
        <w:t>,</w:t>
      </w:r>
      <w:r w:rsidRPr="00D345E5">
        <w:rPr>
          <w:rFonts w:cstheme="minorHAnsi"/>
          <w:sz w:val="21"/>
          <w:szCs w:val="21"/>
        </w:rPr>
        <w:t xml:space="preserve"> so </w:t>
      </w:r>
      <w:r>
        <w:rPr>
          <w:rFonts w:cstheme="minorHAnsi"/>
          <w:sz w:val="21"/>
          <w:szCs w:val="21"/>
        </w:rPr>
        <w:t xml:space="preserve">by </w:t>
      </w:r>
      <w:r w:rsidR="00193733">
        <w:rPr>
          <w:rFonts w:cstheme="minorHAnsi"/>
          <w:sz w:val="21"/>
          <w:szCs w:val="21"/>
        </w:rPr>
        <w:t>God’s</w:t>
      </w:r>
      <w:r>
        <w:rPr>
          <w:rFonts w:cstheme="minorHAnsi"/>
          <w:sz w:val="21"/>
          <w:szCs w:val="21"/>
        </w:rPr>
        <w:t xml:space="preserve"> grace, </w:t>
      </w:r>
      <w:r w:rsidRPr="00D345E5">
        <w:rPr>
          <w:rFonts w:cstheme="minorHAnsi"/>
          <w:sz w:val="21"/>
          <w:szCs w:val="21"/>
        </w:rPr>
        <w:t xml:space="preserve">will </w:t>
      </w:r>
      <w:r>
        <w:rPr>
          <w:rFonts w:cstheme="minorHAnsi"/>
          <w:sz w:val="21"/>
          <w:szCs w:val="21"/>
        </w:rPr>
        <w:t>I</w:t>
      </w:r>
      <w:r w:rsidRPr="00D345E5">
        <w:rPr>
          <w:rFonts w:cstheme="minorHAnsi"/>
          <w:sz w:val="21"/>
          <w:szCs w:val="21"/>
        </w:rPr>
        <w:t xml:space="preserve">. </w:t>
      </w:r>
    </w:p>
    <w:p w14:paraId="5CACFB4C" w14:textId="77777777" w:rsidR="000371B6" w:rsidRPr="00D345E5" w:rsidRDefault="000371B6" w:rsidP="002A4621">
      <w:pPr>
        <w:spacing w:line="480" w:lineRule="auto"/>
        <w:ind w:firstLine="720"/>
        <w:rPr>
          <w:rFonts w:cstheme="minorHAnsi"/>
          <w:color w:val="000000" w:themeColor="text1"/>
          <w:sz w:val="21"/>
          <w:szCs w:val="21"/>
        </w:rPr>
      </w:pPr>
    </w:p>
    <w:p w14:paraId="06732BF8" w14:textId="59714041" w:rsidR="002A4621" w:rsidRDefault="002A4621" w:rsidP="002A4621"/>
    <w:p w14:paraId="68BAE9F5" w14:textId="65AE4EDE" w:rsidR="002D2EEE" w:rsidRDefault="002D2EEE" w:rsidP="002A4621"/>
    <w:p w14:paraId="6B1485F2" w14:textId="0D6372F4" w:rsidR="002D2EEE" w:rsidRDefault="002D2EEE" w:rsidP="002A4621"/>
    <w:p w14:paraId="3B3DAC9E" w14:textId="48140928" w:rsidR="002D2EEE" w:rsidRDefault="002D2EEE" w:rsidP="002A4621"/>
    <w:p w14:paraId="43B0229E" w14:textId="572CCE21" w:rsidR="002D2EEE" w:rsidRDefault="002D2EEE" w:rsidP="002A4621"/>
    <w:p w14:paraId="6CECB3CF" w14:textId="4FBAF4A6" w:rsidR="002D2EEE" w:rsidRDefault="002D2EEE" w:rsidP="002A4621"/>
    <w:p w14:paraId="5248663C" w14:textId="3E86F525" w:rsidR="002D2EEE" w:rsidRDefault="002D2EEE" w:rsidP="002A4621"/>
    <w:p w14:paraId="5A77751D" w14:textId="33D4D039" w:rsidR="002D2EEE" w:rsidRDefault="002D2EEE" w:rsidP="002A4621"/>
    <w:p w14:paraId="0644E9C3" w14:textId="1CC88328" w:rsidR="002D2EEE" w:rsidRDefault="002D2EEE" w:rsidP="002A4621"/>
    <w:p w14:paraId="535C5A8A" w14:textId="190A4524" w:rsidR="002D2EEE" w:rsidRDefault="002D2EEE" w:rsidP="002A4621"/>
    <w:p w14:paraId="3A0B23DC" w14:textId="586B8816" w:rsidR="002D2EEE" w:rsidRDefault="002D2EEE" w:rsidP="002A4621"/>
    <w:p w14:paraId="305093AD" w14:textId="1E3E2BF7" w:rsidR="002D2EEE" w:rsidRDefault="002D2EEE" w:rsidP="002A4621"/>
    <w:p w14:paraId="52296D95" w14:textId="1A5DD894" w:rsidR="002D2EEE" w:rsidRDefault="002D2EEE" w:rsidP="002A4621"/>
    <w:p w14:paraId="1D4A6B60" w14:textId="4B0611E6" w:rsidR="002D2EEE" w:rsidRDefault="002D2EEE" w:rsidP="002A4621"/>
    <w:p w14:paraId="42E97E18" w14:textId="12973AE2" w:rsidR="002D2EEE" w:rsidRDefault="002D2EEE" w:rsidP="002A4621"/>
    <w:p w14:paraId="4EBAB39D" w14:textId="6B895AC2" w:rsidR="002D2EEE" w:rsidRDefault="002D2EEE" w:rsidP="002A4621"/>
    <w:p w14:paraId="0F6BC4AF" w14:textId="346518F5" w:rsidR="002D2EEE" w:rsidRDefault="002D2EEE" w:rsidP="002A4621"/>
    <w:p w14:paraId="257B4F5D" w14:textId="06A06CE5" w:rsidR="002D2EEE" w:rsidRDefault="002D2EEE" w:rsidP="002A4621"/>
    <w:p w14:paraId="537E32F4" w14:textId="77777777" w:rsidR="002D2EEE" w:rsidRDefault="002D2EEE" w:rsidP="002A4621"/>
    <w:p w14:paraId="0B6A83B1" w14:textId="77777777" w:rsidR="002A4621" w:rsidRDefault="002A4621" w:rsidP="002A4621"/>
    <w:p w14:paraId="0AEE7B05" w14:textId="79F218C6" w:rsidR="006A54C1" w:rsidRDefault="006A54C1"/>
    <w:p w14:paraId="5D78FE45" w14:textId="77777777" w:rsidR="002D2EEE" w:rsidRDefault="002D2EEE" w:rsidP="002D2EEE">
      <w:pPr>
        <w:spacing w:line="480" w:lineRule="auto"/>
        <w:ind w:left="720" w:hanging="720"/>
        <w:jc w:val="center"/>
      </w:pPr>
      <w:r>
        <w:t>WORKCITED</w:t>
      </w:r>
    </w:p>
    <w:p w14:paraId="05BF800D" w14:textId="77777777" w:rsidR="002D2EEE" w:rsidRPr="00F41842" w:rsidRDefault="002D2EEE" w:rsidP="002D2EEE">
      <w:pPr>
        <w:spacing w:line="480" w:lineRule="auto"/>
        <w:ind w:left="720" w:hanging="720"/>
        <w:rPr>
          <w:rFonts w:ascii="Times New Roman" w:eastAsia="Times New Roman" w:hAnsi="Times New Roman" w:cs="Times New Roman"/>
          <w:sz w:val="22"/>
          <w:szCs w:val="22"/>
        </w:rPr>
      </w:pPr>
      <w:r w:rsidRPr="005247F9">
        <w:rPr>
          <w:rFonts w:ascii="Arial" w:eastAsia="Times New Roman" w:hAnsi="Arial" w:cs="Arial"/>
          <w:color w:val="333333"/>
          <w:sz w:val="22"/>
          <w:szCs w:val="22"/>
          <w:shd w:val="clear" w:color="auto" w:fill="FFFFFF"/>
        </w:rPr>
        <w:t xml:space="preserve">Bryant-Davis, T., &amp; Comas-Díaz, L. (2016). Introduction: Womanist and </w:t>
      </w:r>
      <w:proofErr w:type="spellStart"/>
      <w:r w:rsidRPr="005247F9">
        <w:rPr>
          <w:rFonts w:ascii="Arial" w:eastAsia="Times New Roman" w:hAnsi="Arial" w:cs="Arial"/>
          <w:color w:val="333333"/>
          <w:sz w:val="22"/>
          <w:szCs w:val="22"/>
          <w:shd w:val="clear" w:color="auto" w:fill="FFFFFF"/>
        </w:rPr>
        <w:t>mujerista</w:t>
      </w:r>
      <w:proofErr w:type="spellEnd"/>
      <w:r w:rsidRPr="005247F9">
        <w:rPr>
          <w:rFonts w:ascii="Arial" w:eastAsia="Times New Roman" w:hAnsi="Arial" w:cs="Arial"/>
          <w:color w:val="333333"/>
          <w:sz w:val="22"/>
          <w:szCs w:val="22"/>
          <w:shd w:val="clear" w:color="auto" w:fill="FFFFFF"/>
        </w:rPr>
        <w:t xml:space="preserve"> psychologies. In T. Bryant-Davis &amp; L. Comas-Díaz (Eds.), </w:t>
      </w:r>
      <w:r w:rsidRPr="005247F9">
        <w:rPr>
          <w:rFonts w:ascii="Arial" w:eastAsia="Times New Roman" w:hAnsi="Arial" w:cs="Arial"/>
          <w:i/>
          <w:iCs/>
          <w:color w:val="333333"/>
          <w:sz w:val="22"/>
          <w:szCs w:val="22"/>
          <w:shd w:val="clear" w:color="auto" w:fill="FFFFFF"/>
        </w:rPr>
        <w:t xml:space="preserve">Womanist and </w:t>
      </w:r>
      <w:proofErr w:type="spellStart"/>
      <w:r w:rsidRPr="005247F9">
        <w:rPr>
          <w:rFonts w:ascii="Arial" w:eastAsia="Times New Roman" w:hAnsi="Arial" w:cs="Arial"/>
          <w:i/>
          <w:iCs/>
          <w:color w:val="333333"/>
          <w:sz w:val="22"/>
          <w:szCs w:val="22"/>
          <w:shd w:val="clear" w:color="auto" w:fill="FFFFFF"/>
        </w:rPr>
        <w:t>mujerista</w:t>
      </w:r>
      <w:proofErr w:type="spellEnd"/>
      <w:r w:rsidRPr="005247F9">
        <w:rPr>
          <w:rFonts w:ascii="Arial" w:eastAsia="Times New Roman" w:hAnsi="Arial" w:cs="Arial"/>
          <w:i/>
          <w:iCs/>
          <w:color w:val="333333"/>
          <w:sz w:val="22"/>
          <w:szCs w:val="22"/>
          <w:shd w:val="clear" w:color="auto" w:fill="FFFFFF"/>
        </w:rPr>
        <w:t xml:space="preserve"> psychologies: Voices of fire, acts of courage</w:t>
      </w:r>
      <w:r w:rsidRPr="005247F9">
        <w:rPr>
          <w:rFonts w:ascii="Arial" w:eastAsia="Times New Roman" w:hAnsi="Arial" w:cs="Arial"/>
          <w:color w:val="333333"/>
          <w:sz w:val="22"/>
          <w:szCs w:val="22"/>
          <w:shd w:val="clear" w:color="auto" w:fill="FFFFFF"/>
        </w:rPr>
        <w:t> (pp. 3–25). American Psychological Association. </w:t>
      </w:r>
      <w:hyperlink r:id="rId6" w:tgtFrame="_blank" w:history="1">
        <w:r w:rsidRPr="005247F9">
          <w:rPr>
            <w:rFonts w:ascii="Arial" w:eastAsia="Times New Roman" w:hAnsi="Arial" w:cs="Arial"/>
            <w:color w:val="2C72B7"/>
            <w:sz w:val="22"/>
            <w:szCs w:val="22"/>
            <w:u w:val="single"/>
            <w:shd w:val="clear" w:color="auto" w:fill="FFFFFF"/>
          </w:rPr>
          <w:t>https://doi.org/10.1037/14937-001</w:t>
        </w:r>
      </w:hyperlink>
    </w:p>
    <w:p w14:paraId="48423D67" w14:textId="6156E16F" w:rsidR="002D2EEE" w:rsidRPr="00193733" w:rsidRDefault="002D2EEE" w:rsidP="00193733">
      <w:pPr>
        <w:spacing w:line="480" w:lineRule="auto"/>
        <w:ind w:left="720" w:hanging="720"/>
        <w:rPr>
          <w:sz w:val="22"/>
          <w:szCs w:val="22"/>
        </w:rPr>
      </w:pPr>
      <w:r w:rsidRPr="00F41842">
        <w:rPr>
          <w:sz w:val="22"/>
          <w:szCs w:val="22"/>
        </w:rPr>
        <w:t xml:space="preserve">Federal Sector Reports webpage at </w:t>
      </w:r>
      <w:hyperlink r:id="rId7" w:history="1">
        <w:r w:rsidRPr="00F41842">
          <w:rPr>
            <w:rStyle w:val="Hyperlink"/>
            <w:sz w:val="22"/>
            <w:szCs w:val="22"/>
          </w:rPr>
          <w:t>https://www.eeoc.gov/federal-sector/reports</w:t>
        </w:r>
      </w:hyperlink>
      <w:r w:rsidRPr="00F41842">
        <w:rPr>
          <w:sz w:val="22"/>
          <w:szCs w:val="22"/>
        </w:rPr>
        <w:t>.  These missing data may cause annual functions in the government side numbers and percentages, particularly when cabinet agencies fall to submit.</w:t>
      </w:r>
    </w:p>
    <w:p w14:paraId="1EBEF500" w14:textId="5D13447A" w:rsidR="00193733" w:rsidRPr="002D2EEE" w:rsidRDefault="002D2EEE" w:rsidP="00193733">
      <w:pPr>
        <w:spacing w:line="480" w:lineRule="auto"/>
        <w:ind w:left="720" w:hanging="720"/>
      </w:pPr>
      <w:proofErr w:type="spellStart"/>
      <w:r>
        <w:t>Grossberb</w:t>
      </w:r>
      <w:proofErr w:type="spellEnd"/>
      <w:r>
        <w:t>, Lawrence; Christians, Clifford G Hermeneutics, and the Study of Communication. Aug 78 41p.: Paper presented at the Annual Meeting of the Association for Education in Journalism (61</w:t>
      </w:r>
      <w:r w:rsidRPr="002C7E80">
        <w:rPr>
          <w:vertAlign w:val="superscript"/>
        </w:rPr>
        <w:t>st</w:t>
      </w:r>
      <w:r>
        <w:t>, Seattle, Washington, August 13-16, 1978)</w:t>
      </w:r>
    </w:p>
    <w:p w14:paraId="0098A7B2" w14:textId="77777777" w:rsidR="002D2EEE" w:rsidRPr="00F41842" w:rsidRDefault="002D2EEE" w:rsidP="002D2EEE">
      <w:pPr>
        <w:spacing w:line="480" w:lineRule="auto"/>
        <w:ind w:left="720" w:hanging="720"/>
        <w:rPr>
          <w:sz w:val="22"/>
          <w:szCs w:val="22"/>
        </w:rPr>
      </w:pPr>
      <w:r w:rsidRPr="00F41842">
        <w:rPr>
          <w:sz w:val="22"/>
          <w:szCs w:val="22"/>
        </w:rPr>
        <w:t xml:space="preserve">Ham, Debra Newman, “The African American Odyssey: A Quest for Full Citizenship </w:t>
      </w:r>
      <w:proofErr w:type="gramStart"/>
      <w:r w:rsidRPr="00F41842">
        <w:rPr>
          <w:sz w:val="22"/>
          <w:szCs w:val="22"/>
        </w:rPr>
        <w:t>The</w:t>
      </w:r>
      <w:proofErr w:type="gramEnd"/>
      <w:r w:rsidRPr="00F41842">
        <w:rPr>
          <w:sz w:val="22"/>
          <w:szCs w:val="22"/>
        </w:rPr>
        <w:t xml:space="preserve"> Civil War.” Library of Congress Exhibitions. February 09, 1998. </w:t>
      </w:r>
      <w:hyperlink r:id="rId8" w:history="1">
        <w:r w:rsidRPr="00F41842">
          <w:rPr>
            <w:rStyle w:val="Hyperlink"/>
            <w:sz w:val="22"/>
            <w:szCs w:val="22"/>
          </w:rPr>
          <w:t>http://www.loc.gov/exhibits/african-american-odyssey/civil-war.html#obj17</w:t>
        </w:r>
      </w:hyperlink>
    </w:p>
    <w:p w14:paraId="7B6606DE" w14:textId="77777777" w:rsidR="002D2EEE" w:rsidRPr="00F41842" w:rsidRDefault="002D2EEE" w:rsidP="002D2EEE">
      <w:pPr>
        <w:spacing w:line="480" w:lineRule="auto"/>
        <w:ind w:left="720" w:hanging="720"/>
        <w:rPr>
          <w:rFonts w:ascii="Times New Roman" w:eastAsia="Times New Roman" w:hAnsi="Times New Roman" w:cs="Times New Roman"/>
          <w:sz w:val="22"/>
          <w:szCs w:val="22"/>
        </w:rPr>
      </w:pPr>
      <w:r w:rsidRPr="00684396">
        <w:rPr>
          <w:rFonts w:ascii="Arial" w:eastAsia="Times New Roman" w:hAnsi="Arial" w:cs="Arial"/>
          <w:color w:val="222222"/>
          <w:sz w:val="22"/>
          <w:szCs w:val="22"/>
          <w:shd w:val="clear" w:color="auto" w:fill="FFFFFF"/>
        </w:rPr>
        <w:t>Harris, C. I. (1996). Finding Sojourner's Truth: Race, Gender, and the Institution of Property. </w:t>
      </w:r>
      <w:r w:rsidRPr="00684396">
        <w:rPr>
          <w:rFonts w:ascii="Arial" w:eastAsia="Times New Roman" w:hAnsi="Arial" w:cs="Arial"/>
          <w:i/>
          <w:iCs/>
          <w:color w:val="222222"/>
          <w:sz w:val="22"/>
          <w:szCs w:val="22"/>
          <w:shd w:val="clear" w:color="auto" w:fill="FFFFFF"/>
        </w:rPr>
        <w:t>Cardozo L. Rev.</w:t>
      </w:r>
      <w:r w:rsidRPr="00684396">
        <w:rPr>
          <w:rFonts w:ascii="Arial" w:eastAsia="Times New Roman" w:hAnsi="Arial" w:cs="Arial"/>
          <w:color w:val="222222"/>
          <w:sz w:val="22"/>
          <w:szCs w:val="22"/>
          <w:shd w:val="clear" w:color="auto" w:fill="FFFFFF"/>
        </w:rPr>
        <w:t>, </w:t>
      </w:r>
      <w:r w:rsidRPr="00684396">
        <w:rPr>
          <w:rFonts w:ascii="Arial" w:eastAsia="Times New Roman" w:hAnsi="Arial" w:cs="Arial"/>
          <w:i/>
          <w:iCs/>
          <w:color w:val="222222"/>
          <w:sz w:val="22"/>
          <w:szCs w:val="22"/>
          <w:shd w:val="clear" w:color="auto" w:fill="FFFFFF"/>
        </w:rPr>
        <w:t>18</w:t>
      </w:r>
      <w:r w:rsidRPr="00684396">
        <w:rPr>
          <w:rFonts w:ascii="Arial" w:eastAsia="Times New Roman" w:hAnsi="Arial" w:cs="Arial"/>
          <w:color w:val="222222"/>
          <w:sz w:val="22"/>
          <w:szCs w:val="22"/>
          <w:shd w:val="clear" w:color="auto" w:fill="FFFFFF"/>
        </w:rPr>
        <w:t>, 309.</w:t>
      </w:r>
    </w:p>
    <w:p w14:paraId="14225D20" w14:textId="77777777" w:rsidR="002D2EEE" w:rsidRPr="00F41842" w:rsidRDefault="002D2EEE" w:rsidP="002D2EEE">
      <w:pPr>
        <w:spacing w:line="480" w:lineRule="auto"/>
        <w:ind w:left="720" w:hanging="720"/>
        <w:rPr>
          <w:sz w:val="22"/>
          <w:szCs w:val="22"/>
        </w:rPr>
      </w:pPr>
      <w:r w:rsidRPr="00F41842">
        <w:rPr>
          <w:sz w:val="22"/>
          <w:szCs w:val="22"/>
        </w:rPr>
        <w:lastRenderedPageBreak/>
        <w:t>Hull, Gloria T., Patricia Bell-Scott, and Barbara Smith. All the Women Are White, All the Blacks Are Men, but Some of Us Are Brave: Black Women’s Studies. New York City: Feminist Press at the City University of New York,  2015.</w:t>
      </w:r>
    </w:p>
    <w:p w14:paraId="055B57FD" w14:textId="77777777" w:rsidR="002D2EEE" w:rsidRPr="00F41842" w:rsidRDefault="002D2EEE" w:rsidP="002D2EEE">
      <w:pPr>
        <w:spacing w:line="480" w:lineRule="auto"/>
        <w:ind w:left="720" w:hanging="720"/>
        <w:rPr>
          <w:sz w:val="22"/>
          <w:szCs w:val="22"/>
        </w:rPr>
      </w:pPr>
      <w:r w:rsidRPr="00F41842">
        <w:rPr>
          <w:sz w:val="22"/>
          <w:szCs w:val="22"/>
        </w:rPr>
        <w:t>Koester, N. (2023). We Will Be Free: The Life and Faith of Sojourner Truth. United Kingdom: Wm. B. Eerdmans Publishing Company.</w:t>
      </w:r>
    </w:p>
    <w:p w14:paraId="1C4B43B4" w14:textId="77777777" w:rsidR="002D2EEE" w:rsidRPr="00F41842" w:rsidRDefault="002D2EEE" w:rsidP="002D2EEE">
      <w:pPr>
        <w:spacing w:line="480" w:lineRule="auto"/>
        <w:ind w:left="720" w:hanging="720"/>
        <w:rPr>
          <w:sz w:val="22"/>
          <w:szCs w:val="22"/>
        </w:rPr>
      </w:pPr>
      <w:r w:rsidRPr="00F41842">
        <w:rPr>
          <w:sz w:val="22"/>
          <w:szCs w:val="22"/>
        </w:rPr>
        <w:t>U.S. Equal Employment Opportunity Commission (2010). Annual EEO Program Status Report for Fiscal Year 20210, EEO Management Directive 715.</w:t>
      </w:r>
    </w:p>
    <w:p w14:paraId="0E710C1D" w14:textId="77777777" w:rsidR="002D2EEE" w:rsidRPr="00F41842" w:rsidRDefault="002D2EEE" w:rsidP="002D2EEE">
      <w:pPr>
        <w:spacing w:line="480" w:lineRule="auto"/>
        <w:ind w:left="720" w:hanging="720"/>
        <w:rPr>
          <w:sz w:val="22"/>
          <w:szCs w:val="22"/>
        </w:rPr>
      </w:pPr>
      <w:r w:rsidRPr="00F41842">
        <w:rPr>
          <w:sz w:val="22"/>
          <w:szCs w:val="22"/>
        </w:rPr>
        <w:t xml:space="preserve">U.S. Equal Employment Opportunity Commission, Research, Evaluation, &amp; Applied Data Division | Office of Federal Operation; </w:t>
      </w:r>
      <w:r w:rsidRPr="00F41842">
        <w:rPr>
          <w:i/>
          <w:iCs/>
          <w:sz w:val="22"/>
          <w:szCs w:val="22"/>
        </w:rPr>
        <w:t xml:space="preserve">African American Women in the Federal </w:t>
      </w:r>
      <w:r w:rsidRPr="00F41842">
        <w:rPr>
          <w:sz w:val="22"/>
          <w:szCs w:val="22"/>
        </w:rPr>
        <w:t>Sector, Report uses FY 202 data due to the inclusion of the latest available data from the EEOC’s Management Directive 715 (MD-715).</w:t>
      </w:r>
    </w:p>
    <w:p w14:paraId="21EA5F19" w14:textId="77777777" w:rsidR="002D2EEE" w:rsidRPr="00F41842" w:rsidRDefault="002D2EEE" w:rsidP="002D2EEE">
      <w:pPr>
        <w:spacing w:line="480" w:lineRule="auto"/>
        <w:ind w:left="720" w:hanging="720"/>
        <w:rPr>
          <w:sz w:val="22"/>
          <w:szCs w:val="22"/>
        </w:rPr>
      </w:pPr>
      <w:r w:rsidRPr="00F41842">
        <w:rPr>
          <w:sz w:val="22"/>
          <w:szCs w:val="22"/>
        </w:rPr>
        <w:t xml:space="preserve">This report only includes data from agencies that submitted and certified MD-715 reports. A complete list of agencies that were required to but did not submit and certify FY 20220 MD-715 reports is provided with the Annual Report Workforce Tables found on EEOC’s </w:t>
      </w:r>
    </w:p>
    <w:p w14:paraId="374EFC27" w14:textId="77777777" w:rsidR="002D2EEE" w:rsidRPr="00F41842" w:rsidRDefault="002D2EEE" w:rsidP="002D2EEE">
      <w:pPr>
        <w:spacing w:line="480" w:lineRule="auto"/>
        <w:ind w:left="720" w:hanging="720"/>
        <w:rPr>
          <w:sz w:val="22"/>
          <w:szCs w:val="22"/>
        </w:rPr>
      </w:pPr>
    </w:p>
    <w:p w14:paraId="6C2C353D" w14:textId="77777777" w:rsidR="002D2EEE" w:rsidRDefault="002D2EEE" w:rsidP="002D2EEE">
      <w:pPr>
        <w:spacing w:line="480" w:lineRule="auto"/>
        <w:ind w:left="720" w:hanging="720"/>
      </w:pPr>
    </w:p>
    <w:p w14:paraId="57AD5957" w14:textId="304950B9" w:rsidR="006A54C1" w:rsidRDefault="006A54C1"/>
    <w:p w14:paraId="07AA9530" w14:textId="362A0CF5" w:rsidR="006A54C1" w:rsidRDefault="006A54C1"/>
    <w:p w14:paraId="063FE787" w14:textId="5CA1D552" w:rsidR="006A54C1" w:rsidRDefault="006A54C1"/>
    <w:p w14:paraId="272AB1B5" w14:textId="77777777" w:rsidR="006A54C1" w:rsidRDefault="006A54C1"/>
    <w:sectPr w:rsidR="006A54C1" w:rsidSect="006A54C1">
      <w:headerReference w:type="defaul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D9EF0F" w14:textId="77777777" w:rsidR="00ED15F8" w:rsidRDefault="00ED15F8" w:rsidP="006A54C1">
      <w:r>
        <w:separator/>
      </w:r>
    </w:p>
  </w:endnote>
  <w:endnote w:type="continuationSeparator" w:id="0">
    <w:p w14:paraId="73491178" w14:textId="77777777" w:rsidR="00ED15F8" w:rsidRDefault="00ED15F8" w:rsidP="006A54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0EF04D" w14:textId="77777777" w:rsidR="00ED15F8" w:rsidRDefault="00ED15F8" w:rsidP="006A54C1">
      <w:r>
        <w:separator/>
      </w:r>
    </w:p>
  </w:footnote>
  <w:footnote w:type="continuationSeparator" w:id="0">
    <w:p w14:paraId="708CB74D" w14:textId="77777777" w:rsidR="00ED15F8" w:rsidRDefault="00ED15F8" w:rsidP="006A54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BD6D77" w14:textId="3300A17E" w:rsidR="006A54C1" w:rsidRDefault="006A54C1">
    <w:pPr>
      <w:pStyle w:val="Header"/>
    </w:pPr>
    <w:r>
      <w:t>Tiffanie Willis, COM 803, Hermeneutics and Communications, Assignment #4, 03/12/2024</w:t>
    </w:r>
  </w:p>
  <w:p w14:paraId="211042EA" w14:textId="77777777" w:rsidR="006A54C1" w:rsidRDefault="006A54C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334D"/>
    <w:rsid w:val="000371B6"/>
    <w:rsid w:val="0008432F"/>
    <w:rsid w:val="00193733"/>
    <w:rsid w:val="002A4621"/>
    <w:rsid w:val="002C7E80"/>
    <w:rsid w:val="002D2EEE"/>
    <w:rsid w:val="005C3513"/>
    <w:rsid w:val="00660302"/>
    <w:rsid w:val="006A54C1"/>
    <w:rsid w:val="007510EE"/>
    <w:rsid w:val="00761924"/>
    <w:rsid w:val="0085334D"/>
    <w:rsid w:val="009107FA"/>
    <w:rsid w:val="00AF215C"/>
    <w:rsid w:val="00B405A7"/>
    <w:rsid w:val="00B43FE9"/>
    <w:rsid w:val="00BE4D21"/>
    <w:rsid w:val="00E61935"/>
    <w:rsid w:val="00E97495"/>
    <w:rsid w:val="00EC3DA3"/>
    <w:rsid w:val="00ED15F8"/>
    <w:rsid w:val="00F33C7F"/>
    <w:rsid w:val="00F702C8"/>
    <w:rsid w:val="00FB2E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68DF2A"/>
  <w15:chartTrackingRefBased/>
  <w15:docId w15:val="{677A75C5-CCDD-4F4F-9CE4-5382519DE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A54C1"/>
    <w:pPr>
      <w:tabs>
        <w:tab w:val="center" w:pos="4680"/>
        <w:tab w:val="right" w:pos="9360"/>
      </w:tabs>
    </w:pPr>
  </w:style>
  <w:style w:type="character" w:customStyle="1" w:styleId="HeaderChar">
    <w:name w:val="Header Char"/>
    <w:basedOn w:val="DefaultParagraphFont"/>
    <w:link w:val="Header"/>
    <w:uiPriority w:val="99"/>
    <w:rsid w:val="006A54C1"/>
  </w:style>
  <w:style w:type="paragraph" w:styleId="Footer">
    <w:name w:val="footer"/>
    <w:basedOn w:val="Normal"/>
    <w:link w:val="FooterChar"/>
    <w:uiPriority w:val="99"/>
    <w:unhideWhenUsed/>
    <w:rsid w:val="006A54C1"/>
    <w:pPr>
      <w:tabs>
        <w:tab w:val="center" w:pos="4680"/>
        <w:tab w:val="right" w:pos="9360"/>
      </w:tabs>
    </w:pPr>
  </w:style>
  <w:style w:type="character" w:customStyle="1" w:styleId="FooterChar">
    <w:name w:val="Footer Char"/>
    <w:basedOn w:val="DefaultParagraphFont"/>
    <w:link w:val="Footer"/>
    <w:uiPriority w:val="99"/>
    <w:rsid w:val="006A54C1"/>
  </w:style>
  <w:style w:type="paragraph" w:customStyle="1" w:styleId="paragraph">
    <w:name w:val="paragraph"/>
    <w:basedOn w:val="Normal"/>
    <w:rsid w:val="002A4621"/>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2A4621"/>
  </w:style>
  <w:style w:type="character" w:customStyle="1" w:styleId="eop">
    <w:name w:val="eop"/>
    <w:basedOn w:val="DefaultParagraphFont"/>
    <w:rsid w:val="002A4621"/>
  </w:style>
  <w:style w:type="character" w:styleId="Hyperlink">
    <w:name w:val="Hyperlink"/>
    <w:basedOn w:val="DefaultParagraphFont"/>
    <w:uiPriority w:val="99"/>
    <w:unhideWhenUsed/>
    <w:rsid w:val="002D2EE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6956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oc.gov/exhibits/african-american-odyssey/civil-war.html#obj17" TargetMode="External"/><Relationship Id="rId3" Type="http://schemas.openxmlformats.org/officeDocument/2006/relationships/webSettings" Target="webSettings.xml"/><Relationship Id="rId7" Type="http://schemas.openxmlformats.org/officeDocument/2006/relationships/hyperlink" Target="https://www.eeoc.gov/federal-sector/report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psycnet.apa.org/doi/10.1037/14937-001"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10</Pages>
  <Words>2696</Words>
  <Characters>15372</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 Willis</dc:creator>
  <cp:keywords/>
  <dc:description/>
  <cp:lastModifiedBy>ACE Willis</cp:lastModifiedBy>
  <cp:revision>2</cp:revision>
  <dcterms:created xsi:type="dcterms:W3CDTF">2024-03-19T07:59:00Z</dcterms:created>
  <dcterms:modified xsi:type="dcterms:W3CDTF">2024-03-19T07:59:00Z</dcterms:modified>
</cp:coreProperties>
</file>