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D5719" w:rsidRPr="009F4777" w:rsidRDefault="000D5719">
      <w:pPr>
        <w:keepLines/>
        <w:pBdr>
          <w:top w:val="nil"/>
          <w:left w:val="nil"/>
          <w:bottom w:val="nil"/>
          <w:right w:val="nil"/>
          <w:between w:val="nil"/>
        </w:pBdr>
        <w:tabs>
          <w:tab w:val="right" w:pos="8640"/>
        </w:tabs>
        <w:ind w:left="720" w:hanging="720"/>
        <w:rPr>
          <w:color w:val="000000" w:themeColor="text1"/>
        </w:rPr>
      </w:pPr>
    </w:p>
    <w:p w14:paraId="00000002" w14:textId="77777777" w:rsidR="000D5719" w:rsidRPr="009F4777" w:rsidRDefault="000D5719">
      <w:pPr>
        <w:pBdr>
          <w:top w:val="nil"/>
          <w:left w:val="nil"/>
          <w:bottom w:val="nil"/>
          <w:right w:val="nil"/>
          <w:between w:val="nil"/>
        </w:pBdr>
        <w:tabs>
          <w:tab w:val="right" w:pos="8640"/>
          <w:tab w:val="right" w:pos="8640"/>
        </w:tabs>
        <w:jc w:val="center"/>
        <w:rPr>
          <w:color w:val="000000" w:themeColor="text1"/>
        </w:rPr>
      </w:pPr>
    </w:p>
    <w:p w14:paraId="00000003" w14:textId="77777777" w:rsidR="000D5719" w:rsidRPr="009F4777" w:rsidRDefault="000D5719">
      <w:pPr>
        <w:pBdr>
          <w:top w:val="nil"/>
          <w:left w:val="nil"/>
          <w:bottom w:val="nil"/>
          <w:right w:val="nil"/>
          <w:between w:val="nil"/>
        </w:pBdr>
        <w:tabs>
          <w:tab w:val="right" w:pos="8640"/>
          <w:tab w:val="right" w:pos="8640"/>
        </w:tabs>
        <w:jc w:val="center"/>
        <w:rPr>
          <w:color w:val="000000" w:themeColor="text1"/>
        </w:rPr>
      </w:pPr>
    </w:p>
    <w:p w14:paraId="00000004" w14:textId="77777777" w:rsidR="000D5719" w:rsidRPr="009F4777" w:rsidRDefault="000D5719">
      <w:pPr>
        <w:pBdr>
          <w:top w:val="nil"/>
          <w:left w:val="nil"/>
          <w:bottom w:val="nil"/>
          <w:right w:val="nil"/>
          <w:between w:val="nil"/>
        </w:pBdr>
        <w:tabs>
          <w:tab w:val="right" w:pos="8640"/>
          <w:tab w:val="right" w:pos="8640"/>
        </w:tabs>
        <w:ind w:firstLine="0"/>
        <w:jc w:val="center"/>
        <w:rPr>
          <w:color w:val="000000" w:themeColor="text1"/>
        </w:rPr>
      </w:pPr>
    </w:p>
    <w:p w14:paraId="00000005" w14:textId="77777777" w:rsidR="000D5719" w:rsidRPr="009F4777" w:rsidRDefault="000D5719">
      <w:pPr>
        <w:pBdr>
          <w:top w:val="nil"/>
          <w:left w:val="nil"/>
          <w:bottom w:val="nil"/>
          <w:right w:val="nil"/>
          <w:between w:val="nil"/>
        </w:pBdr>
        <w:tabs>
          <w:tab w:val="right" w:pos="8640"/>
          <w:tab w:val="right" w:pos="8640"/>
        </w:tabs>
        <w:ind w:firstLine="0"/>
        <w:jc w:val="center"/>
        <w:rPr>
          <w:color w:val="000000" w:themeColor="text1"/>
        </w:rPr>
      </w:pPr>
    </w:p>
    <w:p w14:paraId="00000006" w14:textId="77777777" w:rsidR="000D5719" w:rsidRPr="009F4777" w:rsidRDefault="000D5719">
      <w:pPr>
        <w:pBdr>
          <w:top w:val="nil"/>
          <w:left w:val="nil"/>
          <w:bottom w:val="nil"/>
          <w:right w:val="nil"/>
          <w:between w:val="nil"/>
        </w:pBdr>
        <w:tabs>
          <w:tab w:val="right" w:pos="8640"/>
          <w:tab w:val="right" w:pos="8640"/>
        </w:tabs>
        <w:ind w:firstLine="0"/>
        <w:jc w:val="center"/>
        <w:rPr>
          <w:color w:val="000000" w:themeColor="text1"/>
        </w:rPr>
      </w:pPr>
    </w:p>
    <w:p w14:paraId="00000007" w14:textId="148FBC41" w:rsidR="000D5719" w:rsidRPr="009F4777" w:rsidRDefault="00A102EB">
      <w:pPr>
        <w:spacing w:line="240" w:lineRule="auto"/>
        <w:ind w:firstLine="0"/>
        <w:jc w:val="center"/>
        <w:rPr>
          <w:color w:val="000000" w:themeColor="text1"/>
        </w:rPr>
      </w:pPr>
      <w:r w:rsidRPr="009F4777">
        <w:rPr>
          <w:color w:val="000000" w:themeColor="text1"/>
        </w:rPr>
        <w:t>Hermeneutics and Communications</w:t>
      </w:r>
    </w:p>
    <w:p w14:paraId="00000008" w14:textId="77777777" w:rsidR="000D5719" w:rsidRPr="009F4777" w:rsidRDefault="000D5719">
      <w:pPr>
        <w:spacing w:line="240" w:lineRule="auto"/>
        <w:ind w:firstLine="0"/>
        <w:jc w:val="center"/>
        <w:rPr>
          <w:color w:val="000000" w:themeColor="text1"/>
        </w:rPr>
      </w:pPr>
    </w:p>
    <w:p w14:paraId="00000009" w14:textId="09606E77" w:rsidR="000D5719" w:rsidRPr="009F4777" w:rsidRDefault="00792F2F">
      <w:pPr>
        <w:spacing w:line="240" w:lineRule="auto"/>
        <w:ind w:firstLine="0"/>
        <w:jc w:val="center"/>
        <w:rPr>
          <w:color w:val="000000" w:themeColor="text1"/>
        </w:rPr>
      </w:pPr>
      <w:r w:rsidRPr="009F4777">
        <w:rPr>
          <w:color w:val="000000" w:themeColor="text1"/>
        </w:rPr>
        <w:t>James Hollywood III</w:t>
      </w:r>
    </w:p>
    <w:p w14:paraId="0000000A" w14:textId="77777777" w:rsidR="000D5719" w:rsidRPr="009F4777" w:rsidRDefault="000D5719">
      <w:pPr>
        <w:spacing w:line="240" w:lineRule="auto"/>
        <w:ind w:firstLine="0"/>
        <w:jc w:val="center"/>
        <w:rPr>
          <w:color w:val="000000" w:themeColor="text1"/>
        </w:rPr>
      </w:pPr>
    </w:p>
    <w:p w14:paraId="0000000B" w14:textId="77777777" w:rsidR="000D5719" w:rsidRPr="009F4777" w:rsidRDefault="00630DF7">
      <w:pPr>
        <w:spacing w:line="240" w:lineRule="auto"/>
        <w:ind w:firstLine="0"/>
        <w:jc w:val="center"/>
        <w:rPr>
          <w:color w:val="000000" w:themeColor="text1"/>
        </w:rPr>
      </w:pPr>
      <w:r w:rsidRPr="009F4777">
        <w:rPr>
          <w:color w:val="000000" w:themeColor="text1"/>
        </w:rPr>
        <w:t>Omega Graduate School</w:t>
      </w:r>
    </w:p>
    <w:p w14:paraId="0000000C" w14:textId="77777777" w:rsidR="000D5719" w:rsidRPr="009F4777" w:rsidRDefault="000D5719">
      <w:pPr>
        <w:spacing w:line="240" w:lineRule="auto"/>
        <w:ind w:firstLine="0"/>
        <w:jc w:val="center"/>
        <w:rPr>
          <w:color w:val="000000" w:themeColor="text1"/>
        </w:rPr>
      </w:pPr>
    </w:p>
    <w:p w14:paraId="0000000D" w14:textId="6935BC1D" w:rsidR="000D5719" w:rsidRPr="009F4777" w:rsidRDefault="00792F2F">
      <w:pPr>
        <w:spacing w:line="240" w:lineRule="auto"/>
        <w:ind w:firstLine="0"/>
        <w:jc w:val="center"/>
        <w:rPr>
          <w:color w:val="000000" w:themeColor="text1"/>
        </w:rPr>
      </w:pPr>
      <w:r w:rsidRPr="009F4777">
        <w:rPr>
          <w:color w:val="000000" w:themeColor="text1"/>
        </w:rPr>
        <w:t>February</w:t>
      </w:r>
      <w:r w:rsidR="00630DF7" w:rsidRPr="009F4777">
        <w:rPr>
          <w:color w:val="000000" w:themeColor="text1"/>
        </w:rPr>
        <w:t xml:space="preserve"> </w:t>
      </w:r>
      <w:r w:rsidRPr="009F4777">
        <w:rPr>
          <w:color w:val="000000" w:themeColor="text1"/>
        </w:rPr>
        <w:t>13</w:t>
      </w:r>
      <w:r w:rsidR="00630DF7" w:rsidRPr="009F4777">
        <w:rPr>
          <w:color w:val="000000" w:themeColor="text1"/>
        </w:rPr>
        <w:t>, 202</w:t>
      </w:r>
      <w:r w:rsidRPr="009F4777">
        <w:rPr>
          <w:color w:val="000000" w:themeColor="text1"/>
        </w:rPr>
        <w:t>4</w:t>
      </w:r>
    </w:p>
    <w:p w14:paraId="0000000E" w14:textId="77777777" w:rsidR="000D5719" w:rsidRPr="009F4777" w:rsidRDefault="000D5719">
      <w:pPr>
        <w:spacing w:line="240" w:lineRule="auto"/>
        <w:ind w:firstLine="0"/>
        <w:jc w:val="center"/>
        <w:rPr>
          <w:color w:val="000000" w:themeColor="text1"/>
        </w:rPr>
      </w:pPr>
    </w:p>
    <w:p w14:paraId="0000000F" w14:textId="77777777" w:rsidR="000D5719" w:rsidRPr="009F4777" w:rsidRDefault="000D5719">
      <w:pPr>
        <w:spacing w:line="240" w:lineRule="auto"/>
        <w:ind w:firstLine="0"/>
        <w:jc w:val="center"/>
        <w:rPr>
          <w:color w:val="000000" w:themeColor="text1"/>
        </w:rPr>
      </w:pPr>
    </w:p>
    <w:p w14:paraId="00000010" w14:textId="77777777" w:rsidR="000D5719" w:rsidRPr="009F4777" w:rsidRDefault="000D5719">
      <w:pPr>
        <w:spacing w:line="240" w:lineRule="auto"/>
        <w:ind w:firstLine="0"/>
        <w:jc w:val="center"/>
        <w:rPr>
          <w:color w:val="000000" w:themeColor="text1"/>
        </w:rPr>
      </w:pPr>
    </w:p>
    <w:p w14:paraId="00000011" w14:textId="77777777" w:rsidR="000D5719" w:rsidRPr="009F4777" w:rsidRDefault="000D5719">
      <w:pPr>
        <w:spacing w:line="240" w:lineRule="auto"/>
        <w:ind w:firstLine="0"/>
        <w:jc w:val="center"/>
        <w:rPr>
          <w:color w:val="000000" w:themeColor="text1"/>
        </w:rPr>
      </w:pPr>
    </w:p>
    <w:p w14:paraId="00000012" w14:textId="77777777" w:rsidR="000D5719" w:rsidRPr="009F4777" w:rsidRDefault="000D5719">
      <w:pPr>
        <w:spacing w:line="240" w:lineRule="auto"/>
        <w:ind w:firstLine="0"/>
        <w:jc w:val="center"/>
        <w:rPr>
          <w:color w:val="000000" w:themeColor="text1"/>
        </w:rPr>
      </w:pPr>
    </w:p>
    <w:p w14:paraId="00000013" w14:textId="77777777" w:rsidR="000D5719" w:rsidRPr="009F4777" w:rsidRDefault="00630DF7">
      <w:pPr>
        <w:spacing w:line="240" w:lineRule="auto"/>
        <w:ind w:firstLine="0"/>
        <w:jc w:val="center"/>
        <w:rPr>
          <w:color w:val="000000" w:themeColor="text1"/>
        </w:rPr>
      </w:pPr>
      <w:r w:rsidRPr="009F4777">
        <w:rPr>
          <w:color w:val="000000" w:themeColor="text1"/>
        </w:rPr>
        <w:t>Professor</w:t>
      </w:r>
    </w:p>
    <w:p w14:paraId="00000014" w14:textId="77777777" w:rsidR="000D5719" w:rsidRPr="009F4777" w:rsidRDefault="000D5719">
      <w:pPr>
        <w:spacing w:line="240" w:lineRule="auto"/>
        <w:ind w:firstLine="0"/>
        <w:jc w:val="center"/>
        <w:rPr>
          <w:color w:val="000000" w:themeColor="text1"/>
        </w:rPr>
      </w:pPr>
    </w:p>
    <w:p w14:paraId="00000015" w14:textId="77777777" w:rsidR="000D5719" w:rsidRPr="009F4777" w:rsidRDefault="000D5719">
      <w:pPr>
        <w:spacing w:line="240" w:lineRule="auto"/>
        <w:ind w:firstLine="0"/>
        <w:jc w:val="center"/>
        <w:rPr>
          <w:color w:val="000000" w:themeColor="text1"/>
        </w:rPr>
      </w:pPr>
    </w:p>
    <w:p w14:paraId="00000016" w14:textId="2D1E4C3C" w:rsidR="000D5719" w:rsidRPr="009F4777" w:rsidRDefault="00630DF7">
      <w:pPr>
        <w:spacing w:line="240" w:lineRule="auto"/>
        <w:ind w:firstLine="0"/>
        <w:jc w:val="center"/>
        <w:rPr>
          <w:color w:val="000000" w:themeColor="text1"/>
        </w:rPr>
      </w:pPr>
      <w:r w:rsidRPr="009F4777">
        <w:rPr>
          <w:color w:val="000000" w:themeColor="text1"/>
        </w:rPr>
        <w:t xml:space="preserve">Dr. </w:t>
      </w:r>
      <w:r w:rsidR="00A102EB" w:rsidRPr="009F4777">
        <w:rPr>
          <w:color w:val="000000" w:themeColor="text1"/>
        </w:rPr>
        <w:t xml:space="preserve">Ken </w:t>
      </w:r>
      <w:proofErr w:type="spellStart"/>
      <w:r w:rsidR="00A102EB" w:rsidRPr="009F4777">
        <w:rPr>
          <w:color w:val="000000" w:themeColor="text1"/>
        </w:rPr>
        <w:t>Schmdt</w:t>
      </w:r>
      <w:proofErr w:type="spellEnd"/>
    </w:p>
    <w:p w14:paraId="00000017" w14:textId="77777777" w:rsidR="000D5719" w:rsidRPr="009F4777" w:rsidRDefault="000D5719">
      <w:pPr>
        <w:pBdr>
          <w:top w:val="nil"/>
          <w:left w:val="nil"/>
          <w:bottom w:val="nil"/>
          <w:right w:val="nil"/>
          <w:between w:val="nil"/>
        </w:pBdr>
        <w:tabs>
          <w:tab w:val="right" w:pos="8640"/>
          <w:tab w:val="right" w:pos="8640"/>
        </w:tabs>
        <w:ind w:firstLine="0"/>
        <w:jc w:val="center"/>
        <w:rPr>
          <w:color w:val="000000" w:themeColor="text1"/>
        </w:rPr>
      </w:pPr>
    </w:p>
    <w:p w14:paraId="5D8C7ADF" w14:textId="0104290A" w:rsidR="00E36A7E" w:rsidRPr="009F4777" w:rsidRDefault="00630DF7" w:rsidP="00E36A7E">
      <w:pPr>
        <w:tabs>
          <w:tab w:val="right" w:pos="8640"/>
          <w:tab w:val="right" w:pos="8640"/>
        </w:tabs>
        <w:spacing w:line="240" w:lineRule="auto"/>
        <w:ind w:firstLine="0"/>
        <w:rPr>
          <w:color w:val="000000" w:themeColor="text1"/>
        </w:rPr>
      </w:pPr>
      <w:r w:rsidRPr="009F4777">
        <w:rPr>
          <w:color w:val="000000" w:themeColor="text1"/>
        </w:rPr>
        <w:br w:type="page"/>
      </w:r>
      <w:r w:rsidR="00E36A7E" w:rsidRPr="009F4777">
        <w:rPr>
          <w:color w:val="000000" w:themeColor="text1"/>
        </w:rPr>
        <w:lastRenderedPageBreak/>
        <w:t xml:space="preserve">Assignment #2 – </w:t>
      </w:r>
      <w:r w:rsidR="00FF1739" w:rsidRPr="009F4777">
        <w:rPr>
          <w:color w:val="000000" w:themeColor="text1"/>
        </w:rPr>
        <w:t xml:space="preserve">Developmental Readings </w:t>
      </w:r>
    </w:p>
    <w:p w14:paraId="01AACC76" w14:textId="77777777" w:rsidR="00FF1739" w:rsidRPr="009F4777" w:rsidRDefault="00FF1739" w:rsidP="00E36A7E">
      <w:pPr>
        <w:tabs>
          <w:tab w:val="right" w:pos="8640"/>
          <w:tab w:val="right" w:pos="8640"/>
        </w:tabs>
        <w:spacing w:line="240" w:lineRule="auto"/>
        <w:ind w:firstLine="0"/>
        <w:rPr>
          <w:color w:val="000000" w:themeColor="text1"/>
        </w:rPr>
      </w:pPr>
    </w:p>
    <w:p w14:paraId="003351A9" w14:textId="1D18491B" w:rsidR="00C90849" w:rsidRPr="009F4777" w:rsidRDefault="00C90849" w:rsidP="00E36A7E">
      <w:pPr>
        <w:tabs>
          <w:tab w:val="right" w:pos="8640"/>
          <w:tab w:val="right" w:pos="8640"/>
        </w:tabs>
        <w:spacing w:line="240" w:lineRule="auto"/>
        <w:ind w:firstLine="0"/>
        <w:rPr>
          <w:color w:val="000000" w:themeColor="text1"/>
        </w:rPr>
      </w:pPr>
    </w:p>
    <w:p w14:paraId="108D186E" w14:textId="68F056C1" w:rsidR="00FF1739" w:rsidRPr="009F4777" w:rsidRDefault="00FF1739" w:rsidP="00E36A7E">
      <w:pPr>
        <w:tabs>
          <w:tab w:val="right" w:pos="8640"/>
          <w:tab w:val="right" w:pos="8640"/>
        </w:tabs>
        <w:spacing w:line="240" w:lineRule="auto"/>
        <w:ind w:firstLine="0"/>
        <w:rPr>
          <w:color w:val="000000" w:themeColor="text1"/>
        </w:rPr>
      </w:pPr>
      <w:r w:rsidRPr="009F4777">
        <w:rPr>
          <w:b/>
          <w:bCs/>
          <w:color w:val="000000" w:themeColor="text1"/>
        </w:rPr>
        <w:t>Source 1:</w:t>
      </w:r>
      <w:r w:rsidR="00C90849" w:rsidRPr="009F4777">
        <w:rPr>
          <w:b/>
          <w:bCs/>
          <w:color w:val="000000" w:themeColor="text1"/>
        </w:rPr>
        <w:t xml:space="preserve"> </w:t>
      </w:r>
      <w:r w:rsidR="00EF14CF" w:rsidRPr="009F4777">
        <w:rPr>
          <w:color w:val="000000" w:themeColor="text1"/>
        </w:rPr>
        <w:t>Gadamer, H.-G. (2004). Truth and Method (2nd ed.). Continuum. (Page XX</w:t>
      </w:r>
      <w:r w:rsidR="002D6FAA" w:rsidRPr="009F4777">
        <w:rPr>
          <w:color w:val="000000" w:themeColor="text1"/>
        </w:rPr>
        <w:t>-XXIV</w:t>
      </w:r>
      <w:r w:rsidR="00EF14CF" w:rsidRPr="009F4777">
        <w:rPr>
          <w:color w:val="000000" w:themeColor="text1"/>
        </w:rPr>
        <w:t>)</w:t>
      </w:r>
    </w:p>
    <w:p w14:paraId="638DAD95" w14:textId="77777777" w:rsidR="00C90849" w:rsidRPr="009F4777" w:rsidRDefault="00C90849" w:rsidP="00E36A7E">
      <w:pPr>
        <w:tabs>
          <w:tab w:val="right" w:pos="8640"/>
          <w:tab w:val="right" w:pos="8640"/>
        </w:tabs>
        <w:spacing w:line="240" w:lineRule="auto"/>
        <w:ind w:firstLine="0"/>
        <w:rPr>
          <w:color w:val="000000" w:themeColor="text1"/>
        </w:rPr>
      </w:pPr>
    </w:p>
    <w:p w14:paraId="0D6F4364" w14:textId="77777777" w:rsidR="006D3F6F" w:rsidRPr="009F4777" w:rsidRDefault="006D3F6F" w:rsidP="006D3F6F">
      <w:pPr>
        <w:tabs>
          <w:tab w:val="right" w:pos="8640"/>
          <w:tab w:val="right" w:pos="8640"/>
        </w:tabs>
        <w:spacing w:line="240" w:lineRule="auto"/>
        <w:ind w:left="8640" w:hanging="8640"/>
        <w:rPr>
          <w:b/>
          <w:bCs/>
          <w:color w:val="000000" w:themeColor="text1"/>
        </w:rPr>
      </w:pPr>
    </w:p>
    <w:p w14:paraId="6F59587D" w14:textId="60FEBABD" w:rsidR="008A0D85" w:rsidRPr="009F4777" w:rsidRDefault="008A0D85" w:rsidP="00FB1D55">
      <w:pPr>
        <w:tabs>
          <w:tab w:val="left" w:pos="1440"/>
          <w:tab w:val="right" w:pos="2880"/>
          <w:tab w:val="right" w:pos="8640"/>
          <w:tab w:val="right" w:pos="8640"/>
        </w:tabs>
        <w:ind w:firstLine="0"/>
        <w:rPr>
          <w:b/>
          <w:bCs/>
          <w:color w:val="000000" w:themeColor="text1"/>
        </w:rPr>
      </w:pPr>
      <w:r w:rsidRPr="009F4777">
        <w:rPr>
          <w:b/>
          <w:bCs/>
          <w:color w:val="000000" w:themeColor="text1"/>
        </w:rPr>
        <w:t>Comment 1:</w:t>
      </w:r>
    </w:p>
    <w:p w14:paraId="5E41D944" w14:textId="7A88066A" w:rsidR="00DB0F07" w:rsidRPr="009F4777" w:rsidRDefault="007C5DB4" w:rsidP="00C13A05">
      <w:pPr>
        <w:tabs>
          <w:tab w:val="left" w:pos="1440"/>
          <w:tab w:val="right" w:pos="2880"/>
          <w:tab w:val="right" w:pos="8640"/>
          <w:tab w:val="right" w:pos="8640"/>
        </w:tabs>
        <w:ind w:firstLine="0"/>
        <w:rPr>
          <w:color w:val="000000" w:themeColor="text1"/>
        </w:rPr>
      </w:pPr>
      <w:r w:rsidRPr="009F4777">
        <w:rPr>
          <w:b/>
          <w:bCs/>
          <w:color w:val="000000" w:themeColor="text1"/>
        </w:rPr>
        <w:tab/>
      </w:r>
      <w:r w:rsidR="00DB0F07" w:rsidRPr="009F4777">
        <w:rPr>
          <w:b/>
          <w:bCs/>
          <w:color w:val="000000" w:themeColor="text1"/>
        </w:rPr>
        <w:t xml:space="preserve">Quote/ Paraphrase: </w:t>
      </w:r>
    </w:p>
    <w:p w14:paraId="5873A142" w14:textId="533A560C" w:rsidR="00FB1D55" w:rsidRPr="009F4777" w:rsidRDefault="00FB1D55" w:rsidP="00C13A05">
      <w:pPr>
        <w:tabs>
          <w:tab w:val="clear" w:pos="8640"/>
          <w:tab w:val="left" w:pos="1440"/>
          <w:tab w:val="left" w:pos="2569"/>
        </w:tabs>
        <w:ind w:firstLine="0"/>
        <w:rPr>
          <w:color w:val="000000" w:themeColor="text1"/>
        </w:rPr>
      </w:pPr>
      <w:r w:rsidRPr="009F4777">
        <w:rPr>
          <w:color w:val="000000" w:themeColor="text1"/>
        </w:rPr>
        <w:t>"Understanding is always the result of a fusion of horizons, where the interpreter's own horizon intersects with that of the text or phenomenon being interpreted" (Gadamer, 1989, p. XX).</w:t>
      </w:r>
    </w:p>
    <w:p w14:paraId="529A4327" w14:textId="20EF0AE3" w:rsidR="00533F7B"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r>
      <w:r w:rsidR="00533F7B" w:rsidRPr="009F4777">
        <w:rPr>
          <w:b/>
          <w:bCs/>
          <w:color w:val="000000" w:themeColor="text1"/>
        </w:rPr>
        <w:t>Essential Element:</w:t>
      </w:r>
    </w:p>
    <w:p w14:paraId="5B7E1179" w14:textId="62D8DCEC" w:rsidR="00C13A05" w:rsidRPr="009F4777" w:rsidRDefault="00524532" w:rsidP="00C13A05">
      <w:pPr>
        <w:tabs>
          <w:tab w:val="clear" w:pos="8640"/>
          <w:tab w:val="left" w:pos="1440"/>
          <w:tab w:val="left" w:pos="2569"/>
        </w:tabs>
        <w:ind w:firstLine="0"/>
        <w:rPr>
          <w:color w:val="000000" w:themeColor="text1"/>
        </w:rPr>
      </w:pPr>
      <w:r w:rsidRPr="009F4777">
        <w:rPr>
          <w:color w:val="000000" w:themeColor="text1"/>
        </w:rPr>
        <w:t>The concept involves a fusion of horizons and dynamic interpretation.</w:t>
      </w:r>
    </w:p>
    <w:p w14:paraId="4515BB11" w14:textId="0D815E71" w:rsidR="008A0D8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r>
      <w:r w:rsidR="008A0D85" w:rsidRPr="009F4777">
        <w:rPr>
          <w:b/>
          <w:bCs/>
          <w:color w:val="000000" w:themeColor="text1"/>
        </w:rPr>
        <w:t>Addi</w:t>
      </w:r>
      <w:r w:rsidR="00C36CB3" w:rsidRPr="009F4777">
        <w:rPr>
          <w:b/>
          <w:bCs/>
          <w:color w:val="000000" w:themeColor="text1"/>
        </w:rPr>
        <w:t>tive/ Variant Analysis:</w:t>
      </w:r>
      <w:r w:rsidR="00C36CB3" w:rsidRPr="009F4777">
        <w:rPr>
          <w:color w:val="000000" w:themeColor="text1"/>
        </w:rPr>
        <w:t xml:space="preserve"> </w:t>
      </w:r>
    </w:p>
    <w:p w14:paraId="26EEE382" w14:textId="4395C518" w:rsidR="00C13A05" w:rsidRPr="009F4777" w:rsidRDefault="00645B58" w:rsidP="00C13A05">
      <w:pPr>
        <w:tabs>
          <w:tab w:val="clear" w:pos="8640"/>
          <w:tab w:val="left" w:pos="1440"/>
          <w:tab w:val="left" w:pos="2569"/>
        </w:tabs>
        <w:ind w:firstLine="0"/>
        <w:rPr>
          <w:color w:val="000000" w:themeColor="text1"/>
        </w:rPr>
      </w:pPr>
      <w:r w:rsidRPr="009F4777">
        <w:rPr>
          <w:color w:val="000000" w:themeColor="text1"/>
        </w:rPr>
        <w:t>Gadamer's concept of the fusion of horizons suggests that interpretation is not a passive process but rather an active engagement where the interpreter's perspective interacts with the text or phenomenon being interpreted. This adds depth to our understanding of policy change by highlighting the role of interpretation in shaping how policies are understood and implemented.</w:t>
      </w:r>
    </w:p>
    <w:p w14:paraId="5812205C" w14:textId="3710BC77" w:rsidR="006D3F6F"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r>
      <w:r w:rsidR="006D3F6F" w:rsidRPr="009F4777">
        <w:rPr>
          <w:b/>
          <w:bCs/>
          <w:color w:val="000000" w:themeColor="text1"/>
        </w:rPr>
        <w:t>Contextualization:</w:t>
      </w:r>
      <w:r w:rsidR="006D3F6F" w:rsidRPr="009F4777">
        <w:rPr>
          <w:color w:val="000000" w:themeColor="text1"/>
        </w:rPr>
        <w:t xml:space="preserve"> </w:t>
      </w:r>
    </w:p>
    <w:p w14:paraId="72708D6E" w14:textId="7C95E593" w:rsidR="00645B58" w:rsidRPr="009F4777" w:rsidRDefault="007770AA" w:rsidP="00C13A05">
      <w:pPr>
        <w:tabs>
          <w:tab w:val="clear" w:pos="8640"/>
          <w:tab w:val="left" w:pos="1440"/>
          <w:tab w:val="left" w:pos="2569"/>
        </w:tabs>
        <w:ind w:firstLine="0"/>
        <w:rPr>
          <w:color w:val="000000" w:themeColor="text1"/>
        </w:rPr>
      </w:pPr>
      <w:r w:rsidRPr="009F4777">
        <w:rPr>
          <w:color w:val="000000" w:themeColor="text1"/>
        </w:rPr>
        <w:t xml:space="preserve">Gadamer's insights hold </w:t>
      </w:r>
      <w:r w:rsidR="0000075C" w:rsidRPr="009F4777">
        <w:rPr>
          <w:color w:val="000000" w:themeColor="text1"/>
        </w:rPr>
        <w:t>relevance</w:t>
      </w:r>
      <w:r w:rsidRPr="009F4777">
        <w:rPr>
          <w:color w:val="000000" w:themeColor="text1"/>
        </w:rPr>
        <w:t xml:space="preserve"> for policymakers and advocates navigating the complexities of policy change. By acknowledging the dynamic nature of interpretation, practitioners can approach policy analysis and advocacy with a deeper appreciation for the multitude of perspectives and experiences held by stakeholders. This understanding enriches the policymaking process, fostering more inclusive and effective strategies that account for diverse viewpoints and meanings.</w:t>
      </w:r>
    </w:p>
    <w:p w14:paraId="10060997" w14:textId="77777777" w:rsidR="007770AA" w:rsidRDefault="007770AA" w:rsidP="00C13A05">
      <w:pPr>
        <w:tabs>
          <w:tab w:val="right" w:pos="8640"/>
          <w:tab w:val="right" w:pos="8640"/>
        </w:tabs>
        <w:spacing w:line="240" w:lineRule="auto"/>
        <w:ind w:firstLine="0"/>
        <w:rPr>
          <w:b/>
          <w:bCs/>
          <w:color w:val="000000" w:themeColor="text1"/>
        </w:rPr>
      </w:pPr>
    </w:p>
    <w:p w14:paraId="79D45C5C" w14:textId="77777777" w:rsidR="009F4777" w:rsidRPr="009F4777" w:rsidRDefault="009F4777" w:rsidP="00C13A05">
      <w:pPr>
        <w:tabs>
          <w:tab w:val="right" w:pos="8640"/>
          <w:tab w:val="right" w:pos="8640"/>
        </w:tabs>
        <w:spacing w:line="240" w:lineRule="auto"/>
        <w:ind w:firstLine="0"/>
        <w:rPr>
          <w:b/>
          <w:bCs/>
          <w:color w:val="000000" w:themeColor="text1"/>
        </w:rPr>
      </w:pPr>
    </w:p>
    <w:p w14:paraId="77BD4D0C" w14:textId="77777777" w:rsidR="007770AA" w:rsidRPr="009F4777" w:rsidRDefault="007770AA" w:rsidP="00C13A05">
      <w:pPr>
        <w:tabs>
          <w:tab w:val="right" w:pos="8640"/>
          <w:tab w:val="right" w:pos="8640"/>
        </w:tabs>
        <w:spacing w:line="240" w:lineRule="auto"/>
        <w:ind w:firstLine="0"/>
        <w:rPr>
          <w:b/>
          <w:bCs/>
          <w:color w:val="000000" w:themeColor="text1"/>
        </w:rPr>
      </w:pPr>
    </w:p>
    <w:p w14:paraId="5952FF1D" w14:textId="52AAA65E"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lastRenderedPageBreak/>
        <w:t xml:space="preserve">Source 2: </w:t>
      </w:r>
    </w:p>
    <w:p w14:paraId="2786F1CC" w14:textId="74A94298" w:rsidR="00C13A05" w:rsidRDefault="003F1B1A" w:rsidP="009F4777">
      <w:pPr>
        <w:tabs>
          <w:tab w:val="right" w:pos="8640"/>
          <w:tab w:val="right" w:pos="8640"/>
        </w:tabs>
        <w:spacing w:line="240" w:lineRule="auto"/>
        <w:ind w:firstLine="0"/>
        <w:rPr>
          <w:color w:val="000000" w:themeColor="text1"/>
        </w:rPr>
      </w:pPr>
      <w:r w:rsidRPr="009F4777">
        <w:rPr>
          <w:color w:val="000000" w:themeColor="text1"/>
        </w:rPr>
        <w:t>Yanow, D., &amp; Schwartz-Shea, P. (2014). Interpretation and Method: Empirical Research Methods and the Interpretive Turn (p. XX). Routledge.</w:t>
      </w:r>
    </w:p>
    <w:p w14:paraId="134AE944" w14:textId="77777777" w:rsidR="009F4777" w:rsidRPr="009F4777" w:rsidRDefault="009F4777" w:rsidP="009F4777">
      <w:pPr>
        <w:tabs>
          <w:tab w:val="right" w:pos="8640"/>
          <w:tab w:val="right" w:pos="8640"/>
        </w:tabs>
        <w:spacing w:line="240" w:lineRule="auto"/>
        <w:ind w:firstLine="0"/>
        <w:rPr>
          <w:color w:val="000000" w:themeColor="text1"/>
        </w:rPr>
      </w:pPr>
    </w:p>
    <w:p w14:paraId="62FE7C5B" w14:textId="43216882" w:rsidR="00C13A05" w:rsidRPr="009F4777" w:rsidRDefault="00C13A05" w:rsidP="002E7A94">
      <w:pPr>
        <w:tabs>
          <w:tab w:val="left" w:pos="1440"/>
          <w:tab w:val="right" w:pos="2880"/>
          <w:tab w:val="right" w:pos="8640"/>
          <w:tab w:val="right" w:pos="8640"/>
        </w:tabs>
        <w:ind w:firstLine="0"/>
        <w:rPr>
          <w:b/>
          <w:bCs/>
          <w:color w:val="000000" w:themeColor="text1"/>
        </w:rPr>
      </w:pPr>
      <w:r w:rsidRPr="009F4777">
        <w:rPr>
          <w:b/>
          <w:bCs/>
          <w:color w:val="000000" w:themeColor="text1"/>
        </w:rPr>
        <w:t>Comment 2:</w:t>
      </w:r>
    </w:p>
    <w:p w14:paraId="57F587D9"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0169730B" w14:textId="07670807" w:rsidR="00C13A05" w:rsidRPr="009F4777" w:rsidRDefault="00D02DDC" w:rsidP="00C13A05">
      <w:pPr>
        <w:tabs>
          <w:tab w:val="clear" w:pos="8640"/>
          <w:tab w:val="left" w:pos="1440"/>
          <w:tab w:val="left" w:pos="2569"/>
        </w:tabs>
        <w:ind w:firstLine="0"/>
        <w:rPr>
          <w:color w:val="000000" w:themeColor="text1"/>
        </w:rPr>
      </w:pPr>
      <w:r w:rsidRPr="009F4777">
        <w:rPr>
          <w:color w:val="000000" w:themeColor="text1"/>
        </w:rPr>
        <w:t>"Interpretive research methods offer a means of uncovering the multiple meanings embedded in policy texts and practices, shedding light on the complexities of policymaking processes" (Yanow &amp; Schwartz-Shea, 2014).</w:t>
      </w:r>
    </w:p>
    <w:p w14:paraId="456F0CFE"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50523541" w14:textId="73589373" w:rsidR="00C13A05" w:rsidRPr="009F4777" w:rsidRDefault="0036646B" w:rsidP="00C13A05">
      <w:pPr>
        <w:tabs>
          <w:tab w:val="clear" w:pos="8640"/>
          <w:tab w:val="left" w:pos="1440"/>
          <w:tab w:val="left" w:pos="2569"/>
        </w:tabs>
        <w:ind w:firstLine="0"/>
        <w:rPr>
          <w:color w:val="000000" w:themeColor="text1"/>
        </w:rPr>
      </w:pPr>
      <w:r w:rsidRPr="009F4777">
        <w:rPr>
          <w:color w:val="000000" w:themeColor="text1"/>
        </w:rPr>
        <w:t xml:space="preserve">The essential element for this comment is interpretive research methods and different means. </w:t>
      </w:r>
    </w:p>
    <w:p w14:paraId="7CD1E0C4"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1AA8BD76" w14:textId="6386833B" w:rsidR="00C13A05" w:rsidRPr="009F4777" w:rsidRDefault="002E7A94" w:rsidP="00C13A05">
      <w:pPr>
        <w:tabs>
          <w:tab w:val="clear" w:pos="8640"/>
          <w:tab w:val="left" w:pos="1440"/>
          <w:tab w:val="left" w:pos="2569"/>
        </w:tabs>
        <w:ind w:firstLine="0"/>
        <w:rPr>
          <w:color w:val="000000" w:themeColor="text1"/>
        </w:rPr>
      </w:pPr>
      <w:r w:rsidRPr="009F4777">
        <w:rPr>
          <w:color w:val="000000" w:themeColor="text1"/>
        </w:rPr>
        <w:t>Yanow and Schwartz-Shea's emphasis on interpretive research methods adds depth to our understanding of policy analysis by highlighting the value of qualitative approaches in uncovering the complexities of policymaking processes. This variant perspective suggests that interpretive methods offer unique insights into the meanings and interpretations that shape policy decisions and outcomes.</w:t>
      </w:r>
    </w:p>
    <w:p w14:paraId="56790DE4"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690CCB9E" w14:textId="6AAD38AC" w:rsidR="00A5117E" w:rsidRPr="009F4777" w:rsidRDefault="00A5117E" w:rsidP="00C13A05">
      <w:pPr>
        <w:tabs>
          <w:tab w:val="clear" w:pos="8640"/>
          <w:tab w:val="left" w:pos="1440"/>
          <w:tab w:val="left" w:pos="2569"/>
        </w:tabs>
        <w:ind w:firstLine="0"/>
        <w:rPr>
          <w:color w:val="000000" w:themeColor="text1"/>
        </w:rPr>
      </w:pPr>
      <w:r w:rsidRPr="009F4777">
        <w:rPr>
          <w:color w:val="000000" w:themeColor="text1"/>
        </w:rPr>
        <w:t>Yanow and Schwartz-Shea's insights are particularly relevant for policymakers and advocates seeking to conduct in-depth analyses of policy processes. By employing interpretive research methods, practitioners can gain a richer understanding of the diverse perspectives and meanings at play in policymaking, informing more nuanced and effective advocacy strategies. This contextualization underscores the importance of employing such methods within the policymaking arena, where a deep understanding of the intricate dynamics of policy processes is essential for effective decision-making and advocacy efforts.</w:t>
      </w:r>
    </w:p>
    <w:p w14:paraId="696E420D" w14:textId="5108FB60"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lastRenderedPageBreak/>
        <w:t xml:space="preserve">Source 3: </w:t>
      </w:r>
    </w:p>
    <w:p w14:paraId="17E8FD2F" w14:textId="77777777" w:rsidR="00CB69B5" w:rsidRPr="009F4777" w:rsidRDefault="00CB69B5" w:rsidP="00CB69B5">
      <w:pPr>
        <w:tabs>
          <w:tab w:val="clear" w:pos="8640"/>
        </w:tabs>
        <w:suppressAutoHyphens w:val="0"/>
        <w:autoSpaceDE/>
        <w:autoSpaceDN/>
        <w:spacing w:line="240" w:lineRule="auto"/>
        <w:ind w:firstLine="0"/>
        <w:rPr>
          <w:color w:val="000000" w:themeColor="text1"/>
        </w:rPr>
      </w:pPr>
      <w:r w:rsidRPr="009F4777">
        <w:rPr>
          <w:color w:val="000000" w:themeColor="text1"/>
          <w:shd w:val="clear" w:color="auto" w:fill="FFFFFF"/>
        </w:rPr>
        <w:t xml:space="preserve">Ernst, A. (2019). Review of factors influencing social learning within participatory environmental governance. Ecology and Society, 24(1). </w:t>
      </w:r>
      <w:hyperlink r:id="rId8" w:history="1">
        <w:r w:rsidRPr="009F4777">
          <w:rPr>
            <w:color w:val="000000" w:themeColor="text1"/>
            <w:u w:val="single"/>
            <w:shd w:val="clear" w:color="auto" w:fill="FFFFFF"/>
          </w:rPr>
          <w:t>https://www.jstor.org/stable/26796921</w:t>
        </w:r>
      </w:hyperlink>
    </w:p>
    <w:p w14:paraId="14199EC5" w14:textId="77777777" w:rsidR="00C13A05" w:rsidRPr="009F4777" w:rsidRDefault="00C13A05" w:rsidP="00C13A05">
      <w:pPr>
        <w:tabs>
          <w:tab w:val="right" w:pos="8640"/>
          <w:tab w:val="right" w:pos="8640"/>
        </w:tabs>
        <w:spacing w:line="240" w:lineRule="auto"/>
        <w:ind w:left="8640" w:hanging="8640"/>
        <w:rPr>
          <w:b/>
          <w:bCs/>
          <w:color w:val="000000" w:themeColor="text1"/>
        </w:rPr>
      </w:pPr>
    </w:p>
    <w:p w14:paraId="54CE95F0" w14:textId="1DC83239" w:rsidR="00C13A05" w:rsidRPr="009F4777" w:rsidRDefault="00C13A05" w:rsidP="00A86998">
      <w:pPr>
        <w:tabs>
          <w:tab w:val="left" w:pos="1440"/>
          <w:tab w:val="right" w:pos="2880"/>
          <w:tab w:val="right" w:pos="8640"/>
          <w:tab w:val="right" w:pos="8640"/>
        </w:tabs>
        <w:ind w:firstLine="0"/>
        <w:rPr>
          <w:b/>
          <w:bCs/>
          <w:color w:val="000000" w:themeColor="text1"/>
        </w:rPr>
      </w:pPr>
      <w:r w:rsidRPr="009F4777">
        <w:rPr>
          <w:b/>
          <w:bCs/>
          <w:color w:val="000000" w:themeColor="text1"/>
        </w:rPr>
        <w:t>Comment 3:</w:t>
      </w:r>
    </w:p>
    <w:p w14:paraId="145B0476"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02C6E868" w14:textId="4CCAFFFA" w:rsidR="00C13A05" w:rsidRPr="009F4777" w:rsidRDefault="00A86998" w:rsidP="00C13A05">
      <w:pPr>
        <w:tabs>
          <w:tab w:val="clear" w:pos="8640"/>
          <w:tab w:val="left" w:pos="1440"/>
          <w:tab w:val="left" w:pos="2569"/>
        </w:tabs>
        <w:ind w:firstLine="0"/>
        <w:rPr>
          <w:color w:val="000000" w:themeColor="text1"/>
        </w:rPr>
      </w:pPr>
      <w:r w:rsidRPr="009F4777">
        <w:rPr>
          <w:color w:val="000000" w:themeColor="text1"/>
        </w:rPr>
        <w:t>"Social learning within participatory environmental governance is characterized by stakeholders acquiring new knowledge, skills, and attitudes through interaction and collaboration" (Ernst, 2019, p. 2-24).</w:t>
      </w:r>
    </w:p>
    <w:p w14:paraId="23CE807A"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1AAFA142" w14:textId="4C35B68F" w:rsidR="002B40B4" w:rsidRPr="009F4777" w:rsidRDefault="002B40B4" w:rsidP="00C13A05">
      <w:pPr>
        <w:tabs>
          <w:tab w:val="clear" w:pos="8640"/>
          <w:tab w:val="left" w:pos="1440"/>
          <w:tab w:val="left" w:pos="2569"/>
        </w:tabs>
        <w:ind w:firstLine="0"/>
        <w:rPr>
          <w:color w:val="000000" w:themeColor="text1"/>
        </w:rPr>
      </w:pPr>
      <w:r w:rsidRPr="009F4777">
        <w:rPr>
          <w:color w:val="000000" w:themeColor="text1"/>
        </w:rPr>
        <w:t>The article primarily examines the essential elements of social learning, encompassing the process through which individuals or groups acquire new knowledge, skills, and attitudes through interaction and collaboration, within the framework of participatory environmental governance, which entails the active engagement of diverse stakeholders in decision-making processes concerning environmental issues.</w:t>
      </w:r>
    </w:p>
    <w:p w14:paraId="20E3C331"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25F102D4" w14:textId="77777777" w:rsidR="00A70102" w:rsidRPr="009F4777" w:rsidRDefault="00A70102" w:rsidP="00A70102">
      <w:pPr>
        <w:tabs>
          <w:tab w:val="clear" w:pos="8640"/>
          <w:tab w:val="left" w:pos="1440"/>
          <w:tab w:val="left" w:pos="2569"/>
        </w:tabs>
        <w:ind w:firstLine="0"/>
        <w:rPr>
          <w:color w:val="000000" w:themeColor="text1"/>
        </w:rPr>
      </w:pPr>
      <w:r w:rsidRPr="009F4777">
        <w:rPr>
          <w:color w:val="000000" w:themeColor="text1"/>
        </w:rPr>
        <w:t>The article offers an additive analysis, delving into various dimensions of social learning to provide a comprehensive understanding of the phenomenon. It explores how factors like institutional structures, communication channels, stakeholder engagement processes, power dynamics, and cultural contexts influence social learning outcomes within participatory environmental governance frameworks. Furthermore, it discusses different approaches or models for fostering social learning within participatory environmental governance, highlighting both successful strategies and challenges encountered, thus enriching our understanding of effective practices in environmental decision-making processes.</w:t>
      </w:r>
    </w:p>
    <w:p w14:paraId="5CC3ECC4" w14:textId="77777777" w:rsidR="00C13A05" w:rsidRPr="009F4777" w:rsidRDefault="00C13A05" w:rsidP="00C13A05">
      <w:pPr>
        <w:tabs>
          <w:tab w:val="clear" w:pos="8640"/>
          <w:tab w:val="left" w:pos="1440"/>
          <w:tab w:val="left" w:pos="2569"/>
        </w:tabs>
        <w:ind w:firstLine="0"/>
        <w:rPr>
          <w:color w:val="000000" w:themeColor="text1"/>
        </w:rPr>
      </w:pPr>
    </w:p>
    <w:p w14:paraId="635EFD5B"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lastRenderedPageBreak/>
        <w:tab/>
        <w:t>Contextualization:</w:t>
      </w:r>
      <w:r w:rsidRPr="009F4777">
        <w:rPr>
          <w:color w:val="000000" w:themeColor="text1"/>
        </w:rPr>
        <w:t xml:space="preserve"> </w:t>
      </w:r>
    </w:p>
    <w:p w14:paraId="67B043EF" w14:textId="076B686A" w:rsidR="00A70102" w:rsidRPr="009F4777" w:rsidRDefault="00F904CC" w:rsidP="00C13A05">
      <w:pPr>
        <w:tabs>
          <w:tab w:val="clear" w:pos="8640"/>
          <w:tab w:val="left" w:pos="1440"/>
          <w:tab w:val="left" w:pos="2569"/>
        </w:tabs>
        <w:ind w:firstLine="0"/>
        <w:rPr>
          <w:color w:val="000000" w:themeColor="text1"/>
        </w:rPr>
      </w:pPr>
      <w:r w:rsidRPr="009F4777">
        <w:rPr>
          <w:color w:val="000000" w:themeColor="text1"/>
        </w:rPr>
        <w:t>The article contextualizes its discussion within the broader literature on environmental governance, social learning theories, and participatory decision-making processes. It may incorporate case studies or examples to demonstrate the practical application of social learning in environmental governance contexts. Additionally, the article highlights the significance of its findings for policymakers, practitioners, and researchers engaged in environmental management and governance endeavors.</w:t>
      </w:r>
    </w:p>
    <w:p w14:paraId="5509E6CD" w14:textId="0EA13927"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t xml:space="preserve">Source 4: </w:t>
      </w:r>
    </w:p>
    <w:p w14:paraId="5E10B130" w14:textId="77777777" w:rsidR="0078664E" w:rsidRPr="009F4777" w:rsidRDefault="0078664E" w:rsidP="00C13A05">
      <w:pPr>
        <w:tabs>
          <w:tab w:val="right" w:pos="8640"/>
          <w:tab w:val="right" w:pos="8640"/>
        </w:tabs>
        <w:spacing w:line="240" w:lineRule="auto"/>
        <w:ind w:firstLine="0"/>
        <w:rPr>
          <w:color w:val="000000" w:themeColor="text1"/>
        </w:rPr>
      </w:pPr>
    </w:p>
    <w:p w14:paraId="77E83776" w14:textId="6A948073" w:rsidR="00C13A05" w:rsidRPr="009F4777" w:rsidRDefault="0078664E" w:rsidP="00C13A05">
      <w:pPr>
        <w:tabs>
          <w:tab w:val="right" w:pos="8640"/>
          <w:tab w:val="right" w:pos="8640"/>
        </w:tabs>
        <w:spacing w:line="240" w:lineRule="auto"/>
        <w:ind w:firstLine="0"/>
        <w:rPr>
          <w:color w:val="000000" w:themeColor="text1"/>
        </w:rPr>
      </w:pPr>
      <w:r w:rsidRPr="009F4777">
        <w:rPr>
          <w:color w:val="000000" w:themeColor="text1"/>
        </w:rPr>
        <w:t xml:space="preserve">Feindt, P. H., &amp; Weiland, S. (2018). Reflexive governance: exploring the concept and assessing its critical potential for sustainable development. Introduction to the special issue. Journal of Environmental Policy &amp; Planning, 20(6), 661-674. </w:t>
      </w:r>
      <w:hyperlink r:id="rId9" w:history="1">
        <w:r w:rsidRPr="009F4777">
          <w:rPr>
            <w:rStyle w:val="Hyperlink"/>
            <w:color w:val="000000" w:themeColor="text1"/>
          </w:rPr>
          <w:t>https://doi.org/10.1080/1523908X.2018.1532562</w:t>
        </w:r>
      </w:hyperlink>
    </w:p>
    <w:p w14:paraId="22A4A6C6" w14:textId="77777777" w:rsidR="00C13A05" w:rsidRPr="009F4777" w:rsidRDefault="00C13A05" w:rsidP="0078664E">
      <w:pPr>
        <w:tabs>
          <w:tab w:val="right" w:pos="8640"/>
          <w:tab w:val="right" w:pos="8640"/>
        </w:tabs>
        <w:spacing w:line="240" w:lineRule="auto"/>
        <w:ind w:firstLine="0"/>
        <w:rPr>
          <w:b/>
          <w:bCs/>
          <w:color w:val="000000" w:themeColor="text1"/>
        </w:rPr>
      </w:pPr>
    </w:p>
    <w:p w14:paraId="64040BB0" w14:textId="02FAADDA" w:rsidR="00C13A05" w:rsidRPr="009F4777" w:rsidRDefault="00C13A05" w:rsidP="0078664E">
      <w:pPr>
        <w:tabs>
          <w:tab w:val="left" w:pos="1440"/>
          <w:tab w:val="right" w:pos="2880"/>
          <w:tab w:val="right" w:pos="8640"/>
          <w:tab w:val="right" w:pos="8640"/>
        </w:tabs>
        <w:ind w:firstLine="0"/>
        <w:rPr>
          <w:b/>
          <w:bCs/>
          <w:color w:val="000000" w:themeColor="text1"/>
        </w:rPr>
      </w:pPr>
      <w:r w:rsidRPr="009F4777">
        <w:rPr>
          <w:b/>
          <w:bCs/>
          <w:color w:val="000000" w:themeColor="text1"/>
        </w:rPr>
        <w:t>Comment 4:</w:t>
      </w:r>
    </w:p>
    <w:p w14:paraId="0A413EED"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0417B15D" w14:textId="51E5FAA6" w:rsidR="00C13A05" w:rsidRPr="009F4777" w:rsidRDefault="00115811" w:rsidP="00C13A05">
      <w:pPr>
        <w:tabs>
          <w:tab w:val="clear" w:pos="8640"/>
          <w:tab w:val="left" w:pos="1440"/>
          <w:tab w:val="left" w:pos="2569"/>
        </w:tabs>
        <w:ind w:firstLine="0"/>
        <w:rPr>
          <w:color w:val="000000" w:themeColor="text1"/>
        </w:rPr>
      </w:pPr>
      <w:r w:rsidRPr="009F4777">
        <w:rPr>
          <w:color w:val="000000" w:themeColor="text1"/>
        </w:rPr>
        <w:t xml:space="preserve">"Reflexive governance encourages policymakers and stakeholders to engage in ongoing dialogue and self-reflection, promoting transparency, accountability, and participatory </w:t>
      </w:r>
      <w:proofErr w:type="gramStart"/>
      <w:r w:rsidRPr="009F4777">
        <w:rPr>
          <w:color w:val="000000" w:themeColor="text1"/>
        </w:rPr>
        <w:t>decision-making</w:t>
      </w:r>
      <w:proofErr w:type="gramEnd"/>
      <w:r w:rsidRPr="009F4777">
        <w:rPr>
          <w:color w:val="000000" w:themeColor="text1"/>
        </w:rPr>
        <w:t>"</w:t>
      </w:r>
    </w:p>
    <w:p w14:paraId="1BFBF728"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2C45801D" w14:textId="73DBB9A4" w:rsidR="00C13A05" w:rsidRPr="009F4777" w:rsidRDefault="00F248B5" w:rsidP="00C13A05">
      <w:pPr>
        <w:tabs>
          <w:tab w:val="clear" w:pos="8640"/>
          <w:tab w:val="left" w:pos="1440"/>
          <w:tab w:val="left" w:pos="2569"/>
        </w:tabs>
        <w:ind w:firstLine="0"/>
        <w:rPr>
          <w:color w:val="000000" w:themeColor="text1"/>
        </w:rPr>
      </w:pPr>
      <w:r w:rsidRPr="009F4777">
        <w:rPr>
          <w:color w:val="000000" w:themeColor="text1"/>
        </w:rPr>
        <w:t>The esse</w:t>
      </w:r>
      <w:r w:rsidR="00D26CFF" w:rsidRPr="009F4777">
        <w:rPr>
          <w:color w:val="000000" w:themeColor="text1"/>
        </w:rPr>
        <w:t xml:space="preserve">ntial element of this source is reflective governance, dialogue, and participatory decision-making. </w:t>
      </w:r>
    </w:p>
    <w:p w14:paraId="0150B66D"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10731791" w14:textId="7EE15973" w:rsidR="00C13A05" w:rsidRPr="009F4777" w:rsidRDefault="00DC5DBE" w:rsidP="00C13A05">
      <w:pPr>
        <w:tabs>
          <w:tab w:val="clear" w:pos="8640"/>
          <w:tab w:val="left" w:pos="1440"/>
          <w:tab w:val="left" w:pos="2569"/>
        </w:tabs>
        <w:ind w:firstLine="0"/>
        <w:rPr>
          <w:color w:val="000000" w:themeColor="text1"/>
        </w:rPr>
      </w:pPr>
      <w:r w:rsidRPr="009F4777">
        <w:rPr>
          <w:color w:val="000000" w:themeColor="text1"/>
        </w:rPr>
        <w:t xml:space="preserve">Additive/Variant Analysis: Feindt's concept of reflexive governance enriches our understanding of policy advocacy by emphasizing reflexivity and dialogue as crucial components of effective governance practices. This variant perspective suggests that reflexive governance has the </w:t>
      </w:r>
      <w:r w:rsidRPr="009F4777">
        <w:rPr>
          <w:color w:val="000000" w:themeColor="text1"/>
        </w:rPr>
        <w:lastRenderedPageBreak/>
        <w:t>potential to improve the transparency, accountability, and legitimacy of policymaking processes, ultimately fostering greater public trust and engagement.</w:t>
      </w:r>
    </w:p>
    <w:p w14:paraId="2A5BD059"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04D657C9" w14:textId="12C350D4" w:rsidR="00C13A05" w:rsidRPr="009F4777" w:rsidRDefault="006313E0" w:rsidP="00C13A05">
      <w:pPr>
        <w:tabs>
          <w:tab w:val="clear" w:pos="8640"/>
          <w:tab w:val="left" w:pos="1440"/>
          <w:tab w:val="left" w:pos="2569"/>
        </w:tabs>
        <w:ind w:firstLine="0"/>
        <w:rPr>
          <w:color w:val="000000" w:themeColor="text1"/>
        </w:rPr>
      </w:pPr>
      <w:r w:rsidRPr="009F4777">
        <w:rPr>
          <w:color w:val="000000" w:themeColor="text1"/>
        </w:rPr>
        <w:t>Contextualization: Feindt’s insights hold significant implications for policymakers and advocates aiming to advance more inclusive and responsive governance practices. Embracing reflexive governance principles can cultivate a culture of dialogue and collaboration among practitioners, thereby promoting more participatory and equitable decision-making processes.</w:t>
      </w:r>
    </w:p>
    <w:p w14:paraId="3B5A0C4F" w14:textId="14FCF4D8"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t xml:space="preserve">Source 5: </w:t>
      </w:r>
    </w:p>
    <w:p w14:paraId="0896F9F6" w14:textId="1334C6E4" w:rsidR="00C13A05" w:rsidRPr="009F4777" w:rsidRDefault="00B643BD" w:rsidP="00C13A05">
      <w:pPr>
        <w:tabs>
          <w:tab w:val="right" w:pos="8640"/>
          <w:tab w:val="right" w:pos="8640"/>
        </w:tabs>
        <w:spacing w:line="240" w:lineRule="auto"/>
        <w:ind w:firstLine="0"/>
        <w:rPr>
          <w:color w:val="000000" w:themeColor="text1"/>
        </w:rPr>
      </w:pPr>
      <w:r w:rsidRPr="009F4777">
        <w:rPr>
          <w:color w:val="000000" w:themeColor="text1"/>
        </w:rPr>
        <w:t>Pelz, B. (2021). Interpretive Research. In Pelz, B. (Ed.), Research Methods for the Social Sciences (pp. pages of Chapter 12). Herkimer College / SUNY.</w:t>
      </w:r>
    </w:p>
    <w:p w14:paraId="22FFFBE1" w14:textId="77777777" w:rsidR="00C13A05" w:rsidRPr="009F4777" w:rsidRDefault="00C13A05" w:rsidP="00C13A05">
      <w:pPr>
        <w:tabs>
          <w:tab w:val="right" w:pos="8640"/>
          <w:tab w:val="right" w:pos="8640"/>
        </w:tabs>
        <w:spacing w:line="240" w:lineRule="auto"/>
        <w:ind w:left="8640" w:hanging="8640"/>
        <w:rPr>
          <w:b/>
          <w:bCs/>
          <w:color w:val="000000" w:themeColor="text1"/>
        </w:rPr>
      </w:pPr>
    </w:p>
    <w:p w14:paraId="1EBC9803" w14:textId="0999ABFE" w:rsidR="00C13A05" w:rsidRPr="009F4777" w:rsidRDefault="00C13A05" w:rsidP="00B62797">
      <w:pPr>
        <w:tabs>
          <w:tab w:val="left" w:pos="1440"/>
          <w:tab w:val="right" w:pos="2880"/>
          <w:tab w:val="right" w:pos="8640"/>
          <w:tab w:val="right" w:pos="8640"/>
        </w:tabs>
        <w:ind w:firstLine="0"/>
        <w:rPr>
          <w:b/>
          <w:bCs/>
          <w:color w:val="000000" w:themeColor="text1"/>
        </w:rPr>
      </w:pPr>
      <w:r w:rsidRPr="009F4777">
        <w:rPr>
          <w:b/>
          <w:bCs/>
          <w:color w:val="000000" w:themeColor="text1"/>
        </w:rPr>
        <w:t>Comment 5:</w:t>
      </w:r>
    </w:p>
    <w:p w14:paraId="44206DDA"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2B2317F7" w14:textId="633ECF66" w:rsidR="00C13A05" w:rsidRPr="009F4777" w:rsidRDefault="00786CB1" w:rsidP="00C13A05">
      <w:pPr>
        <w:tabs>
          <w:tab w:val="clear" w:pos="8640"/>
          <w:tab w:val="left" w:pos="1440"/>
          <w:tab w:val="left" w:pos="2569"/>
        </w:tabs>
        <w:ind w:firstLine="0"/>
        <w:rPr>
          <w:color w:val="000000" w:themeColor="text1"/>
        </w:rPr>
      </w:pPr>
      <w:r w:rsidRPr="009F4777">
        <w:rPr>
          <w:color w:val="000000" w:themeColor="text1"/>
        </w:rPr>
        <w:t>"Ethnography, derived from anthropology, emphasizes studying phenomena within their cultural contexts through deep immersion in the social culture over an extended period.”</w:t>
      </w:r>
    </w:p>
    <w:p w14:paraId="7C5B3B6A"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530345CC" w14:textId="0EEF9015" w:rsidR="00C13A05" w:rsidRPr="009F4777" w:rsidRDefault="00786CB1" w:rsidP="00C13A05">
      <w:pPr>
        <w:tabs>
          <w:tab w:val="clear" w:pos="8640"/>
          <w:tab w:val="left" w:pos="1440"/>
          <w:tab w:val="left" w:pos="2569"/>
        </w:tabs>
        <w:ind w:firstLine="0"/>
        <w:rPr>
          <w:color w:val="000000" w:themeColor="text1"/>
        </w:rPr>
      </w:pPr>
      <w:r w:rsidRPr="009F4777">
        <w:rPr>
          <w:color w:val="000000" w:themeColor="text1"/>
        </w:rPr>
        <w:t>Ethnography involves immersing oneself deeply within a cultural context over an extended period to study phenomena within their cultural milieu. This method emphasizes understanding the intricacies of social life, beliefs, practices, and interactions within specific cultural settings.</w:t>
      </w:r>
    </w:p>
    <w:p w14:paraId="3F99795A"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7DD14E27" w14:textId="70BBBAC3" w:rsidR="00C13A05" w:rsidRPr="009F4777" w:rsidRDefault="00786CB1" w:rsidP="00C13A05">
      <w:pPr>
        <w:tabs>
          <w:tab w:val="clear" w:pos="8640"/>
          <w:tab w:val="left" w:pos="1440"/>
          <w:tab w:val="left" w:pos="2569"/>
        </w:tabs>
        <w:ind w:firstLine="0"/>
        <w:rPr>
          <w:color w:val="000000" w:themeColor="text1"/>
        </w:rPr>
      </w:pPr>
      <w:r w:rsidRPr="009F4777">
        <w:rPr>
          <w:color w:val="000000" w:themeColor="text1"/>
        </w:rPr>
        <w:t xml:space="preserve">Ethnography offers a rich and nuanced understanding of social phenomena by emphasizing immersion within cultural contexts. This approach allows researchers to capture the complexity and diversity of human experiences, beliefs, and practices. Additionally, ethnographic studies can vary in their focus, from exploring everyday practices and rituals to investigating larger social structures and power dynamics within communities. By employing ethnographic methods, </w:t>
      </w:r>
      <w:r w:rsidRPr="009F4777">
        <w:rPr>
          <w:color w:val="000000" w:themeColor="text1"/>
        </w:rPr>
        <w:lastRenderedPageBreak/>
        <w:t>researchers can uncover unique insights into how culture shapes individual behaviors, social interactions, and societal norms.</w:t>
      </w:r>
    </w:p>
    <w:p w14:paraId="61B033EA"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019C2625" w14:textId="35809096" w:rsidR="00B62797" w:rsidRPr="009F4777" w:rsidRDefault="00B62797" w:rsidP="00C13A05">
      <w:pPr>
        <w:tabs>
          <w:tab w:val="clear" w:pos="8640"/>
          <w:tab w:val="left" w:pos="1440"/>
          <w:tab w:val="left" w:pos="2569"/>
        </w:tabs>
        <w:ind w:firstLine="0"/>
        <w:rPr>
          <w:color w:val="000000" w:themeColor="text1"/>
        </w:rPr>
      </w:pPr>
      <w:r w:rsidRPr="009F4777">
        <w:rPr>
          <w:color w:val="000000" w:themeColor="text1"/>
        </w:rPr>
        <w:t xml:space="preserve">In the realm of policymaking, the integration of ethnography offers a potent instrument for comprehending the intricate realities of communities affected by proposed policies. Ethnographic research immerses policymakers in the rich tapestry of community life, unveiling the diverse needs, perspectives, and challenges that shape local existence. By delving deeply into the cultural values, social dynamics, and contextual nuances, policymakers gain invaluable insights to tailor interventions that resonate authentically with the lived experiences of the population. This nuanced understanding empowers policymakers to anticipate and navigate the complexities of policy implementation, fine-tuning interventions to minimize negative repercussions and maximize positive outcomes. Furthermore, by fostering genuine dialogue and collaboration with community members, policymakers can cultivate trust, rapport, and meaningful partnerships. This participatory approach lays the groundwork for inclusive decision-making processes, wherein policies are co-created to reflect the aspirations and priorities of </w:t>
      </w:r>
      <w:proofErr w:type="gramStart"/>
      <w:r w:rsidRPr="009F4777">
        <w:rPr>
          <w:color w:val="000000" w:themeColor="text1"/>
        </w:rPr>
        <w:t>local residents</w:t>
      </w:r>
      <w:proofErr w:type="gramEnd"/>
      <w:r w:rsidRPr="009F4777">
        <w:rPr>
          <w:color w:val="000000" w:themeColor="text1"/>
        </w:rPr>
        <w:t>. Through a commitment to equity and inclusion, ethnography enables policymakers to address systemic inequalities and ensure that policies uplift all members of society, particularly those who have been historically marginalized or disenfranchised.</w:t>
      </w:r>
    </w:p>
    <w:p w14:paraId="4B744007" w14:textId="77777777" w:rsidR="00D317B4" w:rsidRPr="009F4777" w:rsidRDefault="00D317B4" w:rsidP="00C13A05">
      <w:pPr>
        <w:tabs>
          <w:tab w:val="right" w:pos="8640"/>
          <w:tab w:val="right" w:pos="8640"/>
        </w:tabs>
        <w:spacing w:line="240" w:lineRule="auto"/>
        <w:ind w:firstLine="0"/>
        <w:rPr>
          <w:b/>
          <w:bCs/>
          <w:color w:val="000000" w:themeColor="text1"/>
        </w:rPr>
      </w:pPr>
    </w:p>
    <w:p w14:paraId="538FAFB8" w14:textId="77777777" w:rsidR="00D317B4" w:rsidRPr="009F4777" w:rsidRDefault="00D317B4" w:rsidP="00C13A05">
      <w:pPr>
        <w:tabs>
          <w:tab w:val="right" w:pos="8640"/>
          <w:tab w:val="right" w:pos="8640"/>
        </w:tabs>
        <w:spacing w:line="240" w:lineRule="auto"/>
        <w:ind w:firstLine="0"/>
        <w:rPr>
          <w:b/>
          <w:bCs/>
          <w:color w:val="000000" w:themeColor="text1"/>
        </w:rPr>
      </w:pPr>
    </w:p>
    <w:p w14:paraId="3899FCFD" w14:textId="77777777" w:rsidR="00D317B4" w:rsidRPr="009F4777" w:rsidRDefault="00D317B4" w:rsidP="00C13A05">
      <w:pPr>
        <w:tabs>
          <w:tab w:val="right" w:pos="8640"/>
          <w:tab w:val="right" w:pos="8640"/>
        </w:tabs>
        <w:spacing w:line="240" w:lineRule="auto"/>
        <w:ind w:firstLine="0"/>
        <w:rPr>
          <w:b/>
          <w:bCs/>
          <w:color w:val="000000" w:themeColor="text1"/>
        </w:rPr>
      </w:pPr>
    </w:p>
    <w:p w14:paraId="2AD83AE8" w14:textId="77777777" w:rsidR="00D317B4" w:rsidRPr="009F4777" w:rsidRDefault="00D317B4" w:rsidP="00C13A05">
      <w:pPr>
        <w:tabs>
          <w:tab w:val="right" w:pos="8640"/>
          <w:tab w:val="right" w:pos="8640"/>
        </w:tabs>
        <w:spacing w:line="240" w:lineRule="auto"/>
        <w:ind w:firstLine="0"/>
        <w:rPr>
          <w:b/>
          <w:bCs/>
          <w:color w:val="000000" w:themeColor="text1"/>
        </w:rPr>
      </w:pPr>
    </w:p>
    <w:p w14:paraId="143962AF" w14:textId="77777777" w:rsidR="00D317B4" w:rsidRPr="009F4777" w:rsidRDefault="00D317B4" w:rsidP="00C13A05">
      <w:pPr>
        <w:tabs>
          <w:tab w:val="right" w:pos="8640"/>
          <w:tab w:val="right" w:pos="8640"/>
        </w:tabs>
        <w:spacing w:line="240" w:lineRule="auto"/>
        <w:ind w:firstLine="0"/>
        <w:rPr>
          <w:b/>
          <w:bCs/>
          <w:color w:val="000000" w:themeColor="text1"/>
        </w:rPr>
      </w:pPr>
    </w:p>
    <w:p w14:paraId="1F552688" w14:textId="77777777" w:rsidR="00D317B4" w:rsidRPr="009F4777" w:rsidRDefault="00D317B4" w:rsidP="00C13A05">
      <w:pPr>
        <w:tabs>
          <w:tab w:val="right" w:pos="8640"/>
          <w:tab w:val="right" w:pos="8640"/>
        </w:tabs>
        <w:spacing w:line="240" w:lineRule="auto"/>
        <w:ind w:firstLine="0"/>
        <w:rPr>
          <w:b/>
          <w:bCs/>
          <w:color w:val="000000" w:themeColor="text1"/>
        </w:rPr>
      </w:pPr>
    </w:p>
    <w:p w14:paraId="3058C6AC" w14:textId="77777777" w:rsidR="00D317B4" w:rsidRPr="009F4777" w:rsidRDefault="00D317B4" w:rsidP="00C13A05">
      <w:pPr>
        <w:tabs>
          <w:tab w:val="right" w:pos="8640"/>
          <w:tab w:val="right" w:pos="8640"/>
        </w:tabs>
        <w:spacing w:line="240" w:lineRule="auto"/>
        <w:ind w:firstLine="0"/>
        <w:rPr>
          <w:b/>
          <w:bCs/>
          <w:color w:val="000000" w:themeColor="text1"/>
        </w:rPr>
      </w:pPr>
    </w:p>
    <w:p w14:paraId="6A5EBEE1" w14:textId="77777777" w:rsidR="00D317B4" w:rsidRPr="009F4777" w:rsidRDefault="00D317B4" w:rsidP="00C13A05">
      <w:pPr>
        <w:tabs>
          <w:tab w:val="right" w:pos="8640"/>
          <w:tab w:val="right" w:pos="8640"/>
        </w:tabs>
        <w:spacing w:line="240" w:lineRule="auto"/>
        <w:ind w:firstLine="0"/>
        <w:rPr>
          <w:b/>
          <w:bCs/>
          <w:color w:val="000000" w:themeColor="text1"/>
        </w:rPr>
      </w:pPr>
    </w:p>
    <w:p w14:paraId="1FB53DFD" w14:textId="77777777" w:rsidR="00D317B4" w:rsidRPr="009F4777" w:rsidRDefault="00D317B4" w:rsidP="00C13A05">
      <w:pPr>
        <w:tabs>
          <w:tab w:val="right" w:pos="8640"/>
          <w:tab w:val="right" w:pos="8640"/>
        </w:tabs>
        <w:spacing w:line="240" w:lineRule="auto"/>
        <w:ind w:firstLine="0"/>
        <w:rPr>
          <w:b/>
          <w:bCs/>
          <w:color w:val="000000" w:themeColor="text1"/>
        </w:rPr>
      </w:pPr>
    </w:p>
    <w:p w14:paraId="0F3ABBD9" w14:textId="4FCDA810"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lastRenderedPageBreak/>
        <w:t xml:space="preserve">Source 6: </w:t>
      </w:r>
    </w:p>
    <w:p w14:paraId="5B45383D" w14:textId="57C31CB7" w:rsidR="00C13A05" w:rsidRPr="009F4777" w:rsidRDefault="00D317B4" w:rsidP="00C13A05">
      <w:pPr>
        <w:tabs>
          <w:tab w:val="right" w:pos="8640"/>
          <w:tab w:val="right" w:pos="8640"/>
        </w:tabs>
        <w:spacing w:line="240" w:lineRule="auto"/>
        <w:ind w:firstLine="0"/>
        <w:rPr>
          <w:color w:val="000000" w:themeColor="text1"/>
        </w:rPr>
      </w:pPr>
      <w:r w:rsidRPr="009F4777">
        <w:rPr>
          <w:color w:val="000000" w:themeColor="text1"/>
        </w:rPr>
        <w:t>Schon, D. A. (1983). The reflective practitioner: How professionals think in action (1st ed., pp. 3-24). Basic Books.</w:t>
      </w:r>
    </w:p>
    <w:p w14:paraId="098B7626" w14:textId="77777777" w:rsidR="00C13A05" w:rsidRPr="009F4777" w:rsidRDefault="00C13A05" w:rsidP="00C13A05">
      <w:pPr>
        <w:tabs>
          <w:tab w:val="right" w:pos="8640"/>
          <w:tab w:val="right" w:pos="8640"/>
        </w:tabs>
        <w:spacing w:line="240" w:lineRule="auto"/>
        <w:ind w:left="8640" w:hanging="8640"/>
        <w:rPr>
          <w:b/>
          <w:bCs/>
          <w:color w:val="000000" w:themeColor="text1"/>
        </w:rPr>
      </w:pPr>
    </w:p>
    <w:p w14:paraId="28B885F8" w14:textId="4491C21F" w:rsidR="00C13A05" w:rsidRPr="009F4777" w:rsidRDefault="00C13A05" w:rsidP="00D317B4">
      <w:pPr>
        <w:tabs>
          <w:tab w:val="left" w:pos="1440"/>
          <w:tab w:val="right" w:pos="2880"/>
          <w:tab w:val="right" w:pos="8640"/>
          <w:tab w:val="right" w:pos="8640"/>
        </w:tabs>
        <w:ind w:firstLine="0"/>
        <w:rPr>
          <w:b/>
          <w:bCs/>
          <w:color w:val="000000" w:themeColor="text1"/>
        </w:rPr>
      </w:pPr>
      <w:r w:rsidRPr="009F4777">
        <w:rPr>
          <w:b/>
          <w:bCs/>
          <w:color w:val="000000" w:themeColor="text1"/>
        </w:rPr>
        <w:t>Comment 6:</w:t>
      </w:r>
    </w:p>
    <w:p w14:paraId="49F85096"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56386DFF" w14:textId="2660DBBC" w:rsidR="00C13A05" w:rsidRPr="009F4777" w:rsidRDefault="00256EC3" w:rsidP="00C13A05">
      <w:pPr>
        <w:tabs>
          <w:tab w:val="clear" w:pos="8640"/>
          <w:tab w:val="left" w:pos="1440"/>
          <w:tab w:val="left" w:pos="2569"/>
        </w:tabs>
        <w:ind w:firstLine="0"/>
        <w:rPr>
          <w:color w:val="000000" w:themeColor="text1"/>
        </w:rPr>
      </w:pPr>
      <w:r w:rsidRPr="009F4777">
        <w:rPr>
          <w:color w:val="000000" w:themeColor="text1"/>
        </w:rPr>
        <w:t xml:space="preserve">"The reflective practitioner engages in ongoing self-reflection and learning, challenging assumptions and adapting strategies in response to changing </w:t>
      </w:r>
      <w:proofErr w:type="gramStart"/>
      <w:r w:rsidRPr="009F4777">
        <w:rPr>
          <w:color w:val="000000" w:themeColor="text1"/>
        </w:rPr>
        <w:t>contexts</w:t>
      </w:r>
      <w:proofErr w:type="gramEnd"/>
      <w:r w:rsidRPr="009F4777">
        <w:rPr>
          <w:color w:val="000000" w:themeColor="text1"/>
        </w:rPr>
        <w:t>"</w:t>
      </w:r>
    </w:p>
    <w:p w14:paraId="4DE0B1DE"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40147082" w14:textId="7953D7C2" w:rsidR="00C13A05" w:rsidRPr="009F4777" w:rsidRDefault="003455BC" w:rsidP="00C13A05">
      <w:pPr>
        <w:tabs>
          <w:tab w:val="clear" w:pos="8640"/>
          <w:tab w:val="left" w:pos="1440"/>
          <w:tab w:val="left" w:pos="2569"/>
        </w:tabs>
        <w:ind w:firstLine="0"/>
        <w:rPr>
          <w:color w:val="000000" w:themeColor="text1"/>
        </w:rPr>
      </w:pPr>
      <w:r w:rsidRPr="009F4777">
        <w:rPr>
          <w:color w:val="000000" w:themeColor="text1"/>
        </w:rPr>
        <w:t xml:space="preserve">The fundamental aspect of this reading is reflective practice and learning. </w:t>
      </w:r>
    </w:p>
    <w:p w14:paraId="6B2D036A"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38E8F1B2" w14:textId="66B07770" w:rsidR="00C13A05" w:rsidRPr="009F4777" w:rsidRDefault="003455BC" w:rsidP="00C13A05">
      <w:pPr>
        <w:tabs>
          <w:tab w:val="clear" w:pos="8640"/>
          <w:tab w:val="left" w:pos="1440"/>
          <w:tab w:val="left" w:pos="2569"/>
        </w:tabs>
        <w:ind w:firstLine="0"/>
        <w:rPr>
          <w:color w:val="000000" w:themeColor="text1"/>
        </w:rPr>
      </w:pPr>
      <w:r w:rsidRPr="009F4777">
        <w:rPr>
          <w:color w:val="000000" w:themeColor="text1"/>
        </w:rPr>
        <w:t xml:space="preserve">Schon's concept of the reflective practitioner adds a dynamic dimension to our understanding of </w:t>
      </w:r>
      <w:proofErr w:type="gramStart"/>
      <w:r w:rsidRPr="009F4777">
        <w:rPr>
          <w:color w:val="000000" w:themeColor="text1"/>
        </w:rPr>
        <w:t>issues(</w:t>
      </w:r>
      <w:proofErr w:type="gramEnd"/>
      <w:r w:rsidRPr="009F4777">
        <w:rPr>
          <w:color w:val="000000" w:themeColor="text1"/>
        </w:rPr>
        <w:t xml:space="preserve">policy advocacy) by emphasizing the importance of self-awareness and adaptability. This variant perspective suggests that effective problems (advocacy) </w:t>
      </w:r>
      <w:proofErr w:type="gramStart"/>
      <w:r w:rsidRPr="009F4777">
        <w:rPr>
          <w:color w:val="000000" w:themeColor="text1"/>
        </w:rPr>
        <w:t>requires</w:t>
      </w:r>
      <w:proofErr w:type="gramEnd"/>
      <w:r w:rsidRPr="009F4777">
        <w:rPr>
          <w:color w:val="000000" w:themeColor="text1"/>
        </w:rPr>
        <w:t xml:space="preserve"> practitioners to continually reflect on their actions and assumptions, adjusting their strategies in light of new information and challenges.</w:t>
      </w:r>
    </w:p>
    <w:p w14:paraId="5B8CFAA0"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575A59F3" w14:textId="4BEC4261" w:rsidR="003455BC" w:rsidRPr="009F4777" w:rsidRDefault="00BC59D7" w:rsidP="00C13A05">
      <w:pPr>
        <w:tabs>
          <w:tab w:val="clear" w:pos="8640"/>
          <w:tab w:val="left" w:pos="1440"/>
          <w:tab w:val="left" w:pos="2569"/>
        </w:tabs>
        <w:ind w:firstLine="0"/>
        <w:rPr>
          <w:color w:val="000000" w:themeColor="text1"/>
        </w:rPr>
      </w:pPr>
      <w:r w:rsidRPr="009F4777">
        <w:rPr>
          <w:color w:val="000000" w:themeColor="text1"/>
        </w:rPr>
        <w:t>Schon's insights have significant implications for practitioners (policymakers and advocates) seeking to effect meaningful possibilities (policy change). By embracing reflective practice, practitioners can cultivate a more adaptive and responsive approach to disadvantages enhancing their effectiveness in navigating complex environments.</w:t>
      </w:r>
    </w:p>
    <w:p w14:paraId="20EBBA73" w14:textId="77777777" w:rsidR="00BC59D7" w:rsidRPr="009F4777" w:rsidRDefault="00BC59D7" w:rsidP="00C13A05">
      <w:pPr>
        <w:tabs>
          <w:tab w:val="right" w:pos="8640"/>
          <w:tab w:val="right" w:pos="8640"/>
        </w:tabs>
        <w:spacing w:line="240" w:lineRule="auto"/>
        <w:ind w:firstLine="0"/>
        <w:rPr>
          <w:b/>
          <w:bCs/>
          <w:color w:val="000000" w:themeColor="text1"/>
        </w:rPr>
      </w:pPr>
    </w:p>
    <w:p w14:paraId="119D40D6" w14:textId="77777777" w:rsidR="00BC59D7" w:rsidRPr="009F4777" w:rsidRDefault="00BC59D7" w:rsidP="00C13A05">
      <w:pPr>
        <w:tabs>
          <w:tab w:val="right" w:pos="8640"/>
          <w:tab w:val="right" w:pos="8640"/>
        </w:tabs>
        <w:spacing w:line="240" w:lineRule="auto"/>
        <w:ind w:firstLine="0"/>
        <w:rPr>
          <w:b/>
          <w:bCs/>
          <w:color w:val="000000" w:themeColor="text1"/>
        </w:rPr>
      </w:pPr>
    </w:p>
    <w:p w14:paraId="4BB2CE00" w14:textId="77777777" w:rsidR="00BC59D7" w:rsidRPr="009F4777" w:rsidRDefault="00BC59D7" w:rsidP="00C13A05">
      <w:pPr>
        <w:tabs>
          <w:tab w:val="right" w:pos="8640"/>
          <w:tab w:val="right" w:pos="8640"/>
        </w:tabs>
        <w:spacing w:line="240" w:lineRule="auto"/>
        <w:ind w:firstLine="0"/>
        <w:rPr>
          <w:b/>
          <w:bCs/>
          <w:color w:val="000000" w:themeColor="text1"/>
        </w:rPr>
      </w:pPr>
    </w:p>
    <w:p w14:paraId="79512ABE" w14:textId="77777777" w:rsidR="00BC59D7" w:rsidRPr="009F4777" w:rsidRDefault="00BC59D7" w:rsidP="00C13A05">
      <w:pPr>
        <w:tabs>
          <w:tab w:val="right" w:pos="8640"/>
          <w:tab w:val="right" w:pos="8640"/>
        </w:tabs>
        <w:spacing w:line="240" w:lineRule="auto"/>
        <w:ind w:firstLine="0"/>
        <w:rPr>
          <w:b/>
          <w:bCs/>
          <w:color w:val="000000" w:themeColor="text1"/>
        </w:rPr>
      </w:pPr>
    </w:p>
    <w:p w14:paraId="217CCCFA" w14:textId="77777777" w:rsidR="00BC59D7" w:rsidRPr="009F4777" w:rsidRDefault="00BC59D7" w:rsidP="00C13A05">
      <w:pPr>
        <w:tabs>
          <w:tab w:val="right" w:pos="8640"/>
          <w:tab w:val="right" w:pos="8640"/>
        </w:tabs>
        <w:spacing w:line="240" w:lineRule="auto"/>
        <w:ind w:firstLine="0"/>
        <w:rPr>
          <w:b/>
          <w:bCs/>
          <w:color w:val="000000" w:themeColor="text1"/>
        </w:rPr>
      </w:pPr>
    </w:p>
    <w:p w14:paraId="1455D30C" w14:textId="77777777" w:rsidR="00BC59D7" w:rsidRPr="009F4777" w:rsidRDefault="00BC59D7" w:rsidP="00C13A05">
      <w:pPr>
        <w:tabs>
          <w:tab w:val="right" w:pos="8640"/>
          <w:tab w:val="right" w:pos="8640"/>
        </w:tabs>
        <w:spacing w:line="240" w:lineRule="auto"/>
        <w:ind w:firstLine="0"/>
        <w:rPr>
          <w:b/>
          <w:bCs/>
          <w:color w:val="000000" w:themeColor="text1"/>
        </w:rPr>
      </w:pPr>
    </w:p>
    <w:p w14:paraId="56FED6B7" w14:textId="77777777" w:rsidR="00BC59D7" w:rsidRPr="009F4777" w:rsidRDefault="00BC59D7" w:rsidP="00C13A05">
      <w:pPr>
        <w:tabs>
          <w:tab w:val="right" w:pos="8640"/>
          <w:tab w:val="right" w:pos="8640"/>
        </w:tabs>
        <w:spacing w:line="240" w:lineRule="auto"/>
        <w:ind w:firstLine="0"/>
        <w:rPr>
          <w:b/>
          <w:bCs/>
          <w:color w:val="000000" w:themeColor="text1"/>
        </w:rPr>
      </w:pPr>
    </w:p>
    <w:p w14:paraId="4A77B879" w14:textId="3B8E23C3"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lastRenderedPageBreak/>
        <w:t xml:space="preserve">Source 7: </w:t>
      </w:r>
    </w:p>
    <w:p w14:paraId="6DECC675" w14:textId="35848866" w:rsidR="00C13A05" w:rsidRPr="009F4777" w:rsidRDefault="00556507" w:rsidP="00C13A05">
      <w:pPr>
        <w:tabs>
          <w:tab w:val="right" w:pos="8640"/>
          <w:tab w:val="right" w:pos="8640"/>
        </w:tabs>
        <w:spacing w:line="240" w:lineRule="auto"/>
        <w:ind w:firstLine="0"/>
        <w:rPr>
          <w:color w:val="000000" w:themeColor="text1"/>
        </w:rPr>
      </w:pPr>
      <w:r w:rsidRPr="009F4777">
        <w:rPr>
          <w:color w:val="000000" w:themeColor="text1"/>
        </w:rPr>
        <w:t>Ricoeur, P. (1976). Language as discourse. In Interpretation theory: Discourse and the surplus of meaning (pp. 34-36). Fort Worth, TX: Texas Christian University Press.</w:t>
      </w:r>
    </w:p>
    <w:p w14:paraId="2F8661CD" w14:textId="77777777" w:rsidR="00C13A05" w:rsidRPr="009F4777" w:rsidRDefault="00C13A05" w:rsidP="00C13A05">
      <w:pPr>
        <w:tabs>
          <w:tab w:val="right" w:pos="8640"/>
          <w:tab w:val="right" w:pos="8640"/>
        </w:tabs>
        <w:spacing w:line="240" w:lineRule="auto"/>
        <w:ind w:left="8640" w:hanging="8640"/>
        <w:rPr>
          <w:b/>
          <w:bCs/>
          <w:color w:val="000000" w:themeColor="text1"/>
        </w:rPr>
      </w:pPr>
    </w:p>
    <w:p w14:paraId="5758FA7E" w14:textId="110F57FA" w:rsidR="00C13A05" w:rsidRPr="009F4777" w:rsidRDefault="00C13A05" w:rsidP="00556507">
      <w:pPr>
        <w:tabs>
          <w:tab w:val="left" w:pos="1440"/>
          <w:tab w:val="right" w:pos="2880"/>
          <w:tab w:val="right" w:pos="8640"/>
          <w:tab w:val="right" w:pos="8640"/>
        </w:tabs>
        <w:ind w:firstLine="0"/>
        <w:rPr>
          <w:b/>
          <w:bCs/>
          <w:color w:val="000000" w:themeColor="text1"/>
        </w:rPr>
      </w:pPr>
      <w:r w:rsidRPr="009F4777">
        <w:rPr>
          <w:b/>
          <w:bCs/>
          <w:color w:val="000000" w:themeColor="text1"/>
        </w:rPr>
        <w:t>Comment 7:</w:t>
      </w:r>
    </w:p>
    <w:p w14:paraId="0B8E8C91" w14:textId="77777777" w:rsidR="00C13A05" w:rsidRPr="009F4777" w:rsidRDefault="00C13A05" w:rsidP="00C13A05">
      <w:pPr>
        <w:tabs>
          <w:tab w:val="left" w:pos="1440"/>
          <w:tab w:val="right" w:pos="2880"/>
          <w:tab w:val="right" w:pos="8640"/>
          <w:tab w:val="right" w:pos="8640"/>
        </w:tabs>
        <w:ind w:firstLine="0"/>
        <w:rPr>
          <w:b/>
          <w:bCs/>
          <w:color w:val="000000" w:themeColor="text1"/>
        </w:rPr>
      </w:pPr>
      <w:r w:rsidRPr="009F4777">
        <w:rPr>
          <w:b/>
          <w:bCs/>
          <w:color w:val="000000" w:themeColor="text1"/>
        </w:rPr>
        <w:tab/>
        <w:t xml:space="preserve">Quote/ Paraphrase: </w:t>
      </w:r>
    </w:p>
    <w:p w14:paraId="5396DEB2" w14:textId="1FC0BA67" w:rsidR="007940D0" w:rsidRPr="009F4777" w:rsidRDefault="005D3A02" w:rsidP="00C13A05">
      <w:pPr>
        <w:tabs>
          <w:tab w:val="left" w:pos="1440"/>
          <w:tab w:val="right" w:pos="2880"/>
          <w:tab w:val="right" w:pos="8640"/>
          <w:tab w:val="right" w:pos="8640"/>
        </w:tabs>
        <w:ind w:firstLine="0"/>
        <w:rPr>
          <w:color w:val="000000" w:themeColor="text1"/>
        </w:rPr>
      </w:pPr>
      <w:r w:rsidRPr="009F4777">
        <w:rPr>
          <w:color w:val="000000" w:themeColor="text1"/>
        </w:rPr>
        <w:t xml:space="preserve">"The surplus of meaning inherent in texts and narratives invites readers to engage in a hermeneutic process, unraveling layers of significance beyond the </w:t>
      </w:r>
      <w:proofErr w:type="gramStart"/>
      <w:r w:rsidRPr="009F4777">
        <w:rPr>
          <w:color w:val="000000" w:themeColor="text1"/>
        </w:rPr>
        <w:t>surface</w:t>
      </w:r>
      <w:proofErr w:type="gramEnd"/>
      <w:r w:rsidRPr="009F4777">
        <w:rPr>
          <w:color w:val="000000" w:themeColor="text1"/>
        </w:rPr>
        <w:t>"</w:t>
      </w:r>
    </w:p>
    <w:p w14:paraId="5897DBAC"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54D344E7" w14:textId="05036DA7" w:rsidR="00C13A05" w:rsidRPr="009F4777" w:rsidRDefault="007940D0" w:rsidP="00C13A05">
      <w:pPr>
        <w:tabs>
          <w:tab w:val="clear" w:pos="8640"/>
          <w:tab w:val="left" w:pos="1440"/>
          <w:tab w:val="left" w:pos="2569"/>
        </w:tabs>
        <w:ind w:firstLine="0"/>
        <w:rPr>
          <w:color w:val="000000" w:themeColor="text1"/>
        </w:rPr>
      </w:pPr>
      <w:r w:rsidRPr="009F4777">
        <w:rPr>
          <w:color w:val="000000" w:themeColor="text1"/>
        </w:rPr>
        <w:t>The essential element of this source is the hermeneutic process and the</w:t>
      </w:r>
      <w:r w:rsidR="00450AEC" w:rsidRPr="009F4777">
        <w:rPr>
          <w:color w:val="000000" w:themeColor="text1"/>
        </w:rPr>
        <w:t xml:space="preserve"> extra</w:t>
      </w:r>
      <w:r w:rsidR="008D0C0D" w:rsidRPr="009F4777">
        <w:rPr>
          <w:color w:val="000000" w:themeColor="text1"/>
        </w:rPr>
        <w:t xml:space="preserve"> significance</w:t>
      </w:r>
      <w:r w:rsidRPr="009F4777">
        <w:rPr>
          <w:color w:val="000000" w:themeColor="text1"/>
        </w:rPr>
        <w:t xml:space="preserve"> meaning of words. </w:t>
      </w:r>
    </w:p>
    <w:p w14:paraId="48072F94"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56B91C8D" w14:textId="09BFB124" w:rsidR="00C13A05" w:rsidRPr="009F4777" w:rsidRDefault="006F4E34" w:rsidP="00C13A05">
      <w:pPr>
        <w:tabs>
          <w:tab w:val="clear" w:pos="8640"/>
          <w:tab w:val="left" w:pos="1440"/>
          <w:tab w:val="left" w:pos="2569"/>
        </w:tabs>
        <w:ind w:firstLine="0"/>
        <w:rPr>
          <w:color w:val="000000" w:themeColor="text1"/>
        </w:rPr>
      </w:pPr>
      <w:r w:rsidRPr="009F4777">
        <w:rPr>
          <w:color w:val="000000" w:themeColor="text1"/>
        </w:rPr>
        <w:t>Ricoeur's emphasis on the extra significance of words challenges conventional approaches by highlighting the richness and complexity of textual interpretations. This variant perspective suggests that texts contain multiple layers of significance that require careful unpacking and interpretation.</w:t>
      </w:r>
    </w:p>
    <w:p w14:paraId="16893A9F"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5B237963" w14:textId="0FBE8F7C" w:rsidR="006F4E34" w:rsidRPr="009F4777" w:rsidRDefault="006A0028" w:rsidP="00C13A05">
      <w:pPr>
        <w:tabs>
          <w:tab w:val="clear" w:pos="8640"/>
          <w:tab w:val="left" w:pos="1440"/>
          <w:tab w:val="left" w:pos="2569"/>
        </w:tabs>
        <w:ind w:firstLine="0"/>
        <w:rPr>
          <w:color w:val="000000" w:themeColor="text1"/>
        </w:rPr>
      </w:pPr>
      <w:r w:rsidRPr="009F4777">
        <w:rPr>
          <w:color w:val="000000" w:themeColor="text1"/>
        </w:rPr>
        <w:t>Ricoeur's insights have important implications for policymakers and advocates engaged in policy analysis and advocacy. By acknowledging this in texts, practitioners can adopt a more nuanced approach to interpretation, uncovering hidden meanings and alternative perspectives that may inform more effective strategies.</w:t>
      </w:r>
    </w:p>
    <w:p w14:paraId="189B66A4" w14:textId="77777777" w:rsidR="006A0028" w:rsidRPr="009F4777" w:rsidRDefault="006A0028" w:rsidP="00C13A05">
      <w:pPr>
        <w:tabs>
          <w:tab w:val="clear" w:pos="8640"/>
          <w:tab w:val="left" w:pos="1440"/>
          <w:tab w:val="left" w:pos="2569"/>
        </w:tabs>
        <w:ind w:firstLine="0"/>
        <w:rPr>
          <w:color w:val="000000" w:themeColor="text1"/>
        </w:rPr>
      </w:pPr>
    </w:p>
    <w:p w14:paraId="284396F0" w14:textId="77777777" w:rsidR="006A0028" w:rsidRPr="009F4777" w:rsidRDefault="006A0028" w:rsidP="00C13A05">
      <w:pPr>
        <w:tabs>
          <w:tab w:val="clear" w:pos="8640"/>
          <w:tab w:val="left" w:pos="1440"/>
          <w:tab w:val="left" w:pos="2569"/>
        </w:tabs>
        <w:ind w:firstLine="0"/>
        <w:rPr>
          <w:color w:val="000000" w:themeColor="text1"/>
        </w:rPr>
      </w:pPr>
    </w:p>
    <w:p w14:paraId="25DB4585" w14:textId="77777777" w:rsidR="006A0028" w:rsidRPr="009F4777" w:rsidRDefault="006A0028" w:rsidP="00C13A05">
      <w:pPr>
        <w:tabs>
          <w:tab w:val="clear" w:pos="8640"/>
          <w:tab w:val="left" w:pos="1440"/>
          <w:tab w:val="left" w:pos="2569"/>
        </w:tabs>
        <w:ind w:firstLine="0"/>
        <w:rPr>
          <w:color w:val="000000" w:themeColor="text1"/>
        </w:rPr>
      </w:pPr>
    </w:p>
    <w:p w14:paraId="68EE0EE6" w14:textId="77777777" w:rsidR="006A0028" w:rsidRPr="009F4777" w:rsidRDefault="006A0028" w:rsidP="00C13A05">
      <w:pPr>
        <w:tabs>
          <w:tab w:val="clear" w:pos="8640"/>
          <w:tab w:val="left" w:pos="1440"/>
          <w:tab w:val="left" w:pos="2569"/>
        </w:tabs>
        <w:ind w:firstLine="0"/>
        <w:rPr>
          <w:color w:val="000000" w:themeColor="text1"/>
        </w:rPr>
      </w:pPr>
    </w:p>
    <w:p w14:paraId="299AA0BB" w14:textId="339363FE"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lastRenderedPageBreak/>
        <w:t xml:space="preserve">Source 8: </w:t>
      </w:r>
    </w:p>
    <w:p w14:paraId="2C14FDE7" w14:textId="77777777" w:rsidR="00C13A05" w:rsidRPr="009F4777" w:rsidRDefault="00C13A05" w:rsidP="00C13A05">
      <w:pPr>
        <w:tabs>
          <w:tab w:val="right" w:pos="8640"/>
          <w:tab w:val="right" w:pos="8640"/>
        </w:tabs>
        <w:spacing w:line="240" w:lineRule="auto"/>
        <w:ind w:firstLine="0"/>
        <w:rPr>
          <w:color w:val="000000" w:themeColor="text1"/>
        </w:rPr>
      </w:pPr>
    </w:p>
    <w:p w14:paraId="2706CD70" w14:textId="77777777" w:rsidR="009E3D81" w:rsidRPr="009F4777" w:rsidRDefault="009E3D81" w:rsidP="009E3D81">
      <w:pPr>
        <w:rPr>
          <w:b/>
          <w:bCs/>
          <w:color w:val="000000" w:themeColor="text1"/>
        </w:rPr>
      </w:pPr>
      <w:r w:rsidRPr="009F4777">
        <w:rPr>
          <w:b/>
          <w:bCs/>
          <w:color w:val="000000" w:themeColor="text1"/>
        </w:rPr>
        <w:t>Morales, C. (2020). Public policy &amp; political parties: A qualitative analysis of homelessness and poverty reduction frameworks in British Columbia (</w:t>
      </w:r>
      <w:proofErr w:type="gramStart"/>
      <w:r w:rsidRPr="009F4777">
        <w:rPr>
          <w:b/>
          <w:bCs/>
          <w:color w:val="000000" w:themeColor="text1"/>
        </w:rPr>
        <w:t>Master's</w:t>
      </w:r>
      <w:proofErr w:type="gramEnd"/>
      <w:r w:rsidRPr="009F4777">
        <w:rPr>
          <w:b/>
          <w:bCs/>
          <w:color w:val="000000" w:themeColor="text1"/>
        </w:rPr>
        <w:t xml:space="preserve"> thesis, University of Victoria). Retrieved from http://hdl.handle.net/1828/12108.</w:t>
      </w:r>
    </w:p>
    <w:p w14:paraId="3C5D43D6" w14:textId="77777777" w:rsidR="00C13A05" w:rsidRPr="009F4777" w:rsidRDefault="00C13A05" w:rsidP="00C13A05">
      <w:pPr>
        <w:tabs>
          <w:tab w:val="right" w:pos="8640"/>
          <w:tab w:val="right" w:pos="8640"/>
        </w:tabs>
        <w:spacing w:line="240" w:lineRule="auto"/>
        <w:ind w:left="8640" w:hanging="8640"/>
        <w:rPr>
          <w:b/>
          <w:bCs/>
          <w:color w:val="000000" w:themeColor="text1"/>
        </w:rPr>
      </w:pPr>
    </w:p>
    <w:p w14:paraId="60271566" w14:textId="0F37BEDD" w:rsidR="00C13A05" w:rsidRPr="009F4777" w:rsidRDefault="00C13A05" w:rsidP="009E3D81">
      <w:pPr>
        <w:tabs>
          <w:tab w:val="left" w:pos="1440"/>
          <w:tab w:val="right" w:pos="2880"/>
          <w:tab w:val="right" w:pos="8640"/>
          <w:tab w:val="right" w:pos="8640"/>
        </w:tabs>
        <w:ind w:firstLine="0"/>
        <w:rPr>
          <w:b/>
          <w:bCs/>
          <w:color w:val="000000" w:themeColor="text1"/>
        </w:rPr>
      </w:pPr>
      <w:r w:rsidRPr="009F4777">
        <w:rPr>
          <w:b/>
          <w:bCs/>
          <w:color w:val="000000" w:themeColor="text1"/>
        </w:rPr>
        <w:t>Comment 8:</w:t>
      </w:r>
    </w:p>
    <w:p w14:paraId="566CC11F"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25399EA6" w14:textId="37296207" w:rsidR="00C13A05" w:rsidRPr="009F4777" w:rsidRDefault="005619E2" w:rsidP="00C13A05">
      <w:pPr>
        <w:tabs>
          <w:tab w:val="clear" w:pos="8640"/>
          <w:tab w:val="left" w:pos="1440"/>
          <w:tab w:val="left" w:pos="2569"/>
        </w:tabs>
        <w:ind w:firstLine="0"/>
        <w:rPr>
          <w:color w:val="000000" w:themeColor="text1"/>
        </w:rPr>
      </w:pPr>
      <w:r w:rsidRPr="009F4777">
        <w:rPr>
          <w:color w:val="000000" w:themeColor="text1"/>
        </w:rPr>
        <w:t>In examining the dynamics of homelessness and poverty reduction frameworks in British Columbia, Morales (2020) underscores the intricate interplay between public policy and political parties. As Morales aptly states, 'Effective solutions to homelessness and poverty require collaboration and coordination across various stakeholders, including governmental bodies, non-profit organizations, and community groups.'</w:t>
      </w:r>
    </w:p>
    <w:p w14:paraId="2E881EB9"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370F5F92" w14:textId="4A960004" w:rsidR="00C13A05" w:rsidRPr="009F4777" w:rsidRDefault="009B7754" w:rsidP="00C13A05">
      <w:pPr>
        <w:tabs>
          <w:tab w:val="clear" w:pos="8640"/>
          <w:tab w:val="left" w:pos="1440"/>
          <w:tab w:val="left" w:pos="2569"/>
        </w:tabs>
        <w:ind w:firstLine="0"/>
        <w:rPr>
          <w:color w:val="000000" w:themeColor="text1"/>
        </w:rPr>
      </w:pPr>
      <w:r w:rsidRPr="009F4777">
        <w:rPr>
          <w:color w:val="000000" w:themeColor="text1"/>
        </w:rPr>
        <w:t xml:space="preserve">This </w:t>
      </w:r>
      <w:proofErr w:type="gramStart"/>
      <w:r w:rsidRPr="009F4777">
        <w:rPr>
          <w:color w:val="000000" w:themeColor="text1"/>
        </w:rPr>
        <w:t>research</w:t>
      </w:r>
      <w:proofErr w:type="gramEnd"/>
      <w:r w:rsidRPr="009F4777">
        <w:rPr>
          <w:color w:val="000000" w:themeColor="text1"/>
        </w:rPr>
        <w:t xml:space="preserve"> essential element captures the essence of acknowledging the complex nature of societal challenges, emphasizing that effective solutions require collaboration and coordination among diverse stakeholders.</w:t>
      </w:r>
    </w:p>
    <w:p w14:paraId="63D23F00"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13C7D079" w14:textId="604E1ED6" w:rsidR="00C13A05" w:rsidRDefault="009A180E" w:rsidP="00C13A05">
      <w:pPr>
        <w:tabs>
          <w:tab w:val="clear" w:pos="8640"/>
          <w:tab w:val="left" w:pos="1440"/>
          <w:tab w:val="left" w:pos="2569"/>
        </w:tabs>
        <w:ind w:firstLine="0"/>
        <w:rPr>
          <w:color w:val="000000" w:themeColor="text1"/>
        </w:rPr>
      </w:pPr>
      <w:r w:rsidRPr="009F4777">
        <w:rPr>
          <w:color w:val="000000" w:themeColor="text1"/>
        </w:rPr>
        <w:t xml:space="preserve">Moreover, an additive analysis of Morales' research reveals the nuanced approaches adopted by different political parties in addressing homelessness and poverty. While some advocate for proactive measures such as increased affordable housing initiatives and social welfare programs, others prioritize economic incentives or market-driven solutions. This diversity of perspectives highlights the complexity of </w:t>
      </w:r>
      <w:proofErr w:type="gramStart"/>
      <w:r w:rsidRPr="009F4777">
        <w:rPr>
          <w:color w:val="000000" w:themeColor="text1"/>
        </w:rPr>
        <w:t>policy-making</w:t>
      </w:r>
      <w:proofErr w:type="gramEnd"/>
      <w:r w:rsidRPr="009F4777">
        <w:rPr>
          <w:color w:val="000000" w:themeColor="text1"/>
        </w:rPr>
        <w:t xml:space="preserve"> and the need for comprehensive, holistic approaches.</w:t>
      </w:r>
    </w:p>
    <w:p w14:paraId="0BD75D5F" w14:textId="77777777" w:rsidR="009F4777" w:rsidRPr="009F4777" w:rsidRDefault="009F4777" w:rsidP="00C13A05">
      <w:pPr>
        <w:tabs>
          <w:tab w:val="clear" w:pos="8640"/>
          <w:tab w:val="left" w:pos="1440"/>
          <w:tab w:val="left" w:pos="2569"/>
        </w:tabs>
        <w:ind w:firstLine="0"/>
        <w:rPr>
          <w:color w:val="000000" w:themeColor="text1"/>
        </w:rPr>
      </w:pPr>
    </w:p>
    <w:p w14:paraId="739573E4"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lastRenderedPageBreak/>
        <w:tab/>
        <w:t>Contextualization:</w:t>
      </w:r>
      <w:r w:rsidRPr="009F4777">
        <w:rPr>
          <w:color w:val="000000" w:themeColor="text1"/>
        </w:rPr>
        <w:t xml:space="preserve"> </w:t>
      </w:r>
    </w:p>
    <w:p w14:paraId="390DE765" w14:textId="2E3343B4" w:rsidR="009A180E" w:rsidRPr="009F4777" w:rsidRDefault="001D1318" w:rsidP="00C13A05">
      <w:pPr>
        <w:tabs>
          <w:tab w:val="clear" w:pos="8640"/>
          <w:tab w:val="left" w:pos="1440"/>
          <w:tab w:val="left" w:pos="2569"/>
        </w:tabs>
        <w:ind w:firstLine="0"/>
        <w:rPr>
          <w:color w:val="000000" w:themeColor="text1"/>
        </w:rPr>
      </w:pPr>
      <w:r w:rsidRPr="009F4777">
        <w:rPr>
          <w:color w:val="000000" w:themeColor="text1"/>
        </w:rPr>
        <w:t>Contextualizing Morales' findings within the broader socio-political landscape of British Columbia unveils the underlying ideological tensions and power dynamics shaping policy discourse. Factors such as resource allocation, public opinion, and historical legacies influence the formulation and implementation of homelessness and poverty reduction strategies. Understanding these contextual factors is imperative for devising pragmatic and sustainable policy interventions that address root causes and promote social equity.</w:t>
      </w:r>
    </w:p>
    <w:p w14:paraId="478BEC09" w14:textId="18852FF8"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t xml:space="preserve">Source 9: </w:t>
      </w:r>
    </w:p>
    <w:p w14:paraId="5DEAF8FF" w14:textId="3E389CED" w:rsidR="00C13A05" w:rsidRPr="009F4777" w:rsidRDefault="00B40B5E" w:rsidP="00C13A05">
      <w:pPr>
        <w:tabs>
          <w:tab w:val="right" w:pos="8640"/>
          <w:tab w:val="right" w:pos="8640"/>
        </w:tabs>
        <w:spacing w:line="240" w:lineRule="auto"/>
        <w:ind w:firstLine="0"/>
        <w:rPr>
          <w:color w:val="000000" w:themeColor="text1"/>
        </w:rPr>
      </w:pPr>
      <w:proofErr w:type="spellStart"/>
      <w:r w:rsidRPr="009F4777">
        <w:rPr>
          <w:color w:val="000000" w:themeColor="text1"/>
        </w:rPr>
        <w:t>Hysing</w:t>
      </w:r>
      <w:proofErr w:type="spellEnd"/>
      <w:r w:rsidRPr="009F4777">
        <w:rPr>
          <w:color w:val="000000" w:themeColor="text1"/>
        </w:rPr>
        <w:t>, E., &amp; Olsson, J. (2018). Green Inside Activism for Sustainable Development. In Green Inside Activism for Sustainable Development (pp. 141-158). DOI: 10.1007/978-3-319-56723-5_7</w:t>
      </w:r>
    </w:p>
    <w:p w14:paraId="1A5F45C6" w14:textId="77777777" w:rsidR="00C13A05" w:rsidRPr="009F4777" w:rsidRDefault="00C13A05" w:rsidP="00C13A05">
      <w:pPr>
        <w:tabs>
          <w:tab w:val="right" w:pos="8640"/>
          <w:tab w:val="right" w:pos="8640"/>
        </w:tabs>
        <w:spacing w:line="240" w:lineRule="auto"/>
        <w:ind w:left="8640" w:hanging="8640"/>
        <w:rPr>
          <w:b/>
          <w:bCs/>
          <w:color w:val="000000" w:themeColor="text1"/>
        </w:rPr>
      </w:pPr>
    </w:p>
    <w:p w14:paraId="4DFF21E9" w14:textId="595BD962" w:rsidR="00C13A05" w:rsidRPr="009F4777" w:rsidRDefault="00C13A05" w:rsidP="00CD57D1">
      <w:pPr>
        <w:tabs>
          <w:tab w:val="left" w:pos="1440"/>
          <w:tab w:val="right" w:pos="2880"/>
          <w:tab w:val="right" w:pos="8640"/>
          <w:tab w:val="right" w:pos="8640"/>
        </w:tabs>
        <w:ind w:firstLine="0"/>
        <w:rPr>
          <w:b/>
          <w:bCs/>
          <w:color w:val="000000" w:themeColor="text1"/>
        </w:rPr>
      </w:pPr>
      <w:r w:rsidRPr="009F4777">
        <w:rPr>
          <w:b/>
          <w:bCs/>
          <w:color w:val="000000" w:themeColor="text1"/>
        </w:rPr>
        <w:t>Comment 9:</w:t>
      </w:r>
    </w:p>
    <w:p w14:paraId="4FC4D544"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4D366194" w14:textId="3E2881BD" w:rsidR="00C13A05" w:rsidRPr="009F4777" w:rsidRDefault="00956311" w:rsidP="00C13A05">
      <w:pPr>
        <w:tabs>
          <w:tab w:val="clear" w:pos="8640"/>
          <w:tab w:val="left" w:pos="1440"/>
          <w:tab w:val="left" w:pos="2569"/>
        </w:tabs>
        <w:ind w:firstLine="0"/>
        <w:rPr>
          <w:color w:val="000000" w:themeColor="text1"/>
        </w:rPr>
      </w:pPr>
      <w:r w:rsidRPr="009F4777">
        <w:rPr>
          <w:color w:val="000000" w:themeColor="text1"/>
        </w:rPr>
        <w:t>Green Inside Activism for Sustainable Development," the authors delve into the intricate dynamics of inside activism within the realms of democracy, public administration, and policy entrepreneurship."</w:t>
      </w:r>
    </w:p>
    <w:p w14:paraId="3A4A365E"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4C14988D" w14:textId="037965C5" w:rsidR="00C13A05" w:rsidRPr="009F4777" w:rsidRDefault="00956311" w:rsidP="00C13A05">
      <w:pPr>
        <w:tabs>
          <w:tab w:val="clear" w:pos="8640"/>
          <w:tab w:val="left" w:pos="1440"/>
          <w:tab w:val="left" w:pos="2569"/>
        </w:tabs>
        <w:ind w:firstLine="0"/>
        <w:rPr>
          <w:color w:val="000000" w:themeColor="text1"/>
        </w:rPr>
      </w:pPr>
      <w:r w:rsidRPr="009F4777">
        <w:rPr>
          <w:color w:val="000000" w:themeColor="text1"/>
        </w:rPr>
        <w:t>Their examination sheds light on the evolving role of activists who operate within institutional structures to effect change, challenging conventional notions of activism solely as an external force.</w:t>
      </w:r>
    </w:p>
    <w:p w14:paraId="4D2D4259"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5C57241A" w14:textId="0B5FD444" w:rsidR="00C13A05" w:rsidRPr="009F4777" w:rsidRDefault="00956311" w:rsidP="0012163A">
      <w:pPr>
        <w:rPr>
          <w:color w:val="000000" w:themeColor="text1"/>
        </w:rPr>
      </w:pPr>
      <w:r w:rsidRPr="009F4777">
        <w:rPr>
          <w:color w:val="000000" w:themeColor="text1"/>
        </w:rPr>
        <w:t xml:space="preserve">In their comprehensive examination, the authors underscore the significance of aligning activism with democratic principles and administrative procedures. This additive analysis enriches our understanding by highlighting the potential of inside activists to serve as conduits </w:t>
      </w:r>
      <w:r w:rsidRPr="009F4777">
        <w:rPr>
          <w:color w:val="000000" w:themeColor="text1"/>
        </w:rPr>
        <w:lastRenderedPageBreak/>
        <w:t>between citizen engagement and governmental decision-making, thus emphasizing the vital role they play in fostering cohesive governance.</w:t>
      </w:r>
    </w:p>
    <w:p w14:paraId="1610D622"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324E7AC3" w14:textId="351AF828" w:rsidR="0012163A" w:rsidRPr="009F4777" w:rsidRDefault="0012163A" w:rsidP="00C13A05">
      <w:pPr>
        <w:tabs>
          <w:tab w:val="clear" w:pos="8640"/>
          <w:tab w:val="left" w:pos="1440"/>
          <w:tab w:val="left" w:pos="2569"/>
        </w:tabs>
        <w:ind w:firstLine="0"/>
        <w:rPr>
          <w:color w:val="000000" w:themeColor="text1"/>
        </w:rPr>
      </w:pPr>
      <w:r w:rsidRPr="009F4777">
        <w:rPr>
          <w:color w:val="000000" w:themeColor="text1"/>
        </w:rPr>
        <w:t>This article provides valuable insights into the complexities of contemporary activism and its implications for democratic governance and policy implementation. Contextualizing these insights within the broader landscape of societal dynamics, it sheds light on the evolving nature of activism in response to contemporary challenges. Moreover, it underscores the critical importance of understanding the role of inside activism in navigating the intricate interplay between citizen engagement and governmental decision-making processes. This contextualization not only enhances our comprehension of the multifaceted nature of activism but also offers invaluable perspectives for shaping more inclusive and effective democratic governance structures.</w:t>
      </w:r>
    </w:p>
    <w:p w14:paraId="1EF3A448" w14:textId="15759C52"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t xml:space="preserve">Source 10: </w:t>
      </w:r>
    </w:p>
    <w:p w14:paraId="03F20E0A" w14:textId="4510C473" w:rsidR="00C13A05" w:rsidRPr="009F4777" w:rsidRDefault="007501FD" w:rsidP="00C13A05">
      <w:pPr>
        <w:tabs>
          <w:tab w:val="right" w:pos="8640"/>
          <w:tab w:val="right" w:pos="8640"/>
        </w:tabs>
        <w:spacing w:line="240" w:lineRule="auto"/>
        <w:ind w:firstLine="0"/>
        <w:rPr>
          <w:color w:val="000000" w:themeColor="text1"/>
        </w:rPr>
      </w:pPr>
      <w:r w:rsidRPr="009F4777">
        <w:rPr>
          <w:color w:val="000000" w:themeColor="text1"/>
        </w:rPr>
        <w:t xml:space="preserve">Svensson, P. (2017). Cross-Sector Strategists: Dedicated Bureaucrats in Local Government Administration [Doctoral dissertation, University of Gothenburg]. Retrieved from </w:t>
      </w:r>
      <w:hyperlink r:id="rId10" w:history="1">
        <w:r w:rsidRPr="009F4777">
          <w:rPr>
            <w:rStyle w:val="Hyperlink"/>
            <w:color w:val="000000" w:themeColor="text1"/>
          </w:rPr>
          <w:t>http://hdl.handle.net/2077/54242</w:t>
        </w:r>
      </w:hyperlink>
    </w:p>
    <w:p w14:paraId="78114BBA" w14:textId="77777777" w:rsidR="00C13A05" w:rsidRPr="009F4777" w:rsidRDefault="00C13A05" w:rsidP="007501FD">
      <w:pPr>
        <w:tabs>
          <w:tab w:val="right" w:pos="8640"/>
          <w:tab w:val="right" w:pos="8640"/>
        </w:tabs>
        <w:spacing w:line="240" w:lineRule="auto"/>
        <w:ind w:firstLine="0"/>
        <w:rPr>
          <w:b/>
          <w:bCs/>
          <w:color w:val="000000" w:themeColor="text1"/>
        </w:rPr>
      </w:pPr>
    </w:p>
    <w:p w14:paraId="09E51A1C" w14:textId="6AB0AFB8" w:rsidR="00C13A05" w:rsidRPr="009F4777" w:rsidRDefault="00C13A05" w:rsidP="007501FD">
      <w:pPr>
        <w:tabs>
          <w:tab w:val="left" w:pos="1440"/>
          <w:tab w:val="right" w:pos="2880"/>
          <w:tab w:val="right" w:pos="8640"/>
          <w:tab w:val="right" w:pos="8640"/>
        </w:tabs>
        <w:ind w:firstLine="0"/>
        <w:rPr>
          <w:b/>
          <w:bCs/>
          <w:color w:val="000000" w:themeColor="text1"/>
        </w:rPr>
      </w:pPr>
      <w:r w:rsidRPr="009F4777">
        <w:rPr>
          <w:b/>
          <w:bCs/>
          <w:color w:val="000000" w:themeColor="text1"/>
        </w:rPr>
        <w:t>Comment 1</w:t>
      </w:r>
      <w:r w:rsidR="00394D35" w:rsidRPr="009F4777">
        <w:rPr>
          <w:b/>
          <w:bCs/>
          <w:color w:val="000000" w:themeColor="text1"/>
        </w:rPr>
        <w:t>0</w:t>
      </w:r>
      <w:r w:rsidRPr="009F4777">
        <w:rPr>
          <w:b/>
          <w:bCs/>
          <w:color w:val="000000" w:themeColor="text1"/>
        </w:rPr>
        <w:t>:</w:t>
      </w:r>
    </w:p>
    <w:p w14:paraId="3527601E"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429F1E5D" w14:textId="3448AE0F" w:rsidR="00C13A05" w:rsidRPr="009F4777" w:rsidRDefault="00DC4C92" w:rsidP="00C13A05">
      <w:pPr>
        <w:tabs>
          <w:tab w:val="clear" w:pos="8640"/>
          <w:tab w:val="left" w:pos="1440"/>
          <w:tab w:val="left" w:pos="2569"/>
        </w:tabs>
        <w:ind w:firstLine="0"/>
        <w:rPr>
          <w:color w:val="000000" w:themeColor="text1"/>
        </w:rPr>
      </w:pPr>
      <w:r w:rsidRPr="009F4777">
        <w:rPr>
          <w:color w:val="000000" w:themeColor="text1"/>
        </w:rPr>
        <w:t>In 'Cross-Sector Strategists: Dedicated Bureaucrats in Local Government Administration,' Svensson explores the role of dedicated bureaucrats in facilitating cross-sector collaboration.</w:t>
      </w:r>
    </w:p>
    <w:p w14:paraId="6D5CA9DA"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16ED08C2" w14:textId="78589C97" w:rsidR="00C13A05" w:rsidRPr="009F4777" w:rsidRDefault="00DC4C92" w:rsidP="00C13A05">
      <w:pPr>
        <w:tabs>
          <w:tab w:val="clear" w:pos="8640"/>
          <w:tab w:val="left" w:pos="1440"/>
          <w:tab w:val="left" w:pos="2569"/>
        </w:tabs>
        <w:ind w:firstLine="0"/>
        <w:rPr>
          <w:color w:val="000000" w:themeColor="text1"/>
        </w:rPr>
      </w:pPr>
      <w:r w:rsidRPr="009F4777">
        <w:rPr>
          <w:color w:val="000000" w:themeColor="text1"/>
        </w:rPr>
        <w:t>The research underscores the essential role of these bureaucrats in navigating complex intersectoral relationships to address societal challenges effectively.</w:t>
      </w:r>
    </w:p>
    <w:p w14:paraId="0B4F2519" w14:textId="77777777" w:rsidR="00DC4C92"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Additive/ Variant Analysis:</w:t>
      </w:r>
    </w:p>
    <w:p w14:paraId="252069FC" w14:textId="0B18AC4B" w:rsidR="00C13A05" w:rsidRPr="009F4777" w:rsidRDefault="007E5B3B" w:rsidP="00C13A05">
      <w:pPr>
        <w:tabs>
          <w:tab w:val="clear" w:pos="8640"/>
          <w:tab w:val="left" w:pos="1440"/>
          <w:tab w:val="left" w:pos="2569"/>
        </w:tabs>
        <w:ind w:firstLine="0"/>
        <w:rPr>
          <w:color w:val="000000" w:themeColor="text1"/>
        </w:rPr>
      </w:pPr>
      <w:r w:rsidRPr="009F4777">
        <w:rPr>
          <w:color w:val="000000" w:themeColor="text1"/>
        </w:rPr>
        <w:lastRenderedPageBreak/>
        <w:t>Moreover, Svensson's analysis reveals how these bureaucrats contribute to organizational resilience by bridging sectoral divides and fostering innovative solutions to multifaceted problems. The abstract highlights the increasing complexity of political-administrative organizations, with more horizontal governance required, and the emergence of a group of administrators called cross-sector strategists tasked with monitoring and promoting strategic topics such as sustainability, safety/security, diversity, and gender equality within Swedish municipal administration.</w:t>
      </w:r>
      <w:r w:rsidR="00C13A05" w:rsidRPr="009F4777">
        <w:rPr>
          <w:color w:val="000000" w:themeColor="text1"/>
        </w:rPr>
        <w:t xml:space="preserve"> </w:t>
      </w:r>
    </w:p>
    <w:p w14:paraId="678EB2CC"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447F083B" w14:textId="1C403D6F" w:rsidR="007E5B3B" w:rsidRPr="009F4777" w:rsidRDefault="007E5B3B" w:rsidP="00C13A05">
      <w:pPr>
        <w:tabs>
          <w:tab w:val="clear" w:pos="8640"/>
          <w:tab w:val="left" w:pos="1440"/>
          <w:tab w:val="left" w:pos="2569"/>
        </w:tabs>
        <w:ind w:firstLine="0"/>
        <w:rPr>
          <w:color w:val="000000" w:themeColor="text1"/>
        </w:rPr>
      </w:pPr>
      <w:r w:rsidRPr="009F4777">
        <w:rPr>
          <w:color w:val="000000" w:themeColor="text1"/>
        </w:rPr>
        <w:t>Contextualizing Svensson's findings within the broader landscape of public administration, it becomes evident that understanding the dynamics of cross-sector collaboration is crucial for promoting effective governance and sustainable development. The abstract also discusses the challenges faced by cross-sector strategists, such as value conflicts, and the need for them to navigate between vertical and horizontal governance traditions while remaining highly reflexive and flexible actors.</w:t>
      </w:r>
    </w:p>
    <w:p w14:paraId="686E3C89" w14:textId="3D6CC2A6" w:rsidR="00C13A05" w:rsidRPr="009F4777" w:rsidRDefault="00C13A05" w:rsidP="00C13A05">
      <w:pPr>
        <w:tabs>
          <w:tab w:val="right" w:pos="8640"/>
          <w:tab w:val="right" w:pos="8640"/>
        </w:tabs>
        <w:spacing w:line="240" w:lineRule="auto"/>
        <w:ind w:firstLine="0"/>
        <w:rPr>
          <w:color w:val="000000" w:themeColor="text1"/>
        </w:rPr>
      </w:pPr>
      <w:r w:rsidRPr="009F4777">
        <w:rPr>
          <w:b/>
          <w:bCs/>
          <w:color w:val="000000" w:themeColor="text1"/>
        </w:rPr>
        <w:t xml:space="preserve">Source 11: </w:t>
      </w:r>
    </w:p>
    <w:p w14:paraId="68153A58" w14:textId="46EF05FB" w:rsidR="00C13A05" w:rsidRPr="009F4777" w:rsidRDefault="00AF7BAA" w:rsidP="00C13A05">
      <w:pPr>
        <w:tabs>
          <w:tab w:val="right" w:pos="8640"/>
          <w:tab w:val="right" w:pos="8640"/>
        </w:tabs>
        <w:spacing w:line="240" w:lineRule="auto"/>
        <w:ind w:firstLine="0"/>
        <w:rPr>
          <w:color w:val="000000" w:themeColor="text1"/>
        </w:rPr>
      </w:pPr>
      <w:proofErr w:type="spellStart"/>
      <w:r w:rsidRPr="009F4777">
        <w:rPr>
          <w:color w:val="000000" w:themeColor="text1"/>
        </w:rPr>
        <w:t>Heclo</w:t>
      </w:r>
      <w:proofErr w:type="spellEnd"/>
      <w:r w:rsidRPr="009F4777">
        <w:rPr>
          <w:color w:val="000000" w:themeColor="text1"/>
        </w:rPr>
        <w:t xml:space="preserve">, H. (2002). The Spirit of Public Administration. PS: Political Science and Politics, 35(4), 689–694. </w:t>
      </w:r>
      <w:hyperlink r:id="rId11" w:history="1">
        <w:r w:rsidRPr="009F4777">
          <w:rPr>
            <w:rStyle w:val="Hyperlink"/>
            <w:color w:val="000000" w:themeColor="text1"/>
          </w:rPr>
          <w:t>http://www.jstor.org/stable/1554811</w:t>
        </w:r>
      </w:hyperlink>
    </w:p>
    <w:p w14:paraId="116C355D" w14:textId="77777777" w:rsidR="00C13A05" w:rsidRPr="009F4777" w:rsidRDefault="00C13A05" w:rsidP="00AF7BAA">
      <w:pPr>
        <w:tabs>
          <w:tab w:val="right" w:pos="8640"/>
          <w:tab w:val="right" w:pos="8640"/>
        </w:tabs>
        <w:spacing w:line="240" w:lineRule="auto"/>
        <w:ind w:firstLine="0"/>
        <w:rPr>
          <w:b/>
          <w:bCs/>
          <w:color w:val="000000" w:themeColor="text1"/>
        </w:rPr>
      </w:pPr>
    </w:p>
    <w:p w14:paraId="027A421F" w14:textId="0A9895FD" w:rsidR="00C13A05" w:rsidRPr="009F4777" w:rsidRDefault="00C13A05" w:rsidP="00B6716D">
      <w:pPr>
        <w:tabs>
          <w:tab w:val="left" w:pos="1440"/>
          <w:tab w:val="right" w:pos="2880"/>
          <w:tab w:val="right" w:pos="8640"/>
          <w:tab w:val="right" w:pos="8640"/>
        </w:tabs>
        <w:ind w:firstLine="0"/>
        <w:rPr>
          <w:b/>
          <w:bCs/>
          <w:color w:val="000000" w:themeColor="text1"/>
        </w:rPr>
      </w:pPr>
      <w:r w:rsidRPr="009F4777">
        <w:rPr>
          <w:b/>
          <w:bCs/>
          <w:color w:val="000000" w:themeColor="text1"/>
        </w:rPr>
        <w:t>Comment 1</w:t>
      </w:r>
      <w:r w:rsidR="00394D35" w:rsidRPr="009F4777">
        <w:rPr>
          <w:b/>
          <w:bCs/>
          <w:color w:val="000000" w:themeColor="text1"/>
        </w:rPr>
        <w:t>1</w:t>
      </w:r>
      <w:r w:rsidRPr="009F4777">
        <w:rPr>
          <w:b/>
          <w:bCs/>
          <w:color w:val="000000" w:themeColor="text1"/>
        </w:rPr>
        <w:t>:</w:t>
      </w:r>
    </w:p>
    <w:p w14:paraId="274753F0" w14:textId="77777777" w:rsidR="00C13A05" w:rsidRPr="009F4777" w:rsidRDefault="00C13A05" w:rsidP="00C13A0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766BEC43" w14:textId="68E975B9" w:rsidR="00C13A05" w:rsidRPr="009F4777" w:rsidRDefault="00B6716D" w:rsidP="00C13A05">
      <w:pPr>
        <w:tabs>
          <w:tab w:val="clear" w:pos="8640"/>
          <w:tab w:val="left" w:pos="1440"/>
          <w:tab w:val="left" w:pos="2569"/>
        </w:tabs>
        <w:ind w:firstLine="0"/>
        <w:rPr>
          <w:color w:val="000000" w:themeColor="text1"/>
        </w:rPr>
      </w:pPr>
      <w:r w:rsidRPr="009F4777">
        <w:rPr>
          <w:color w:val="000000" w:themeColor="text1"/>
        </w:rPr>
        <w:t xml:space="preserve">In 'The Spirit of Public Administration,' </w:t>
      </w:r>
      <w:proofErr w:type="spellStart"/>
      <w:r w:rsidRPr="009F4777">
        <w:rPr>
          <w:color w:val="000000" w:themeColor="text1"/>
        </w:rPr>
        <w:t>Heclo</w:t>
      </w:r>
      <w:proofErr w:type="spellEnd"/>
      <w:r w:rsidRPr="009F4777">
        <w:rPr>
          <w:color w:val="000000" w:themeColor="text1"/>
        </w:rPr>
        <w:t xml:space="preserve"> delves into the underlying ethos and values that animate the field of public administration.</w:t>
      </w:r>
    </w:p>
    <w:p w14:paraId="2553C186" w14:textId="77777777" w:rsidR="00C13A05" w:rsidRPr="009F4777" w:rsidRDefault="00C13A05" w:rsidP="00C13A0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1933FCD6" w14:textId="7DD9BA9D" w:rsidR="00C13A05" w:rsidRPr="009F4777" w:rsidRDefault="00AF7BAA" w:rsidP="00C13A05">
      <w:pPr>
        <w:tabs>
          <w:tab w:val="clear" w:pos="8640"/>
          <w:tab w:val="left" w:pos="1440"/>
          <w:tab w:val="left" w:pos="2569"/>
        </w:tabs>
        <w:ind w:firstLine="0"/>
        <w:rPr>
          <w:color w:val="000000" w:themeColor="text1"/>
        </w:rPr>
      </w:pPr>
      <w:r w:rsidRPr="009F4777">
        <w:rPr>
          <w:color w:val="000000" w:themeColor="text1"/>
        </w:rPr>
        <w:t>The article underscores the essential importance of understanding the ethical foundations of public administration in shaping governance and policy outcomes.</w:t>
      </w:r>
    </w:p>
    <w:p w14:paraId="7A775855"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lastRenderedPageBreak/>
        <w:tab/>
        <w:t>Additive/ Variant Analysis:</w:t>
      </w:r>
      <w:r w:rsidRPr="009F4777">
        <w:rPr>
          <w:color w:val="000000" w:themeColor="text1"/>
        </w:rPr>
        <w:t xml:space="preserve"> </w:t>
      </w:r>
    </w:p>
    <w:p w14:paraId="4F84B6BB" w14:textId="56DFABEA" w:rsidR="00C13A05" w:rsidRPr="009F4777" w:rsidRDefault="00EF613B" w:rsidP="00C13A05">
      <w:pPr>
        <w:tabs>
          <w:tab w:val="clear" w:pos="8640"/>
          <w:tab w:val="left" w:pos="1440"/>
          <w:tab w:val="left" w:pos="2569"/>
        </w:tabs>
        <w:ind w:firstLine="0"/>
        <w:rPr>
          <w:color w:val="000000" w:themeColor="text1"/>
        </w:rPr>
      </w:pPr>
      <w:proofErr w:type="spellStart"/>
      <w:r w:rsidRPr="009F4777">
        <w:rPr>
          <w:color w:val="000000" w:themeColor="text1"/>
        </w:rPr>
        <w:t>Heclo's</w:t>
      </w:r>
      <w:proofErr w:type="spellEnd"/>
      <w:r w:rsidRPr="009F4777">
        <w:rPr>
          <w:color w:val="000000" w:themeColor="text1"/>
        </w:rPr>
        <w:t xml:space="preserve"> analysis illuminates the embodiment of principles such as service, accountability, and stewardship within the spirit of public administration. This essence serves as a guiding framework for practitioners, directing their endeavors towards the advancement of the public good in the face of intricate challenges.</w:t>
      </w:r>
    </w:p>
    <w:p w14:paraId="3162F588" w14:textId="77777777" w:rsidR="00C13A05" w:rsidRPr="009F4777" w:rsidRDefault="00C13A05" w:rsidP="00C13A0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0F83FF84" w14:textId="365F54C3" w:rsidR="00EF613B" w:rsidRPr="009F4777" w:rsidRDefault="000B099A" w:rsidP="00C13A05">
      <w:pPr>
        <w:tabs>
          <w:tab w:val="clear" w:pos="8640"/>
          <w:tab w:val="left" w:pos="1440"/>
          <w:tab w:val="left" w:pos="2569"/>
        </w:tabs>
        <w:ind w:firstLine="0"/>
        <w:rPr>
          <w:color w:val="000000" w:themeColor="text1"/>
        </w:rPr>
      </w:pPr>
      <w:r w:rsidRPr="009F4777">
        <w:rPr>
          <w:color w:val="000000" w:themeColor="text1"/>
        </w:rPr>
        <w:t xml:space="preserve">Contextualizing </w:t>
      </w:r>
      <w:proofErr w:type="spellStart"/>
      <w:r w:rsidRPr="009F4777">
        <w:rPr>
          <w:color w:val="000000" w:themeColor="text1"/>
        </w:rPr>
        <w:t>Heclo's</w:t>
      </w:r>
      <w:proofErr w:type="spellEnd"/>
      <w:r w:rsidRPr="009F4777">
        <w:rPr>
          <w:color w:val="000000" w:themeColor="text1"/>
        </w:rPr>
        <w:t xml:space="preserve"> insights within the broader landscape of public administration scholarship, it becomes evident that the spirit of public administration serves as a moral compass, guiding decision-making and actions in service to the public interest. This article contributes to ongoing discussions about the ethical dimensions of governance and the role of public administrators as stewards of democratic values and societal well-being.</w:t>
      </w:r>
    </w:p>
    <w:p w14:paraId="0DAF2F9A" w14:textId="6364409D" w:rsidR="00394D35" w:rsidRPr="009F4777" w:rsidRDefault="00394D35" w:rsidP="00394D35">
      <w:pPr>
        <w:tabs>
          <w:tab w:val="right" w:pos="8640"/>
          <w:tab w:val="right" w:pos="8640"/>
        </w:tabs>
        <w:spacing w:line="240" w:lineRule="auto"/>
        <w:ind w:firstLine="0"/>
        <w:rPr>
          <w:color w:val="000000" w:themeColor="text1"/>
        </w:rPr>
      </w:pPr>
      <w:r w:rsidRPr="009F4777">
        <w:rPr>
          <w:b/>
          <w:bCs/>
          <w:color w:val="000000" w:themeColor="text1"/>
        </w:rPr>
        <w:t xml:space="preserve">Source 12: </w:t>
      </w:r>
    </w:p>
    <w:p w14:paraId="14C1CFEF" w14:textId="4BFBCDE3" w:rsidR="00394D35" w:rsidRPr="009F4777" w:rsidRDefault="007500B0" w:rsidP="00394D35">
      <w:pPr>
        <w:tabs>
          <w:tab w:val="right" w:pos="8640"/>
          <w:tab w:val="right" w:pos="8640"/>
        </w:tabs>
        <w:spacing w:line="240" w:lineRule="auto"/>
        <w:ind w:firstLine="0"/>
        <w:rPr>
          <w:color w:val="000000" w:themeColor="text1"/>
        </w:rPr>
      </w:pPr>
      <w:r w:rsidRPr="009F4777">
        <w:rPr>
          <w:color w:val="000000" w:themeColor="text1"/>
        </w:rPr>
        <w:t xml:space="preserve">Lane, J. (2019). Developmental Governance. Open Journal of Political Science, 9, 624-630. </w:t>
      </w:r>
      <w:hyperlink r:id="rId12" w:history="1">
        <w:r w:rsidRPr="009F4777">
          <w:rPr>
            <w:rStyle w:val="Hyperlink"/>
            <w:color w:val="000000" w:themeColor="text1"/>
          </w:rPr>
          <w:t>https://doi.org/10.4236/ojps.2019.94038</w:t>
        </w:r>
      </w:hyperlink>
      <w:r w:rsidRPr="009F4777">
        <w:rPr>
          <w:color w:val="000000" w:themeColor="text1"/>
        </w:rPr>
        <w:t>.</w:t>
      </w:r>
    </w:p>
    <w:p w14:paraId="6A52C502" w14:textId="77777777" w:rsidR="00394D35" w:rsidRPr="009F4777" w:rsidRDefault="00394D35" w:rsidP="00394D35">
      <w:pPr>
        <w:tabs>
          <w:tab w:val="right" w:pos="8640"/>
          <w:tab w:val="right" w:pos="8640"/>
        </w:tabs>
        <w:spacing w:line="240" w:lineRule="auto"/>
        <w:ind w:left="8640" w:hanging="8640"/>
        <w:rPr>
          <w:b/>
          <w:bCs/>
          <w:color w:val="000000" w:themeColor="text1"/>
        </w:rPr>
      </w:pPr>
    </w:p>
    <w:p w14:paraId="79E30352" w14:textId="1B9F2A34" w:rsidR="00394D35" w:rsidRPr="009F4777" w:rsidRDefault="00394D35" w:rsidP="009142CF">
      <w:pPr>
        <w:tabs>
          <w:tab w:val="left" w:pos="1440"/>
          <w:tab w:val="right" w:pos="2880"/>
          <w:tab w:val="right" w:pos="8640"/>
          <w:tab w:val="right" w:pos="8640"/>
        </w:tabs>
        <w:ind w:firstLine="0"/>
        <w:rPr>
          <w:b/>
          <w:bCs/>
          <w:color w:val="000000" w:themeColor="text1"/>
        </w:rPr>
      </w:pPr>
      <w:r w:rsidRPr="009F4777">
        <w:rPr>
          <w:b/>
          <w:bCs/>
          <w:color w:val="000000" w:themeColor="text1"/>
        </w:rPr>
        <w:t>Comment 12:</w:t>
      </w:r>
    </w:p>
    <w:p w14:paraId="15034D37" w14:textId="77777777" w:rsidR="00394D35" w:rsidRPr="009F4777" w:rsidRDefault="00394D35" w:rsidP="00394D35">
      <w:pPr>
        <w:tabs>
          <w:tab w:val="left" w:pos="1440"/>
          <w:tab w:val="right" w:pos="2880"/>
          <w:tab w:val="right" w:pos="8640"/>
          <w:tab w:val="right" w:pos="8640"/>
        </w:tabs>
        <w:ind w:firstLine="0"/>
        <w:rPr>
          <w:color w:val="000000" w:themeColor="text1"/>
        </w:rPr>
      </w:pPr>
      <w:r w:rsidRPr="009F4777">
        <w:rPr>
          <w:b/>
          <w:bCs/>
          <w:color w:val="000000" w:themeColor="text1"/>
        </w:rPr>
        <w:tab/>
        <w:t xml:space="preserve">Quote/ Paraphrase: </w:t>
      </w:r>
    </w:p>
    <w:p w14:paraId="3AB5E42A" w14:textId="4403F952" w:rsidR="00394D35" w:rsidRPr="009F4777" w:rsidRDefault="009142CF" w:rsidP="00394D35">
      <w:pPr>
        <w:tabs>
          <w:tab w:val="clear" w:pos="8640"/>
          <w:tab w:val="left" w:pos="1440"/>
          <w:tab w:val="left" w:pos="2569"/>
        </w:tabs>
        <w:ind w:firstLine="0"/>
        <w:rPr>
          <w:color w:val="000000" w:themeColor="text1"/>
        </w:rPr>
      </w:pPr>
      <w:r w:rsidRPr="009F4777">
        <w:rPr>
          <w:color w:val="000000" w:themeColor="text1"/>
        </w:rPr>
        <w:t>In 'Developmental Governance,' Lane explores the concept of developmental governance and its implications for contemporary governance frameworks.</w:t>
      </w:r>
    </w:p>
    <w:p w14:paraId="6EFEE709" w14:textId="77777777" w:rsidR="00394D35" w:rsidRPr="009F4777" w:rsidRDefault="00394D35" w:rsidP="00394D35">
      <w:pPr>
        <w:tabs>
          <w:tab w:val="clear" w:pos="8640"/>
          <w:tab w:val="left" w:pos="1440"/>
          <w:tab w:val="left" w:pos="2569"/>
        </w:tabs>
        <w:ind w:firstLine="0"/>
        <w:rPr>
          <w:b/>
          <w:bCs/>
          <w:color w:val="000000" w:themeColor="text1"/>
        </w:rPr>
      </w:pPr>
      <w:r w:rsidRPr="009F4777">
        <w:rPr>
          <w:b/>
          <w:bCs/>
          <w:color w:val="000000" w:themeColor="text1"/>
        </w:rPr>
        <w:tab/>
        <w:t>Essential Element:</w:t>
      </w:r>
    </w:p>
    <w:p w14:paraId="43F244EC" w14:textId="45D0906F" w:rsidR="00394D35" w:rsidRPr="009F4777" w:rsidRDefault="007500B0" w:rsidP="00394D35">
      <w:pPr>
        <w:tabs>
          <w:tab w:val="clear" w:pos="8640"/>
          <w:tab w:val="left" w:pos="1440"/>
          <w:tab w:val="left" w:pos="2569"/>
        </w:tabs>
        <w:ind w:firstLine="0"/>
        <w:rPr>
          <w:color w:val="000000" w:themeColor="text1"/>
        </w:rPr>
      </w:pPr>
      <w:r w:rsidRPr="009F4777">
        <w:rPr>
          <w:color w:val="000000" w:themeColor="text1"/>
        </w:rPr>
        <w:t>The article emphasizes the essential role of developmental governance in fostering sustainable development and addressing societal challenges.</w:t>
      </w:r>
    </w:p>
    <w:p w14:paraId="404AE6EE" w14:textId="77777777" w:rsidR="00394D35" w:rsidRPr="009F4777" w:rsidRDefault="00394D35" w:rsidP="00394D35">
      <w:pPr>
        <w:tabs>
          <w:tab w:val="clear" w:pos="8640"/>
          <w:tab w:val="left" w:pos="1440"/>
          <w:tab w:val="left" w:pos="2569"/>
        </w:tabs>
        <w:ind w:firstLine="0"/>
        <w:rPr>
          <w:color w:val="000000" w:themeColor="text1"/>
        </w:rPr>
      </w:pPr>
      <w:r w:rsidRPr="009F4777">
        <w:rPr>
          <w:b/>
          <w:bCs/>
          <w:color w:val="000000" w:themeColor="text1"/>
        </w:rPr>
        <w:tab/>
        <w:t>Additive/ Variant Analysis:</w:t>
      </w:r>
      <w:r w:rsidRPr="009F4777">
        <w:rPr>
          <w:color w:val="000000" w:themeColor="text1"/>
        </w:rPr>
        <w:t xml:space="preserve"> </w:t>
      </w:r>
    </w:p>
    <w:p w14:paraId="148A0018" w14:textId="7CB4A864" w:rsidR="00394D35" w:rsidRPr="009F4777" w:rsidRDefault="007500B0" w:rsidP="00394D35">
      <w:pPr>
        <w:tabs>
          <w:tab w:val="clear" w:pos="8640"/>
          <w:tab w:val="left" w:pos="1440"/>
          <w:tab w:val="left" w:pos="2569"/>
        </w:tabs>
        <w:ind w:firstLine="0"/>
        <w:rPr>
          <w:color w:val="000000" w:themeColor="text1"/>
        </w:rPr>
      </w:pPr>
      <w:r w:rsidRPr="009F4777">
        <w:rPr>
          <w:color w:val="000000" w:themeColor="text1"/>
        </w:rPr>
        <w:t xml:space="preserve">Moreover, Lane's analysis reveals how developmental governance transcends traditional governance models by prioritizing long-term development goals, participatory decision-making, </w:t>
      </w:r>
      <w:r w:rsidRPr="009F4777">
        <w:rPr>
          <w:color w:val="000000" w:themeColor="text1"/>
        </w:rPr>
        <w:lastRenderedPageBreak/>
        <w:t>and inclusive policy formulation processes. However, the abstract suggests that while developmental governance emphasizes commitment, coordination, and cooperation, it may lack clarity compared to the concept of development administration.</w:t>
      </w:r>
    </w:p>
    <w:p w14:paraId="0D326513" w14:textId="77777777" w:rsidR="00394D35" w:rsidRPr="009F4777" w:rsidRDefault="00394D35" w:rsidP="00394D35">
      <w:pPr>
        <w:tabs>
          <w:tab w:val="clear" w:pos="8640"/>
          <w:tab w:val="left" w:pos="1440"/>
          <w:tab w:val="left" w:pos="2569"/>
        </w:tabs>
        <w:ind w:firstLine="0"/>
        <w:rPr>
          <w:color w:val="000000" w:themeColor="text1"/>
        </w:rPr>
      </w:pPr>
      <w:r w:rsidRPr="009F4777">
        <w:rPr>
          <w:b/>
          <w:bCs/>
          <w:color w:val="000000" w:themeColor="text1"/>
        </w:rPr>
        <w:tab/>
        <w:t>Contextualization:</w:t>
      </w:r>
      <w:r w:rsidRPr="009F4777">
        <w:rPr>
          <w:color w:val="000000" w:themeColor="text1"/>
        </w:rPr>
        <w:t xml:space="preserve"> </w:t>
      </w:r>
    </w:p>
    <w:p w14:paraId="5CD25FB9" w14:textId="6E24AE77" w:rsidR="00394D35" w:rsidRPr="009F4777" w:rsidRDefault="0000075C" w:rsidP="00C13A05">
      <w:pPr>
        <w:tabs>
          <w:tab w:val="clear" w:pos="8640"/>
          <w:tab w:val="left" w:pos="1440"/>
          <w:tab w:val="left" w:pos="2569"/>
        </w:tabs>
        <w:ind w:firstLine="0"/>
        <w:rPr>
          <w:color w:val="000000" w:themeColor="text1"/>
        </w:rPr>
      </w:pPr>
      <w:r w:rsidRPr="009F4777">
        <w:rPr>
          <w:color w:val="000000" w:themeColor="text1"/>
        </w:rPr>
        <w:t>Contextualizing Lane's insights within the broader discourse on governance and development, it becomes evident that developmental governance offers a holistic approach to addressing complex social, economic, and environmental issues. This article contributes to advancing discussions on effective governance strategies for promoting inclusive growth and societal well-being in a rapidly changing world.</w:t>
      </w:r>
    </w:p>
    <w:p w14:paraId="6F375607" w14:textId="6BD888B1" w:rsidR="00C13A05" w:rsidRDefault="00C13A05" w:rsidP="00C13A05">
      <w:pPr>
        <w:tabs>
          <w:tab w:val="clear" w:pos="8640"/>
          <w:tab w:val="left" w:pos="1440"/>
          <w:tab w:val="left" w:pos="2569"/>
        </w:tabs>
        <w:ind w:firstLine="0"/>
      </w:pPr>
      <w:r>
        <w:t xml:space="preserve"> </w:t>
      </w:r>
    </w:p>
    <w:p w14:paraId="45C770AF" w14:textId="77777777" w:rsidR="00C13A05" w:rsidRDefault="00C13A05" w:rsidP="00C13A05">
      <w:pPr>
        <w:tabs>
          <w:tab w:val="clear" w:pos="8640"/>
          <w:tab w:val="left" w:pos="1440"/>
          <w:tab w:val="left" w:pos="2569"/>
        </w:tabs>
        <w:ind w:firstLine="0"/>
      </w:pPr>
    </w:p>
    <w:p w14:paraId="1070FAD2" w14:textId="77777777" w:rsidR="00C13A05" w:rsidRDefault="00C13A05" w:rsidP="00C13A05">
      <w:pPr>
        <w:tabs>
          <w:tab w:val="clear" w:pos="8640"/>
          <w:tab w:val="left" w:pos="1440"/>
          <w:tab w:val="left" w:pos="2569"/>
        </w:tabs>
        <w:ind w:firstLine="0"/>
      </w:pPr>
    </w:p>
    <w:p w14:paraId="097A7491" w14:textId="77777777" w:rsidR="00C13A05" w:rsidRDefault="00C13A05" w:rsidP="00C13A05">
      <w:pPr>
        <w:tabs>
          <w:tab w:val="clear" w:pos="8640"/>
          <w:tab w:val="left" w:pos="1440"/>
          <w:tab w:val="left" w:pos="2569"/>
        </w:tabs>
        <w:ind w:firstLine="0"/>
      </w:pPr>
    </w:p>
    <w:p w14:paraId="764D43E0" w14:textId="77777777" w:rsidR="00C13A05" w:rsidRPr="006D3F6F" w:rsidRDefault="00C13A05" w:rsidP="00C13A05">
      <w:pPr>
        <w:tabs>
          <w:tab w:val="clear" w:pos="8640"/>
          <w:tab w:val="left" w:pos="1440"/>
          <w:tab w:val="left" w:pos="2569"/>
        </w:tabs>
        <w:ind w:firstLine="0"/>
      </w:pPr>
    </w:p>
    <w:p w14:paraId="07D14E27" w14:textId="77777777" w:rsidR="00C36CB3" w:rsidRPr="00C36CB3" w:rsidRDefault="00C36CB3" w:rsidP="00C13A05">
      <w:pPr>
        <w:tabs>
          <w:tab w:val="clear" w:pos="8640"/>
          <w:tab w:val="left" w:pos="1440"/>
          <w:tab w:val="left" w:pos="2569"/>
        </w:tabs>
        <w:ind w:firstLine="0"/>
      </w:pPr>
    </w:p>
    <w:p w14:paraId="719D319F" w14:textId="77777777" w:rsidR="00533F7B" w:rsidRDefault="00533F7B" w:rsidP="00533F7B">
      <w:pPr>
        <w:tabs>
          <w:tab w:val="clear" w:pos="8640"/>
          <w:tab w:val="left" w:pos="2569"/>
        </w:tabs>
        <w:ind w:firstLine="0"/>
      </w:pPr>
    </w:p>
    <w:p w14:paraId="112FD50D" w14:textId="030F00C5" w:rsidR="00533F7B" w:rsidRPr="00533F7B" w:rsidRDefault="00533F7B" w:rsidP="00533F7B">
      <w:pPr>
        <w:tabs>
          <w:tab w:val="clear" w:pos="8640"/>
          <w:tab w:val="left" w:pos="2569"/>
        </w:tabs>
        <w:ind w:firstLine="0"/>
      </w:pPr>
      <w:r>
        <w:rPr>
          <w:b/>
          <w:bCs/>
        </w:rPr>
        <w:tab/>
        <w:t xml:space="preserve"> </w:t>
      </w:r>
    </w:p>
    <w:p w14:paraId="59BF7452" w14:textId="77777777" w:rsidR="00533F7B" w:rsidRDefault="00533F7B" w:rsidP="00A909D1">
      <w:pPr>
        <w:tabs>
          <w:tab w:val="right" w:pos="8640"/>
          <w:tab w:val="right" w:pos="8640"/>
        </w:tabs>
        <w:ind w:firstLine="0"/>
        <w:rPr>
          <w:b/>
          <w:bCs/>
        </w:rPr>
      </w:pPr>
    </w:p>
    <w:p w14:paraId="00000039" w14:textId="730D2132" w:rsidR="000D5719" w:rsidRDefault="00630DF7" w:rsidP="00A909D1">
      <w:pPr>
        <w:tabs>
          <w:tab w:val="right" w:pos="8640"/>
          <w:tab w:val="right" w:pos="8640"/>
        </w:tabs>
        <w:ind w:firstLine="0"/>
      </w:pPr>
      <w:r>
        <w:br w:type="page"/>
      </w:r>
    </w:p>
    <w:p w14:paraId="0000003A" w14:textId="77777777" w:rsidR="000D5719" w:rsidRDefault="00630DF7">
      <w:pPr>
        <w:tabs>
          <w:tab w:val="right" w:pos="8640"/>
          <w:tab w:val="right" w:pos="8640"/>
        </w:tabs>
        <w:jc w:val="center"/>
      </w:pPr>
      <w:r>
        <w:lastRenderedPageBreak/>
        <w:t>WORKS CITED</w:t>
      </w:r>
    </w:p>
    <w:p w14:paraId="5B2E1E4C" w14:textId="25EF7962" w:rsidR="00D71602" w:rsidRDefault="00D71602" w:rsidP="009F4777">
      <w:pPr>
        <w:tabs>
          <w:tab w:val="right" w:pos="8640"/>
          <w:tab w:val="right" w:pos="8640"/>
        </w:tabs>
        <w:ind w:left="720" w:hanging="720"/>
      </w:pPr>
      <w:r>
        <w:t xml:space="preserve">Ernst, A. (2019). Review of factors influencing social learning within participatory environmental governance. Ecology and Society, 24(1). </w:t>
      </w:r>
      <w:hyperlink r:id="rId13" w:history="1">
        <w:r w:rsidR="009F4777" w:rsidRPr="00CD0B0B">
          <w:rPr>
            <w:rStyle w:val="Hyperlink"/>
          </w:rPr>
          <w:t>https://www.jstor.org/stable/26796921</w:t>
        </w:r>
      </w:hyperlink>
    </w:p>
    <w:p w14:paraId="578F3413" w14:textId="77777777" w:rsidR="009F4777" w:rsidRDefault="009F4777" w:rsidP="009F4777">
      <w:pPr>
        <w:tabs>
          <w:tab w:val="right" w:pos="8640"/>
          <w:tab w:val="right" w:pos="8640"/>
        </w:tabs>
        <w:ind w:left="720" w:hanging="720"/>
      </w:pPr>
    </w:p>
    <w:p w14:paraId="1407A56A" w14:textId="55E5E43E" w:rsidR="00D71602" w:rsidRDefault="00D71602" w:rsidP="009F4777">
      <w:pPr>
        <w:tabs>
          <w:tab w:val="right" w:pos="8640"/>
          <w:tab w:val="right" w:pos="8640"/>
        </w:tabs>
        <w:ind w:left="720" w:hanging="720"/>
      </w:pPr>
      <w:r>
        <w:t xml:space="preserve">Feindt, P. H., &amp; Weiland, S. (2018). Reflexive governance: Exploring the concept and assessing its critical potential for sustainable development. Journal of Environmental Policy &amp; Planning, 20(6), 661–674. </w:t>
      </w:r>
      <w:hyperlink r:id="rId14" w:history="1">
        <w:r w:rsidR="009F4777" w:rsidRPr="00CD0B0B">
          <w:rPr>
            <w:rStyle w:val="Hyperlink"/>
          </w:rPr>
          <w:t>https://doi.org/10.1080/1523908X.2018.1532562</w:t>
        </w:r>
      </w:hyperlink>
    </w:p>
    <w:p w14:paraId="5B34ED2A" w14:textId="77777777" w:rsidR="009F4777" w:rsidRDefault="009F4777" w:rsidP="009F4777">
      <w:pPr>
        <w:tabs>
          <w:tab w:val="right" w:pos="8640"/>
          <w:tab w:val="right" w:pos="8640"/>
        </w:tabs>
        <w:ind w:left="720" w:hanging="720"/>
      </w:pPr>
    </w:p>
    <w:p w14:paraId="04618EEE" w14:textId="77777777" w:rsidR="00D71602" w:rsidRDefault="00D71602" w:rsidP="00D71602">
      <w:pPr>
        <w:tabs>
          <w:tab w:val="right" w:pos="8640"/>
          <w:tab w:val="right" w:pos="8640"/>
        </w:tabs>
        <w:ind w:left="720" w:hanging="720"/>
      </w:pPr>
      <w:r>
        <w:t>Gadamer, H.-G. (2004). Truth and Method (2nd ed.). Continuum.</w:t>
      </w:r>
    </w:p>
    <w:p w14:paraId="2DB4F583" w14:textId="77777777" w:rsidR="00D71602" w:rsidRDefault="00D71602" w:rsidP="00D71602">
      <w:pPr>
        <w:tabs>
          <w:tab w:val="right" w:pos="8640"/>
          <w:tab w:val="right" w:pos="8640"/>
        </w:tabs>
        <w:ind w:left="720" w:hanging="720"/>
      </w:pPr>
    </w:p>
    <w:p w14:paraId="0CD6F405" w14:textId="5F59E6EF" w:rsidR="00D71602" w:rsidRDefault="00D71602" w:rsidP="009F4777">
      <w:pPr>
        <w:tabs>
          <w:tab w:val="right" w:pos="8640"/>
          <w:tab w:val="right" w:pos="8640"/>
        </w:tabs>
        <w:ind w:left="720" w:hanging="720"/>
      </w:pPr>
      <w:proofErr w:type="spellStart"/>
      <w:r>
        <w:t>Heclo</w:t>
      </w:r>
      <w:proofErr w:type="spellEnd"/>
      <w:r>
        <w:t xml:space="preserve">, H. (2002). The spirit of public administration. PS: Political Science and Politics, 35(4), 689–694. </w:t>
      </w:r>
      <w:hyperlink r:id="rId15" w:history="1">
        <w:r w:rsidR="009F4777" w:rsidRPr="00CD0B0B">
          <w:rPr>
            <w:rStyle w:val="Hyperlink"/>
          </w:rPr>
          <w:t>http://www.jstor.org/stable/1554811</w:t>
        </w:r>
      </w:hyperlink>
    </w:p>
    <w:p w14:paraId="0EFD6963" w14:textId="77777777" w:rsidR="009F4777" w:rsidRDefault="009F4777" w:rsidP="009F4777">
      <w:pPr>
        <w:tabs>
          <w:tab w:val="right" w:pos="8640"/>
          <w:tab w:val="right" w:pos="8640"/>
        </w:tabs>
        <w:ind w:left="720" w:hanging="720"/>
      </w:pPr>
    </w:p>
    <w:p w14:paraId="4066B062" w14:textId="48E113DA" w:rsidR="00D71602" w:rsidRDefault="00D71602" w:rsidP="009F4777">
      <w:pPr>
        <w:tabs>
          <w:tab w:val="right" w:pos="8640"/>
          <w:tab w:val="right" w:pos="8640"/>
        </w:tabs>
        <w:ind w:left="720" w:hanging="720"/>
      </w:pPr>
      <w:r>
        <w:t xml:space="preserve">Lane, J. (2019). Developmental governance. Open Journal of Political Science, 9, 624–630. </w:t>
      </w:r>
      <w:hyperlink r:id="rId16" w:history="1">
        <w:r w:rsidR="009F4777" w:rsidRPr="00CD0B0B">
          <w:rPr>
            <w:rStyle w:val="Hyperlink"/>
          </w:rPr>
          <w:t>https://doi.org/10.4236/ojps.2019.94038</w:t>
        </w:r>
      </w:hyperlink>
    </w:p>
    <w:p w14:paraId="0B9C6B46" w14:textId="77777777" w:rsidR="009F4777" w:rsidRDefault="009F4777" w:rsidP="009F4777">
      <w:pPr>
        <w:tabs>
          <w:tab w:val="right" w:pos="8640"/>
          <w:tab w:val="right" w:pos="8640"/>
        </w:tabs>
        <w:ind w:left="720" w:hanging="720"/>
      </w:pPr>
    </w:p>
    <w:p w14:paraId="3D159DED" w14:textId="68E46176" w:rsidR="00D71602" w:rsidRDefault="00D71602" w:rsidP="009F4777">
      <w:pPr>
        <w:tabs>
          <w:tab w:val="right" w:pos="8640"/>
          <w:tab w:val="right" w:pos="8640"/>
        </w:tabs>
        <w:ind w:left="720" w:hanging="720"/>
      </w:pPr>
      <w:r>
        <w:t>Morales, C. (2020). Public policy &amp; political parties: A qualitative analysis of homelessness and poverty reduction frameworks in British Columbia (</w:t>
      </w:r>
      <w:proofErr w:type="gramStart"/>
      <w:r>
        <w:t>Master's</w:t>
      </w:r>
      <w:proofErr w:type="gramEnd"/>
      <w:r>
        <w:t xml:space="preserve"> thesis, University of Victoria). Retrieved from </w:t>
      </w:r>
      <w:hyperlink r:id="rId17" w:history="1">
        <w:r w:rsidR="009F4777" w:rsidRPr="00CD0B0B">
          <w:rPr>
            <w:rStyle w:val="Hyperlink"/>
          </w:rPr>
          <w:t>http://hdl.handle.net/1828/12108</w:t>
        </w:r>
      </w:hyperlink>
    </w:p>
    <w:p w14:paraId="5F055908" w14:textId="77777777" w:rsidR="009F4777" w:rsidRDefault="009F4777" w:rsidP="009F4777">
      <w:pPr>
        <w:tabs>
          <w:tab w:val="right" w:pos="8640"/>
          <w:tab w:val="right" w:pos="8640"/>
        </w:tabs>
        <w:ind w:left="720" w:hanging="720"/>
      </w:pPr>
    </w:p>
    <w:p w14:paraId="38B9881E" w14:textId="45FF000A" w:rsidR="00D71602" w:rsidRDefault="00D71602" w:rsidP="009F4777">
      <w:pPr>
        <w:tabs>
          <w:tab w:val="right" w:pos="8640"/>
          <w:tab w:val="right" w:pos="8640"/>
        </w:tabs>
        <w:ind w:left="720" w:hanging="720"/>
      </w:pPr>
      <w:r>
        <w:t>Pelz, B. (2021). Interpretive Research. In B. Pelz (Ed.), Research Methods for the Social Sciences (pp. xx). Herkimer College / SUNY.</w:t>
      </w:r>
    </w:p>
    <w:p w14:paraId="7D1E80DD" w14:textId="353B484C" w:rsidR="00D71602" w:rsidRDefault="00D71602" w:rsidP="009F4777">
      <w:pPr>
        <w:tabs>
          <w:tab w:val="right" w:pos="8640"/>
          <w:tab w:val="right" w:pos="8640"/>
        </w:tabs>
        <w:ind w:left="720" w:hanging="720"/>
      </w:pPr>
      <w:r>
        <w:lastRenderedPageBreak/>
        <w:t>Ricoeur, P. (1976). Language as discourse. In Interpretation theory: Discourse and the surplus of meaning (pp. 34–36). Fort Worth, TX: Texas Christian University Press.</w:t>
      </w:r>
    </w:p>
    <w:p w14:paraId="535D4212" w14:textId="77777777" w:rsidR="009F4777" w:rsidRDefault="009F4777" w:rsidP="009F4777">
      <w:pPr>
        <w:tabs>
          <w:tab w:val="right" w:pos="8640"/>
          <w:tab w:val="right" w:pos="8640"/>
        </w:tabs>
        <w:ind w:left="720" w:hanging="720"/>
      </w:pPr>
    </w:p>
    <w:p w14:paraId="16429CEB" w14:textId="77777777" w:rsidR="00D71602" w:rsidRDefault="00D71602" w:rsidP="00D71602">
      <w:pPr>
        <w:tabs>
          <w:tab w:val="right" w:pos="8640"/>
          <w:tab w:val="right" w:pos="8640"/>
        </w:tabs>
        <w:ind w:left="720" w:hanging="720"/>
      </w:pPr>
      <w:r>
        <w:t>Schön, D. A. (1983). The reflective practitioner: How professionals think in action (1st ed., pp. 3–24). Basic Books.</w:t>
      </w:r>
    </w:p>
    <w:p w14:paraId="148A95F3" w14:textId="77777777" w:rsidR="00D71602" w:rsidRDefault="00D71602" w:rsidP="00D71602">
      <w:pPr>
        <w:tabs>
          <w:tab w:val="right" w:pos="8640"/>
          <w:tab w:val="right" w:pos="8640"/>
        </w:tabs>
        <w:ind w:left="720" w:hanging="720"/>
      </w:pPr>
    </w:p>
    <w:p w14:paraId="659D3B90" w14:textId="2DBEC1C5" w:rsidR="00D71602" w:rsidRDefault="00D71602" w:rsidP="009F4777">
      <w:pPr>
        <w:tabs>
          <w:tab w:val="right" w:pos="8640"/>
          <w:tab w:val="right" w:pos="8640"/>
        </w:tabs>
        <w:ind w:left="720" w:hanging="720"/>
      </w:pPr>
      <w:r>
        <w:t xml:space="preserve">Svensson, P. (2017). Cross-Sector Strategists: Dedicated Bureaucrats in Local Government Administration [Doctoral dissertation, University of Gothenburg]. Retrieved from </w:t>
      </w:r>
      <w:hyperlink r:id="rId18" w:history="1">
        <w:r w:rsidR="009F4777" w:rsidRPr="00CD0B0B">
          <w:rPr>
            <w:rStyle w:val="Hyperlink"/>
          </w:rPr>
          <w:t>http://hdl.handle.net/2077/54242</w:t>
        </w:r>
      </w:hyperlink>
    </w:p>
    <w:p w14:paraId="46AD5C27" w14:textId="77777777" w:rsidR="009F4777" w:rsidRDefault="009F4777" w:rsidP="009F4777">
      <w:pPr>
        <w:tabs>
          <w:tab w:val="right" w:pos="8640"/>
          <w:tab w:val="right" w:pos="8640"/>
        </w:tabs>
        <w:ind w:left="720" w:hanging="720"/>
      </w:pPr>
    </w:p>
    <w:p w14:paraId="1DAA3F4C" w14:textId="503683C7" w:rsidR="00613F78" w:rsidRDefault="00D71602" w:rsidP="00D71602">
      <w:pPr>
        <w:tabs>
          <w:tab w:val="right" w:pos="8640"/>
          <w:tab w:val="right" w:pos="8640"/>
        </w:tabs>
        <w:ind w:left="720" w:hanging="720"/>
      </w:pPr>
      <w:r>
        <w:t>Yanow, D., &amp; Schwartz-Shea, P. (2014). Interpretation and Method: Empirical Research Methods and the Interpretive Turn. Routledge.</w:t>
      </w:r>
    </w:p>
    <w:p w14:paraId="04DB937A" w14:textId="77777777" w:rsidR="00613F78" w:rsidRDefault="00613F78" w:rsidP="009F3404">
      <w:pPr>
        <w:tabs>
          <w:tab w:val="right" w:pos="8640"/>
          <w:tab w:val="right" w:pos="8640"/>
        </w:tabs>
        <w:ind w:left="720" w:hanging="720"/>
      </w:pPr>
    </w:p>
    <w:sectPr w:rsidR="00613F78">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4271" w14:textId="77777777" w:rsidR="004D5131" w:rsidRDefault="004D5131">
      <w:pPr>
        <w:spacing w:line="240" w:lineRule="auto"/>
      </w:pPr>
      <w:r>
        <w:separator/>
      </w:r>
    </w:p>
  </w:endnote>
  <w:endnote w:type="continuationSeparator" w:id="0">
    <w:p w14:paraId="0A9B9CC9" w14:textId="77777777" w:rsidR="004D5131" w:rsidRDefault="004D5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0B9C" w14:textId="77777777" w:rsidR="004D5131" w:rsidRDefault="004D5131">
      <w:pPr>
        <w:spacing w:line="240" w:lineRule="auto"/>
      </w:pPr>
      <w:r>
        <w:separator/>
      </w:r>
    </w:p>
  </w:footnote>
  <w:footnote w:type="continuationSeparator" w:id="0">
    <w:p w14:paraId="17DC05F4" w14:textId="77777777" w:rsidR="004D5131" w:rsidRDefault="004D51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5EA57C7"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I, COM 803</w:t>
    </w:r>
    <w:r w:rsidR="00A102EB">
      <w:rPr>
        <w:sz w:val="20"/>
        <w:szCs w:val="20"/>
      </w:rPr>
      <w:t>-22 Hermeneutic and Communications</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20786E">
      <w:rPr>
        <w:sz w:val="20"/>
        <w:szCs w:val="20"/>
      </w:rPr>
      <w:t>2</w:t>
    </w:r>
    <w:r w:rsidR="00630DF7">
      <w:rPr>
        <w:sz w:val="20"/>
        <w:szCs w:val="20"/>
      </w:rPr>
      <w:t>,</w:t>
    </w:r>
    <w:r w:rsidR="0020786E">
      <w:rPr>
        <w:sz w:val="20"/>
        <w:szCs w:val="20"/>
      </w:rPr>
      <w:t xml:space="preserve"> February 13,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31954"/>
    <w:rsid w:val="00052D9A"/>
    <w:rsid w:val="000B099A"/>
    <w:rsid w:val="000D5719"/>
    <w:rsid w:val="000E0B6D"/>
    <w:rsid w:val="00115811"/>
    <w:rsid w:val="00115EB5"/>
    <w:rsid w:val="0012163A"/>
    <w:rsid w:val="001B713F"/>
    <w:rsid w:val="001D1318"/>
    <w:rsid w:val="0020786E"/>
    <w:rsid w:val="00256EC3"/>
    <w:rsid w:val="00267E22"/>
    <w:rsid w:val="002A6406"/>
    <w:rsid w:val="002B40B4"/>
    <w:rsid w:val="002D6FAA"/>
    <w:rsid w:val="002E7A94"/>
    <w:rsid w:val="003455BC"/>
    <w:rsid w:val="0036646B"/>
    <w:rsid w:val="00394D35"/>
    <w:rsid w:val="003C0CFF"/>
    <w:rsid w:val="003F1B1A"/>
    <w:rsid w:val="00450AEC"/>
    <w:rsid w:val="004948E6"/>
    <w:rsid w:val="004D5131"/>
    <w:rsid w:val="004E7ED2"/>
    <w:rsid w:val="00524532"/>
    <w:rsid w:val="00533F7B"/>
    <w:rsid w:val="0053714F"/>
    <w:rsid w:val="00556507"/>
    <w:rsid w:val="005619E2"/>
    <w:rsid w:val="005D3A02"/>
    <w:rsid w:val="00613F78"/>
    <w:rsid w:val="00630DF7"/>
    <w:rsid w:val="006313E0"/>
    <w:rsid w:val="00645B58"/>
    <w:rsid w:val="006A0028"/>
    <w:rsid w:val="006C6A3B"/>
    <w:rsid w:val="006D3F6F"/>
    <w:rsid w:val="006F4E34"/>
    <w:rsid w:val="00723A30"/>
    <w:rsid w:val="007500B0"/>
    <w:rsid w:val="007501FD"/>
    <w:rsid w:val="007770AA"/>
    <w:rsid w:val="0078664E"/>
    <w:rsid w:val="00786CB1"/>
    <w:rsid w:val="00792F2F"/>
    <w:rsid w:val="007940D0"/>
    <w:rsid w:val="007C5DB4"/>
    <w:rsid w:val="007E5B3B"/>
    <w:rsid w:val="008835FF"/>
    <w:rsid w:val="008A0D85"/>
    <w:rsid w:val="008B0ED4"/>
    <w:rsid w:val="008D0C0D"/>
    <w:rsid w:val="009142CF"/>
    <w:rsid w:val="00956311"/>
    <w:rsid w:val="00986739"/>
    <w:rsid w:val="009A180E"/>
    <w:rsid w:val="009B7754"/>
    <w:rsid w:val="009E3D81"/>
    <w:rsid w:val="009F3404"/>
    <w:rsid w:val="009F4777"/>
    <w:rsid w:val="00A06395"/>
    <w:rsid w:val="00A102EB"/>
    <w:rsid w:val="00A34E96"/>
    <w:rsid w:val="00A5117E"/>
    <w:rsid w:val="00A70102"/>
    <w:rsid w:val="00A8440E"/>
    <w:rsid w:val="00A86998"/>
    <w:rsid w:val="00A909D1"/>
    <w:rsid w:val="00A94FA6"/>
    <w:rsid w:val="00AC28E7"/>
    <w:rsid w:val="00AF7BAA"/>
    <w:rsid w:val="00B24470"/>
    <w:rsid w:val="00B40B5E"/>
    <w:rsid w:val="00B46243"/>
    <w:rsid w:val="00B62797"/>
    <w:rsid w:val="00B643BD"/>
    <w:rsid w:val="00B6716D"/>
    <w:rsid w:val="00BC59D7"/>
    <w:rsid w:val="00C13A05"/>
    <w:rsid w:val="00C36CB3"/>
    <w:rsid w:val="00C90849"/>
    <w:rsid w:val="00CB69B5"/>
    <w:rsid w:val="00CD57D1"/>
    <w:rsid w:val="00D02DDC"/>
    <w:rsid w:val="00D26CFF"/>
    <w:rsid w:val="00D317B4"/>
    <w:rsid w:val="00D71602"/>
    <w:rsid w:val="00D75145"/>
    <w:rsid w:val="00DB0F07"/>
    <w:rsid w:val="00DC4C92"/>
    <w:rsid w:val="00DC5DBE"/>
    <w:rsid w:val="00DE5422"/>
    <w:rsid w:val="00DF426B"/>
    <w:rsid w:val="00E34416"/>
    <w:rsid w:val="00E36A7E"/>
    <w:rsid w:val="00EA5543"/>
    <w:rsid w:val="00EE1068"/>
    <w:rsid w:val="00EF14CF"/>
    <w:rsid w:val="00EF613B"/>
    <w:rsid w:val="00F11193"/>
    <w:rsid w:val="00F248B5"/>
    <w:rsid w:val="00F65F48"/>
    <w:rsid w:val="00F904CC"/>
    <w:rsid w:val="00FB1D55"/>
    <w:rsid w:val="00FD4266"/>
    <w:rsid w:val="00FF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26796921" TargetMode="External"/><Relationship Id="rId13" Type="http://schemas.openxmlformats.org/officeDocument/2006/relationships/hyperlink" Target="https://www.jstor.org/stable/26796921" TargetMode="External"/><Relationship Id="rId18" Type="http://schemas.openxmlformats.org/officeDocument/2006/relationships/hyperlink" Target="http://hdl.handle.net/2077/5424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4236/ojps.2019.94038" TargetMode="External"/><Relationship Id="rId17" Type="http://schemas.openxmlformats.org/officeDocument/2006/relationships/hyperlink" Target="http://hdl.handle.net/1828/12108" TargetMode="External"/><Relationship Id="rId2" Type="http://schemas.openxmlformats.org/officeDocument/2006/relationships/customXml" Target="../customXml/item2.xml"/><Relationship Id="rId16" Type="http://schemas.openxmlformats.org/officeDocument/2006/relationships/hyperlink" Target="https://doi.org/10.4236/ojps.2019.9403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1554811" TargetMode="External"/><Relationship Id="rId5" Type="http://schemas.openxmlformats.org/officeDocument/2006/relationships/webSettings" Target="webSettings.xml"/><Relationship Id="rId15" Type="http://schemas.openxmlformats.org/officeDocument/2006/relationships/hyperlink" Target="http://www.jstor.org/stable/1554811" TargetMode="External"/><Relationship Id="rId10" Type="http://schemas.openxmlformats.org/officeDocument/2006/relationships/hyperlink" Target="http://hdl.handle.net/2077/5424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523908X.2018.1532562" TargetMode="External"/><Relationship Id="rId14" Type="http://schemas.openxmlformats.org/officeDocument/2006/relationships/hyperlink" Target="https://doi.org/10.1080/1523908X.2018.1532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17</Pages>
  <Words>2690</Words>
  <Characters>18914</Characters>
  <Application>Microsoft Office Word</Application>
  <DocSecurity>0</DocSecurity>
  <Lines>409</Lines>
  <Paragraphs>150</Paragraphs>
  <ScaleCrop>false</ScaleCrop>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cp:lastModifiedBy>James Earl Hollywood III</cp:lastModifiedBy>
  <cp:revision>75</cp:revision>
  <dcterms:created xsi:type="dcterms:W3CDTF">2024-02-14T22:03:00Z</dcterms:created>
  <dcterms:modified xsi:type="dcterms:W3CDTF">2024-02-17T23:48:00Z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