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4D56" w14:textId="09DBD938" w:rsidR="00694E75" w:rsidRDefault="00694E75">
      <w:pPr>
        <w:rPr>
          <w:rFonts w:ascii="Baskerville" w:eastAsia="MS PMincho" w:hAnsi="Baskerville" w:cs="Arabic Typesetting"/>
        </w:rPr>
      </w:pPr>
    </w:p>
    <w:p w14:paraId="2C2626DF" w14:textId="77777777" w:rsidR="00B22722" w:rsidRPr="009342BA" w:rsidRDefault="00B22722" w:rsidP="008C2B1F">
      <w:pPr>
        <w:spacing w:line="360" w:lineRule="auto"/>
        <w:rPr>
          <w:rFonts w:ascii="Baskerville" w:eastAsia="MS PMincho" w:hAnsi="Baskerville" w:cs="Arabic Typesetting"/>
        </w:rPr>
      </w:pPr>
    </w:p>
    <w:p w14:paraId="5D1A652F" w14:textId="77777777" w:rsidR="00B22722" w:rsidRDefault="00B22722" w:rsidP="008C2B1F">
      <w:pPr>
        <w:spacing w:line="360" w:lineRule="auto"/>
        <w:rPr>
          <w:rFonts w:ascii="Baskerville" w:eastAsia="MS PMincho" w:hAnsi="Baskerville" w:cs="Arabic Typesetting"/>
          <w:b/>
          <w:bCs/>
        </w:rPr>
      </w:pPr>
    </w:p>
    <w:p w14:paraId="6BFDDB8A" w14:textId="77777777" w:rsidR="00B22722" w:rsidRDefault="00B22722" w:rsidP="008C2B1F">
      <w:pPr>
        <w:spacing w:line="360" w:lineRule="auto"/>
        <w:rPr>
          <w:rFonts w:ascii="Baskerville" w:eastAsia="MS PMincho" w:hAnsi="Baskerville" w:cs="Arabic Typesetting"/>
          <w:b/>
          <w:bCs/>
        </w:rPr>
      </w:pPr>
    </w:p>
    <w:p w14:paraId="0D66BDCE" w14:textId="77777777" w:rsidR="00B22722" w:rsidRDefault="00B22722" w:rsidP="008C2B1F">
      <w:pPr>
        <w:spacing w:line="360" w:lineRule="auto"/>
        <w:rPr>
          <w:rFonts w:ascii="Baskerville" w:eastAsia="MS PMincho" w:hAnsi="Baskerville" w:cs="Arabic Typesetting"/>
          <w:b/>
          <w:bCs/>
        </w:rPr>
      </w:pPr>
    </w:p>
    <w:p w14:paraId="5738F64A" w14:textId="77777777" w:rsidR="00B22722" w:rsidRDefault="00B22722" w:rsidP="008C2B1F">
      <w:pPr>
        <w:spacing w:line="360" w:lineRule="auto"/>
        <w:rPr>
          <w:rFonts w:ascii="Baskerville" w:eastAsia="MS PMincho" w:hAnsi="Baskerville" w:cs="Arabic Typesetting"/>
          <w:b/>
          <w:bCs/>
        </w:rPr>
      </w:pPr>
    </w:p>
    <w:p w14:paraId="151C7202" w14:textId="77777777" w:rsidR="00B22722" w:rsidRDefault="00B22722" w:rsidP="008C2B1F">
      <w:pPr>
        <w:spacing w:line="360" w:lineRule="auto"/>
        <w:rPr>
          <w:rFonts w:ascii="Baskerville" w:eastAsia="MS PMincho" w:hAnsi="Baskerville" w:cs="Arabic Typesetting"/>
          <w:b/>
          <w:bCs/>
        </w:rPr>
      </w:pPr>
    </w:p>
    <w:p w14:paraId="01F35489" w14:textId="77777777" w:rsidR="00B22722" w:rsidRDefault="00B22722" w:rsidP="008C2B1F">
      <w:pPr>
        <w:spacing w:line="360" w:lineRule="auto"/>
        <w:rPr>
          <w:rFonts w:ascii="Baskerville" w:eastAsia="MS PMincho" w:hAnsi="Baskerville" w:cs="Arabic Typesetting"/>
          <w:b/>
          <w:bCs/>
        </w:rPr>
      </w:pPr>
    </w:p>
    <w:p w14:paraId="3E6EA063" w14:textId="3157EFEB" w:rsidR="00B22722" w:rsidRPr="009342BA" w:rsidRDefault="0072102D" w:rsidP="009342BA">
      <w:pPr>
        <w:spacing w:line="360" w:lineRule="auto"/>
        <w:jc w:val="center"/>
        <w:rPr>
          <w:rFonts w:ascii="Baskerville" w:eastAsia="MS PMincho" w:hAnsi="Baskerville" w:cs="Arabic Typesetting"/>
        </w:rPr>
      </w:pPr>
      <w:r w:rsidRPr="009342BA">
        <w:rPr>
          <w:rFonts w:ascii="Baskerville" w:eastAsia="MS PMincho" w:hAnsi="Baskerville" w:cs="Arabic Typesetting"/>
        </w:rPr>
        <w:t>Omega Graduate School</w:t>
      </w:r>
    </w:p>
    <w:p w14:paraId="4734AEF0" w14:textId="3FF368E4" w:rsidR="009342BA" w:rsidRPr="009342BA" w:rsidRDefault="009342BA" w:rsidP="009342BA">
      <w:pPr>
        <w:spacing w:line="360" w:lineRule="auto"/>
        <w:jc w:val="center"/>
        <w:rPr>
          <w:rFonts w:ascii="Baskerville" w:eastAsia="MS PMincho" w:hAnsi="Baskerville" w:cs="Arabic Typesetting"/>
        </w:rPr>
      </w:pPr>
      <w:r w:rsidRPr="009342BA">
        <w:rPr>
          <w:rFonts w:ascii="Baskerville" w:eastAsia="MS PMincho" w:hAnsi="Baskerville" w:cs="Arabic Typesetting"/>
        </w:rPr>
        <w:t>Cecil Thompson</w:t>
      </w:r>
    </w:p>
    <w:p w14:paraId="208098B2" w14:textId="5E8936BA" w:rsidR="009342BA" w:rsidRPr="009342BA" w:rsidRDefault="009342BA" w:rsidP="009342BA">
      <w:pPr>
        <w:spacing w:line="360" w:lineRule="auto"/>
        <w:jc w:val="center"/>
        <w:rPr>
          <w:rFonts w:ascii="Baskerville" w:eastAsia="MS PMincho" w:hAnsi="Baskerville" w:cs="Arabic Typesetting"/>
        </w:rPr>
      </w:pPr>
      <w:r w:rsidRPr="009342BA">
        <w:rPr>
          <w:rFonts w:ascii="Baskerville" w:eastAsia="MS PMincho" w:hAnsi="Baskerville" w:cs="Arabic Typesetting"/>
        </w:rPr>
        <w:t>SR 958-</w:t>
      </w:r>
      <w:r w:rsidR="00EE1424">
        <w:rPr>
          <w:rFonts w:ascii="Baskerville" w:eastAsia="MS PMincho" w:hAnsi="Baskerville" w:cs="Arabic Typesetting"/>
        </w:rPr>
        <w:t>4</w:t>
      </w:r>
      <w:r w:rsidRPr="009342BA">
        <w:rPr>
          <w:rFonts w:ascii="Baskerville" w:eastAsia="MS PMincho" w:hAnsi="Baskerville" w:cs="Arabic Typesetting"/>
        </w:rPr>
        <w:t>2</w:t>
      </w:r>
    </w:p>
    <w:p w14:paraId="5B20B803" w14:textId="6065126C" w:rsidR="009342BA" w:rsidRPr="009342BA" w:rsidRDefault="009342BA" w:rsidP="009342BA">
      <w:pPr>
        <w:spacing w:line="360" w:lineRule="auto"/>
        <w:jc w:val="center"/>
        <w:rPr>
          <w:rFonts w:ascii="Baskerville" w:eastAsia="MS PMincho" w:hAnsi="Baskerville" w:cs="Arabic Typesetting"/>
        </w:rPr>
      </w:pPr>
      <w:r w:rsidRPr="009342BA">
        <w:rPr>
          <w:rFonts w:ascii="Baskerville" w:eastAsia="MS PMincho" w:hAnsi="Baskerville" w:cs="Arabic Typesetting"/>
        </w:rPr>
        <w:t>Research Design and Methodology II</w:t>
      </w:r>
    </w:p>
    <w:p w14:paraId="22DF101C" w14:textId="31B67235" w:rsidR="00B22722" w:rsidRPr="009342BA" w:rsidRDefault="009342BA" w:rsidP="009342BA">
      <w:pPr>
        <w:spacing w:line="360" w:lineRule="auto"/>
        <w:jc w:val="center"/>
        <w:rPr>
          <w:rFonts w:ascii="Baskerville" w:eastAsia="MS PMincho" w:hAnsi="Baskerville" w:cs="Arabic Typesetting"/>
        </w:rPr>
      </w:pPr>
      <w:r w:rsidRPr="009342BA">
        <w:rPr>
          <w:rFonts w:ascii="Baskerville" w:eastAsia="MS PMincho" w:hAnsi="Baskerville" w:cs="Arabic Typesetting"/>
        </w:rPr>
        <w:t xml:space="preserve">Prof. Sear Taladay, </w:t>
      </w:r>
      <w:proofErr w:type="spellStart"/>
      <w:r>
        <w:rPr>
          <w:rFonts w:ascii="Baskerville" w:eastAsia="MS PMincho" w:hAnsi="Baskerville" w:cs="Arabic Typesetting"/>
        </w:rPr>
        <w:t>Ed</w:t>
      </w:r>
      <w:r w:rsidRPr="009342BA">
        <w:rPr>
          <w:rFonts w:ascii="Baskerville" w:eastAsia="MS PMincho" w:hAnsi="Baskerville" w:cs="Arabic Typesetting"/>
        </w:rPr>
        <w:t>.D</w:t>
      </w:r>
      <w:proofErr w:type="spellEnd"/>
    </w:p>
    <w:p w14:paraId="655DDE35" w14:textId="3A1710B8" w:rsidR="009342BA" w:rsidRPr="009342BA" w:rsidRDefault="009342BA" w:rsidP="009342BA">
      <w:pPr>
        <w:spacing w:line="360" w:lineRule="auto"/>
        <w:jc w:val="center"/>
        <w:rPr>
          <w:rFonts w:ascii="Baskerville" w:eastAsia="MS PMincho" w:hAnsi="Baskerville" w:cs="Arabic Typesetting"/>
        </w:rPr>
      </w:pPr>
      <w:r w:rsidRPr="009342BA">
        <w:rPr>
          <w:rFonts w:ascii="Baskerville" w:eastAsia="MS PMincho" w:hAnsi="Baskerville" w:cs="Arabic Typesetting"/>
        </w:rPr>
        <w:t>August 10, 2024</w:t>
      </w:r>
    </w:p>
    <w:p w14:paraId="77423909" w14:textId="77777777" w:rsidR="00B22722" w:rsidRDefault="00B22722" w:rsidP="008C2B1F">
      <w:pPr>
        <w:spacing w:line="360" w:lineRule="auto"/>
        <w:rPr>
          <w:rFonts w:ascii="Baskerville" w:eastAsia="MS PMincho" w:hAnsi="Baskerville" w:cs="Arabic Typesetting"/>
          <w:b/>
          <w:bCs/>
        </w:rPr>
      </w:pPr>
    </w:p>
    <w:p w14:paraId="1DD5D2C2" w14:textId="77777777" w:rsidR="00B22722" w:rsidRDefault="00B22722" w:rsidP="008C2B1F">
      <w:pPr>
        <w:spacing w:line="360" w:lineRule="auto"/>
        <w:rPr>
          <w:rFonts w:ascii="Baskerville" w:eastAsia="MS PMincho" w:hAnsi="Baskerville" w:cs="Arabic Typesetting"/>
          <w:b/>
          <w:bCs/>
        </w:rPr>
      </w:pPr>
    </w:p>
    <w:p w14:paraId="277E87AA" w14:textId="77777777" w:rsidR="00B22722" w:rsidRDefault="00B22722" w:rsidP="008C2B1F">
      <w:pPr>
        <w:spacing w:line="360" w:lineRule="auto"/>
        <w:rPr>
          <w:rFonts w:ascii="Baskerville" w:eastAsia="MS PMincho" w:hAnsi="Baskerville" w:cs="Arabic Typesetting"/>
          <w:b/>
          <w:bCs/>
        </w:rPr>
      </w:pPr>
    </w:p>
    <w:p w14:paraId="4809C2F1" w14:textId="77777777" w:rsidR="00B22722" w:rsidRDefault="00B22722" w:rsidP="008C2B1F">
      <w:pPr>
        <w:spacing w:line="360" w:lineRule="auto"/>
        <w:rPr>
          <w:rFonts w:ascii="Baskerville" w:eastAsia="MS PMincho" w:hAnsi="Baskerville" w:cs="Arabic Typesetting"/>
          <w:b/>
          <w:bCs/>
        </w:rPr>
      </w:pPr>
    </w:p>
    <w:p w14:paraId="43C32BDE" w14:textId="77777777" w:rsidR="00B22722" w:rsidRDefault="00B22722" w:rsidP="008C2B1F">
      <w:pPr>
        <w:spacing w:line="360" w:lineRule="auto"/>
        <w:rPr>
          <w:rFonts w:ascii="Baskerville" w:eastAsia="MS PMincho" w:hAnsi="Baskerville" w:cs="Arabic Typesetting"/>
          <w:b/>
          <w:bCs/>
        </w:rPr>
      </w:pPr>
    </w:p>
    <w:p w14:paraId="35BA3A47" w14:textId="77777777" w:rsidR="00B22722" w:rsidRDefault="00B22722" w:rsidP="008C2B1F">
      <w:pPr>
        <w:spacing w:line="360" w:lineRule="auto"/>
        <w:rPr>
          <w:rFonts w:ascii="Baskerville" w:eastAsia="MS PMincho" w:hAnsi="Baskerville" w:cs="Arabic Typesetting"/>
          <w:b/>
          <w:bCs/>
        </w:rPr>
      </w:pPr>
    </w:p>
    <w:p w14:paraId="60A6F2A2" w14:textId="77777777" w:rsidR="00B22722" w:rsidRDefault="00B22722" w:rsidP="008C2B1F">
      <w:pPr>
        <w:spacing w:line="360" w:lineRule="auto"/>
        <w:rPr>
          <w:rFonts w:ascii="Baskerville" w:eastAsia="MS PMincho" w:hAnsi="Baskerville" w:cs="Arabic Typesetting"/>
          <w:b/>
          <w:bCs/>
        </w:rPr>
      </w:pPr>
    </w:p>
    <w:p w14:paraId="31495E9D" w14:textId="77777777" w:rsidR="00B22722" w:rsidRDefault="00B22722" w:rsidP="008C2B1F">
      <w:pPr>
        <w:spacing w:line="360" w:lineRule="auto"/>
        <w:rPr>
          <w:rFonts w:ascii="Baskerville" w:eastAsia="MS PMincho" w:hAnsi="Baskerville" w:cs="Arabic Typesetting"/>
          <w:b/>
          <w:bCs/>
        </w:rPr>
      </w:pPr>
    </w:p>
    <w:p w14:paraId="5AD465FF" w14:textId="77777777" w:rsidR="00B22722" w:rsidRDefault="00B22722" w:rsidP="008C2B1F">
      <w:pPr>
        <w:spacing w:line="360" w:lineRule="auto"/>
        <w:rPr>
          <w:rFonts w:ascii="Baskerville" w:eastAsia="MS PMincho" w:hAnsi="Baskerville" w:cs="Arabic Typesetting"/>
          <w:b/>
          <w:bCs/>
        </w:rPr>
      </w:pPr>
    </w:p>
    <w:p w14:paraId="0D9F1D21" w14:textId="77777777" w:rsidR="00B22722" w:rsidRDefault="00B22722" w:rsidP="008C2B1F">
      <w:pPr>
        <w:spacing w:line="360" w:lineRule="auto"/>
        <w:rPr>
          <w:rFonts w:ascii="Baskerville" w:eastAsia="MS PMincho" w:hAnsi="Baskerville" w:cs="Arabic Typesetting"/>
          <w:b/>
          <w:bCs/>
        </w:rPr>
      </w:pPr>
    </w:p>
    <w:p w14:paraId="5F41FB89" w14:textId="77777777" w:rsidR="00B22722" w:rsidRDefault="00B22722" w:rsidP="008C2B1F">
      <w:pPr>
        <w:spacing w:line="360" w:lineRule="auto"/>
        <w:rPr>
          <w:rFonts w:ascii="Baskerville" w:eastAsia="MS PMincho" w:hAnsi="Baskerville" w:cs="Arabic Typesetting"/>
          <w:b/>
          <w:bCs/>
        </w:rPr>
      </w:pPr>
    </w:p>
    <w:p w14:paraId="3259F03D" w14:textId="77777777" w:rsidR="00B22722" w:rsidRDefault="00B22722" w:rsidP="008C2B1F">
      <w:pPr>
        <w:spacing w:line="360" w:lineRule="auto"/>
        <w:rPr>
          <w:rFonts w:ascii="Baskerville" w:eastAsia="MS PMincho" w:hAnsi="Baskerville" w:cs="Arabic Typesetting"/>
          <w:b/>
          <w:bCs/>
        </w:rPr>
      </w:pPr>
    </w:p>
    <w:p w14:paraId="3440D689" w14:textId="77777777" w:rsidR="00B22722" w:rsidRDefault="00B22722" w:rsidP="008C2B1F">
      <w:pPr>
        <w:spacing w:line="360" w:lineRule="auto"/>
        <w:rPr>
          <w:rFonts w:ascii="Baskerville" w:eastAsia="MS PMincho" w:hAnsi="Baskerville" w:cs="Arabic Typesetting"/>
          <w:b/>
          <w:bCs/>
        </w:rPr>
      </w:pPr>
    </w:p>
    <w:p w14:paraId="7A7F0A9B" w14:textId="77777777" w:rsidR="00B22722" w:rsidRDefault="00B22722" w:rsidP="008C2B1F">
      <w:pPr>
        <w:spacing w:line="360" w:lineRule="auto"/>
        <w:rPr>
          <w:rFonts w:ascii="Baskerville" w:eastAsia="MS PMincho" w:hAnsi="Baskerville" w:cs="Arabic Typesetting"/>
          <w:b/>
          <w:bCs/>
        </w:rPr>
      </w:pPr>
    </w:p>
    <w:p w14:paraId="4670BA7A" w14:textId="77777777" w:rsidR="00B22722" w:rsidRDefault="00B22722" w:rsidP="008C2B1F">
      <w:pPr>
        <w:spacing w:line="360" w:lineRule="auto"/>
        <w:rPr>
          <w:rFonts w:ascii="Baskerville" w:eastAsia="MS PMincho" w:hAnsi="Baskerville" w:cs="Arabic Typesetting"/>
          <w:b/>
          <w:bCs/>
        </w:rPr>
      </w:pPr>
    </w:p>
    <w:p w14:paraId="62595988" w14:textId="77777777" w:rsidR="00B22722" w:rsidRDefault="00B22722" w:rsidP="008C2B1F">
      <w:pPr>
        <w:spacing w:line="360" w:lineRule="auto"/>
        <w:rPr>
          <w:rFonts w:ascii="Baskerville" w:eastAsia="MS PMincho" w:hAnsi="Baskerville" w:cs="Arabic Typesetting"/>
          <w:b/>
          <w:bCs/>
        </w:rPr>
      </w:pPr>
    </w:p>
    <w:p w14:paraId="7B8A09C3" w14:textId="77777777" w:rsidR="00B22722" w:rsidRDefault="00B22722" w:rsidP="008C2B1F">
      <w:pPr>
        <w:spacing w:line="360" w:lineRule="auto"/>
        <w:rPr>
          <w:rFonts w:ascii="Baskerville" w:eastAsia="MS PMincho" w:hAnsi="Baskerville" w:cs="Arabic Typesetting"/>
          <w:b/>
          <w:bCs/>
        </w:rPr>
      </w:pPr>
    </w:p>
    <w:p w14:paraId="5B0F92B1" w14:textId="77777777" w:rsidR="00B22722" w:rsidRDefault="00B22722" w:rsidP="008C2B1F">
      <w:pPr>
        <w:spacing w:line="360" w:lineRule="auto"/>
        <w:rPr>
          <w:rFonts w:ascii="Baskerville" w:eastAsia="MS PMincho" w:hAnsi="Baskerville" w:cs="Arabic Typesetting"/>
          <w:b/>
          <w:bCs/>
        </w:rPr>
      </w:pPr>
    </w:p>
    <w:p w14:paraId="3FF0D2BA" w14:textId="77777777" w:rsidR="00B22722" w:rsidRDefault="00B22722" w:rsidP="008C2B1F">
      <w:pPr>
        <w:spacing w:line="360" w:lineRule="auto"/>
        <w:rPr>
          <w:rFonts w:ascii="Baskerville" w:eastAsia="MS PMincho" w:hAnsi="Baskerville" w:cs="Arabic Typesetting"/>
          <w:b/>
          <w:bCs/>
        </w:rPr>
      </w:pPr>
    </w:p>
    <w:p w14:paraId="33D289EB" w14:textId="77777777" w:rsidR="00B22722" w:rsidRDefault="00B22722" w:rsidP="008C2B1F">
      <w:pPr>
        <w:spacing w:line="360" w:lineRule="auto"/>
        <w:rPr>
          <w:rFonts w:ascii="Baskerville" w:eastAsia="MS PMincho" w:hAnsi="Baskerville" w:cs="Arabic Typesetting"/>
          <w:b/>
          <w:bCs/>
        </w:rPr>
      </w:pPr>
    </w:p>
    <w:p w14:paraId="0D3D04EE" w14:textId="77777777" w:rsidR="00B22722" w:rsidRDefault="00B22722" w:rsidP="008C2B1F">
      <w:pPr>
        <w:spacing w:line="360" w:lineRule="auto"/>
        <w:rPr>
          <w:rFonts w:ascii="Baskerville" w:eastAsia="MS PMincho" w:hAnsi="Baskerville" w:cs="Arabic Typesetting"/>
          <w:b/>
          <w:bCs/>
        </w:rPr>
      </w:pPr>
    </w:p>
    <w:p w14:paraId="17ABC782" w14:textId="77777777" w:rsidR="00B22722" w:rsidRDefault="00B22722" w:rsidP="008C2B1F">
      <w:pPr>
        <w:spacing w:line="360" w:lineRule="auto"/>
        <w:rPr>
          <w:rFonts w:ascii="Baskerville" w:eastAsia="MS PMincho" w:hAnsi="Baskerville" w:cs="Arabic Typesetting"/>
          <w:b/>
          <w:bCs/>
        </w:rPr>
      </w:pPr>
    </w:p>
    <w:p w14:paraId="1DD87BAB" w14:textId="6290BB7C" w:rsidR="00B22722" w:rsidRPr="0072102D" w:rsidRDefault="00B22722" w:rsidP="0072102D">
      <w:pPr>
        <w:rPr>
          <w:rFonts w:ascii="Baskerville" w:eastAsia="MS PMincho" w:hAnsi="Baskerville" w:cs="Arabic Typesetting"/>
          <w:b/>
          <w:bCs/>
          <w:sz w:val="21"/>
          <w:szCs w:val="21"/>
        </w:rPr>
      </w:pPr>
      <w:r w:rsidRPr="0072102D">
        <w:rPr>
          <w:rFonts w:ascii="Baskerville" w:eastAsia="MS PMincho" w:hAnsi="Baskerville" w:cs="Arabic Typesetting"/>
          <w:b/>
          <w:bCs/>
          <w:sz w:val="21"/>
          <w:szCs w:val="21"/>
        </w:rPr>
        <w:t xml:space="preserve">Assignment #3 – Essay </w:t>
      </w:r>
    </w:p>
    <w:p w14:paraId="644ECBBC" w14:textId="14E9D795" w:rsidR="00224097" w:rsidRPr="0072102D" w:rsidRDefault="00224097" w:rsidP="0072102D">
      <w:pPr>
        <w:rPr>
          <w:rFonts w:ascii="Baskerville" w:eastAsia="MS PMincho" w:hAnsi="Baskerville" w:cs="Arabic Typesetting"/>
          <w:sz w:val="21"/>
          <w:szCs w:val="21"/>
        </w:rPr>
      </w:pPr>
      <w:r w:rsidRPr="0072102D">
        <w:rPr>
          <w:rFonts w:ascii="Baskerville" w:eastAsia="MS PMincho" w:hAnsi="Baskerville" w:cs="Arabic Typesetting"/>
          <w:sz w:val="21"/>
          <w:szCs w:val="21"/>
        </w:rPr>
        <w:t xml:space="preserve">For Core 4, continue analyzing the fictional study “Religiosity and Social Behavior in a Diverse Community.” In a </w:t>
      </w:r>
      <w:proofErr w:type="gramStart"/>
      <w:r w:rsidRPr="0072102D">
        <w:rPr>
          <w:rFonts w:ascii="Baskerville" w:eastAsia="MS PMincho" w:hAnsi="Baskerville" w:cs="Arabic Typesetting"/>
          <w:sz w:val="21"/>
          <w:szCs w:val="21"/>
        </w:rPr>
        <w:t>7-10 page</w:t>
      </w:r>
      <w:proofErr w:type="gramEnd"/>
      <w:r w:rsidRPr="0072102D">
        <w:rPr>
          <w:rFonts w:ascii="Baskerville" w:eastAsia="MS PMincho" w:hAnsi="Baskerville" w:cs="Arabic Typesetting"/>
          <w:sz w:val="21"/>
          <w:szCs w:val="21"/>
        </w:rPr>
        <w:t xml:space="preserve"> essay, conduct a comprehensive analysis of research design elements related to quasi-experimental vs. Correlational designs. Additionally, reflet on how these concepts apply to your dissertation research idea or proposal using the following specific criteria:</w:t>
      </w:r>
    </w:p>
    <w:p w14:paraId="25A63EAB" w14:textId="0D429470" w:rsidR="00224097" w:rsidRPr="0072102D" w:rsidRDefault="00224097" w:rsidP="0072102D">
      <w:pPr>
        <w:pStyle w:val="ListParagraph"/>
        <w:numPr>
          <w:ilvl w:val="0"/>
          <w:numId w:val="33"/>
        </w:numPr>
        <w:rPr>
          <w:rFonts w:ascii="Baskerville" w:eastAsia="MS PMincho" w:hAnsi="Baskerville" w:cs="Arabic Typesetting"/>
          <w:sz w:val="21"/>
          <w:szCs w:val="21"/>
        </w:rPr>
      </w:pPr>
      <w:r w:rsidRPr="0072102D">
        <w:rPr>
          <w:rFonts w:ascii="Baskerville" w:eastAsia="MS PMincho" w:hAnsi="Baskerville" w:cs="Arabic Typesetting"/>
          <w:b/>
          <w:bCs/>
          <w:sz w:val="21"/>
          <w:szCs w:val="21"/>
        </w:rPr>
        <w:t>Introduction</w:t>
      </w:r>
      <w:r w:rsidRPr="0072102D">
        <w:rPr>
          <w:rFonts w:ascii="Baskerville" w:eastAsia="MS PMincho" w:hAnsi="Baskerville" w:cs="Arabic Typesetting"/>
          <w:sz w:val="21"/>
          <w:szCs w:val="21"/>
        </w:rPr>
        <w:t>-Compose an overview of the sections of this assignment and justify why they are important for research design and methodology in dissertation research.</w:t>
      </w:r>
    </w:p>
    <w:p w14:paraId="510C04D1" w14:textId="120EE7F8" w:rsidR="00224097" w:rsidRPr="0072102D" w:rsidRDefault="00AF2C32" w:rsidP="0072102D">
      <w:pPr>
        <w:pStyle w:val="ListParagraph"/>
        <w:numPr>
          <w:ilvl w:val="0"/>
          <w:numId w:val="33"/>
        </w:numPr>
        <w:rPr>
          <w:rFonts w:ascii="Baskerville" w:eastAsia="MS PMincho" w:hAnsi="Baskerville" w:cs="Arabic Typesetting"/>
          <w:sz w:val="21"/>
          <w:szCs w:val="21"/>
        </w:rPr>
      </w:pPr>
      <w:r w:rsidRPr="0072102D">
        <w:rPr>
          <w:rFonts w:ascii="Baskerville" w:eastAsia="MS PMincho" w:hAnsi="Baskerville" w:cs="Arabic Typesetting"/>
          <w:b/>
          <w:bCs/>
          <w:sz w:val="21"/>
          <w:szCs w:val="21"/>
        </w:rPr>
        <w:t>Design Differentiation</w:t>
      </w:r>
      <w:r w:rsidRPr="0072102D">
        <w:rPr>
          <w:rFonts w:ascii="Baskerville" w:eastAsia="MS PMincho" w:hAnsi="Baskerville" w:cs="Arabic Typesetting"/>
          <w:sz w:val="21"/>
          <w:szCs w:val="21"/>
        </w:rPr>
        <w:t xml:space="preserve"> (1 page)- Explain quasi-experimental and correlational research designs’ key characteristics, strengths, and limitations. Use real-world examples to illustrate their application in research.</w:t>
      </w:r>
    </w:p>
    <w:p w14:paraId="3B1031AB" w14:textId="77777777" w:rsidR="00BE70EC" w:rsidRPr="0072102D" w:rsidRDefault="00AF2C32" w:rsidP="0072102D">
      <w:pPr>
        <w:pStyle w:val="ListParagraph"/>
        <w:numPr>
          <w:ilvl w:val="0"/>
          <w:numId w:val="33"/>
        </w:numPr>
        <w:rPr>
          <w:rFonts w:ascii="Baskerville" w:eastAsia="MS PMincho" w:hAnsi="Baskerville" w:cs="Arabic Typesetting"/>
          <w:sz w:val="21"/>
          <w:szCs w:val="21"/>
        </w:rPr>
      </w:pPr>
      <w:r w:rsidRPr="0072102D">
        <w:rPr>
          <w:rFonts w:ascii="Baskerville" w:eastAsia="MS PMincho" w:hAnsi="Baskerville" w:cs="Arabic Typesetting"/>
          <w:b/>
          <w:bCs/>
          <w:sz w:val="21"/>
          <w:szCs w:val="21"/>
        </w:rPr>
        <w:t>Valid Instruments</w:t>
      </w:r>
      <w:r w:rsidRPr="0072102D">
        <w:rPr>
          <w:rFonts w:ascii="Baskerville" w:eastAsia="MS PMincho" w:hAnsi="Baskerville" w:cs="Arabic Typesetting"/>
          <w:sz w:val="21"/>
          <w:szCs w:val="21"/>
        </w:rPr>
        <w:t xml:space="preserve"> (1-page) -Discuss the importance of selecting valid research instruments and examining variables and subscales within the research design. Provide examples of how instrument validity and reliability impact research outcomes. Find, describe, and cite at least one validated instrument that</w:t>
      </w:r>
      <w:r w:rsidR="00BE70EC" w:rsidRPr="0072102D">
        <w:rPr>
          <w:rFonts w:ascii="Baskerville" w:eastAsia="MS PMincho" w:hAnsi="Baskerville" w:cs="Arabic Typesetting"/>
          <w:sz w:val="21"/>
          <w:szCs w:val="21"/>
        </w:rPr>
        <w:t xml:space="preserve"> could measure the dependent variables of the fictional study (religiosity, social justice, social cohesion).</w:t>
      </w:r>
    </w:p>
    <w:p w14:paraId="40923BDF" w14:textId="503E91BF" w:rsidR="00D32C9C" w:rsidRPr="0072102D" w:rsidRDefault="00D32C9C" w:rsidP="0072102D">
      <w:pPr>
        <w:pStyle w:val="ListParagraph"/>
        <w:numPr>
          <w:ilvl w:val="0"/>
          <w:numId w:val="33"/>
        </w:numPr>
        <w:rPr>
          <w:rFonts w:ascii="Baskerville" w:eastAsia="MS PMincho" w:hAnsi="Baskerville" w:cs="Arabic Typesetting"/>
          <w:sz w:val="21"/>
          <w:szCs w:val="21"/>
        </w:rPr>
      </w:pPr>
      <w:r w:rsidRPr="0072102D">
        <w:rPr>
          <w:rFonts w:ascii="Baskerville" w:eastAsia="MS PMincho" w:hAnsi="Baskerville" w:cs="Arabic Typesetting"/>
          <w:b/>
          <w:bCs/>
          <w:sz w:val="21"/>
          <w:szCs w:val="21"/>
        </w:rPr>
        <w:t>Hypothesis Formulation</w:t>
      </w:r>
      <w:r w:rsidRPr="0072102D">
        <w:rPr>
          <w:rFonts w:ascii="Baskerville" w:eastAsia="MS PMincho" w:hAnsi="Baskerville" w:cs="Arabic Typesetting"/>
          <w:sz w:val="21"/>
          <w:szCs w:val="21"/>
        </w:rPr>
        <w:t xml:space="preserve"> (1 page)- Compose appropriately formulated hypotheses based on research questions. Analyze the role of hypotheses </w:t>
      </w:r>
      <w:r w:rsidR="002C4DFC" w:rsidRPr="0072102D">
        <w:rPr>
          <w:rFonts w:ascii="Baskerville" w:eastAsia="MS PMincho" w:hAnsi="Baskerville" w:cs="Arabic Typesetting"/>
          <w:sz w:val="21"/>
          <w:szCs w:val="21"/>
        </w:rPr>
        <w:t>in</w:t>
      </w:r>
      <w:r w:rsidRPr="0072102D">
        <w:rPr>
          <w:rFonts w:ascii="Baskerville" w:eastAsia="MS PMincho" w:hAnsi="Baskerville" w:cs="Arabic Typesetting"/>
          <w:sz w:val="21"/>
          <w:szCs w:val="21"/>
        </w:rPr>
        <w:t xml:space="preserve"> guiding research and the distinction between null and alternative hypotheses. Utilize examples from published research to illustrate effective hypothesi</w:t>
      </w:r>
      <w:r w:rsidR="002C4DFC" w:rsidRPr="0072102D">
        <w:rPr>
          <w:rFonts w:ascii="Baskerville" w:eastAsia="MS PMincho" w:hAnsi="Baskerville" w:cs="Arabic Typesetting"/>
          <w:sz w:val="21"/>
          <w:szCs w:val="21"/>
        </w:rPr>
        <w:t>s formulation.</w:t>
      </w:r>
    </w:p>
    <w:p w14:paraId="70BE696C" w14:textId="77777777" w:rsidR="002C4DFC" w:rsidRPr="0072102D" w:rsidRDefault="00BE70EC" w:rsidP="0072102D">
      <w:pPr>
        <w:pStyle w:val="ListParagraph"/>
        <w:numPr>
          <w:ilvl w:val="0"/>
          <w:numId w:val="33"/>
        </w:numPr>
        <w:rPr>
          <w:rFonts w:ascii="Baskerville" w:eastAsia="MS PMincho" w:hAnsi="Baskerville" w:cs="Arabic Typesetting"/>
          <w:sz w:val="21"/>
          <w:szCs w:val="21"/>
        </w:rPr>
      </w:pPr>
      <w:r w:rsidRPr="0072102D">
        <w:rPr>
          <w:rFonts w:ascii="Baskerville" w:eastAsia="MS PMincho" w:hAnsi="Baskerville" w:cs="Arabic Typesetting"/>
          <w:b/>
          <w:bCs/>
          <w:sz w:val="21"/>
          <w:szCs w:val="21"/>
        </w:rPr>
        <w:t>Evaluation of Null and Alterative Hypotheses</w:t>
      </w:r>
      <w:r w:rsidRPr="0072102D">
        <w:rPr>
          <w:rFonts w:ascii="Baskerville" w:eastAsia="MS PMincho" w:hAnsi="Baskerville" w:cs="Arabic Typesetting"/>
          <w:sz w:val="21"/>
          <w:szCs w:val="21"/>
        </w:rPr>
        <w:t xml:space="preserve"> (I page) – Evaluate the difference between null and alternative hypotheses and the criteria for rejecting the null hypothesis. Discuss the significance of</w:t>
      </w:r>
      <w:r w:rsidR="00AF2C32" w:rsidRPr="0072102D">
        <w:rPr>
          <w:rFonts w:ascii="Baskerville" w:eastAsia="MS PMincho" w:hAnsi="Baskerville" w:cs="Arabic Typesetting"/>
          <w:sz w:val="21"/>
          <w:szCs w:val="21"/>
        </w:rPr>
        <w:t xml:space="preserve"> </w:t>
      </w:r>
      <w:r w:rsidRPr="0072102D">
        <w:rPr>
          <w:rFonts w:ascii="Baskerville" w:eastAsia="MS PMincho" w:hAnsi="Baskerville" w:cs="Arabic Typesetting"/>
          <w:sz w:val="21"/>
          <w:szCs w:val="21"/>
        </w:rPr>
        <w:t xml:space="preserve">hypothesis testing in research and potential errors associated with hypothesis testing. Provide examples from published studies to illustrate instances where null hypotheses were appropriately </w:t>
      </w:r>
      <w:r w:rsidR="00D32C9C" w:rsidRPr="0072102D">
        <w:rPr>
          <w:rFonts w:ascii="Baskerville" w:eastAsia="MS PMincho" w:hAnsi="Baskerville" w:cs="Arabic Typesetting"/>
          <w:sz w:val="21"/>
          <w:szCs w:val="21"/>
        </w:rPr>
        <w:t xml:space="preserve">rejected or retained. </w:t>
      </w:r>
    </w:p>
    <w:p w14:paraId="0C4BB198" w14:textId="7B603B43" w:rsidR="00AF2C32" w:rsidRPr="0072102D" w:rsidRDefault="002C4DFC" w:rsidP="0072102D">
      <w:pPr>
        <w:pStyle w:val="ListParagraph"/>
        <w:numPr>
          <w:ilvl w:val="0"/>
          <w:numId w:val="33"/>
        </w:numPr>
        <w:rPr>
          <w:rFonts w:ascii="Baskerville" w:eastAsia="MS PMincho" w:hAnsi="Baskerville" w:cs="Arabic Typesetting"/>
          <w:sz w:val="21"/>
          <w:szCs w:val="21"/>
        </w:rPr>
      </w:pPr>
      <w:r w:rsidRPr="0072102D">
        <w:rPr>
          <w:rFonts w:ascii="Baskerville" w:eastAsia="MS PMincho" w:hAnsi="Baskerville" w:cs="Arabic Typesetting"/>
          <w:b/>
          <w:bCs/>
          <w:sz w:val="21"/>
          <w:szCs w:val="21"/>
        </w:rPr>
        <w:t>Literature Review Structure</w:t>
      </w:r>
      <w:r w:rsidRPr="0072102D">
        <w:rPr>
          <w:rFonts w:ascii="Baskerville" w:eastAsia="MS PMincho" w:hAnsi="Baskerville" w:cs="Arabic Typesetting"/>
          <w:sz w:val="21"/>
          <w:szCs w:val="21"/>
        </w:rPr>
        <w:t xml:space="preserve"> (2-3 pages)- Reflect on the purpose and structure of a dissertation</w:t>
      </w:r>
      <w:r w:rsidR="00BE70EC" w:rsidRPr="0072102D">
        <w:rPr>
          <w:rFonts w:ascii="Baskerville" w:eastAsia="MS PMincho" w:hAnsi="Baskerville" w:cs="Arabic Typesetting"/>
          <w:sz w:val="21"/>
          <w:szCs w:val="21"/>
        </w:rPr>
        <w:t xml:space="preserve"> </w:t>
      </w:r>
      <w:r w:rsidRPr="0072102D">
        <w:rPr>
          <w:rFonts w:ascii="Baskerville" w:eastAsia="MS PMincho" w:hAnsi="Baskerville" w:cs="Arabic Typesetting"/>
          <w:sz w:val="21"/>
          <w:szCs w:val="21"/>
        </w:rPr>
        <w:t>literature review. Analyze its critical role in the research process, its connection to problem formulation and research design, and the typica</w:t>
      </w:r>
      <w:r w:rsidR="0072102D" w:rsidRPr="0072102D">
        <w:rPr>
          <w:rFonts w:ascii="Baskerville" w:eastAsia="MS PMincho" w:hAnsi="Baskerville" w:cs="Arabic Typesetting"/>
          <w:sz w:val="21"/>
          <w:szCs w:val="21"/>
        </w:rPr>
        <w:t xml:space="preserve">l components and organization of literature review in a dissertation. Provide examples of effective literature review from published dissertations. </w:t>
      </w:r>
    </w:p>
    <w:p w14:paraId="4F0DDBAB" w14:textId="674FD658" w:rsidR="0072102D" w:rsidRPr="0072102D" w:rsidRDefault="0072102D" w:rsidP="0072102D">
      <w:pPr>
        <w:pStyle w:val="ListParagraph"/>
        <w:numPr>
          <w:ilvl w:val="0"/>
          <w:numId w:val="33"/>
        </w:numPr>
        <w:rPr>
          <w:rFonts w:ascii="Baskerville" w:eastAsia="MS PMincho" w:hAnsi="Baskerville" w:cs="Arabic Typesetting"/>
          <w:sz w:val="21"/>
          <w:szCs w:val="21"/>
        </w:rPr>
      </w:pPr>
      <w:r w:rsidRPr="0072102D">
        <w:rPr>
          <w:rFonts w:ascii="Baskerville" w:eastAsia="MS PMincho" w:hAnsi="Baskerville" w:cs="Arabic Typesetting"/>
          <w:b/>
          <w:bCs/>
          <w:sz w:val="21"/>
          <w:szCs w:val="21"/>
        </w:rPr>
        <w:t>Reflection on Personal Dissertation Idea</w:t>
      </w:r>
      <w:r w:rsidRPr="0072102D">
        <w:rPr>
          <w:rFonts w:ascii="Baskerville" w:eastAsia="MS PMincho" w:hAnsi="Baskerville" w:cs="Arabic Typesetting"/>
          <w:sz w:val="21"/>
          <w:szCs w:val="21"/>
        </w:rPr>
        <w:t xml:space="preserve"> (1-2 pages). Apply the concepts and insights from the analysis to your dissertation research idea. Discuss how understanding research design, hypothesis formulation, and literature review structures can inform and improve your research plans.</w:t>
      </w:r>
    </w:p>
    <w:p w14:paraId="7BFFFFB8" w14:textId="77777777" w:rsidR="0072102D" w:rsidRPr="002C4DFC" w:rsidRDefault="0072102D" w:rsidP="0072102D">
      <w:pPr>
        <w:pStyle w:val="ListParagraph"/>
        <w:spacing w:line="360" w:lineRule="auto"/>
        <w:ind w:left="1080"/>
        <w:rPr>
          <w:rFonts w:ascii="Baskerville" w:eastAsia="MS PMincho" w:hAnsi="Baskerville" w:cs="Arabic Typesetting"/>
        </w:rPr>
      </w:pPr>
    </w:p>
    <w:p w14:paraId="3117E303" w14:textId="77777777" w:rsidR="00B22722" w:rsidRDefault="00B22722" w:rsidP="008C2B1F">
      <w:pPr>
        <w:spacing w:line="360" w:lineRule="auto"/>
        <w:rPr>
          <w:rFonts w:ascii="Baskerville" w:eastAsia="MS PMincho" w:hAnsi="Baskerville" w:cs="Arabic Typesetting"/>
          <w:b/>
          <w:bCs/>
        </w:rPr>
      </w:pPr>
    </w:p>
    <w:p w14:paraId="70D6B376" w14:textId="77777777" w:rsidR="00B22722" w:rsidRDefault="00B22722" w:rsidP="008C2B1F">
      <w:pPr>
        <w:spacing w:line="360" w:lineRule="auto"/>
        <w:rPr>
          <w:rFonts w:ascii="Baskerville" w:eastAsia="MS PMincho" w:hAnsi="Baskerville" w:cs="Arabic Typesetting"/>
          <w:b/>
          <w:bCs/>
        </w:rPr>
      </w:pPr>
    </w:p>
    <w:p w14:paraId="2A02ACA2" w14:textId="77777777" w:rsidR="00B22722" w:rsidRDefault="00B22722" w:rsidP="008C2B1F">
      <w:pPr>
        <w:spacing w:line="360" w:lineRule="auto"/>
        <w:rPr>
          <w:rFonts w:ascii="Baskerville" w:eastAsia="MS PMincho" w:hAnsi="Baskerville" w:cs="Arabic Typesetting"/>
          <w:b/>
          <w:bCs/>
        </w:rPr>
      </w:pPr>
    </w:p>
    <w:p w14:paraId="4220137E" w14:textId="77777777" w:rsidR="00B22722" w:rsidRDefault="00B22722" w:rsidP="008C2B1F">
      <w:pPr>
        <w:spacing w:line="360" w:lineRule="auto"/>
        <w:rPr>
          <w:rFonts w:ascii="Baskerville" w:eastAsia="MS PMincho" w:hAnsi="Baskerville" w:cs="Arabic Typesetting"/>
          <w:b/>
          <w:bCs/>
        </w:rPr>
      </w:pPr>
    </w:p>
    <w:p w14:paraId="70F0FAB9" w14:textId="77777777" w:rsidR="00B22722" w:rsidRDefault="00B22722" w:rsidP="008C2B1F">
      <w:pPr>
        <w:spacing w:line="360" w:lineRule="auto"/>
        <w:rPr>
          <w:rFonts w:ascii="Baskerville" w:eastAsia="MS PMincho" w:hAnsi="Baskerville" w:cs="Arabic Typesetting"/>
          <w:b/>
          <w:bCs/>
        </w:rPr>
      </w:pPr>
    </w:p>
    <w:p w14:paraId="1E1EA42C" w14:textId="77777777" w:rsidR="00B22722" w:rsidRDefault="00B22722" w:rsidP="008C2B1F">
      <w:pPr>
        <w:spacing w:line="360" w:lineRule="auto"/>
        <w:rPr>
          <w:rFonts w:ascii="Baskerville" w:eastAsia="MS PMincho" w:hAnsi="Baskerville" w:cs="Arabic Typesetting"/>
          <w:b/>
          <w:bCs/>
        </w:rPr>
      </w:pPr>
    </w:p>
    <w:p w14:paraId="12F90892" w14:textId="77777777" w:rsidR="00B22722" w:rsidRDefault="00B22722" w:rsidP="008C2B1F">
      <w:pPr>
        <w:spacing w:line="360" w:lineRule="auto"/>
        <w:rPr>
          <w:rFonts w:ascii="Baskerville" w:eastAsia="MS PMincho" w:hAnsi="Baskerville" w:cs="Arabic Typesetting"/>
          <w:b/>
          <w:bCs/>
        </w:rPr>
      </w:pPr>
    </w:p>
    <w:p w14:paraId="0C367C81" w14:textId="0CA97C83" w:rsidR="0086079D" w:rsidRPr="007B25AE" w:rsidRDefault="007215A6" w:rsidP="008C2B1F">
      <w:pPr>
        <w:spacing w:line="360" w:lineRule="auto"/>
        <w:rPr>
          <w:rFonts w:ascii="Baskerville" w:eastAsia="MS PMincho" w:hAnsi="Baskerville" w:cs="Arabic Typesetting"/>
        </w:rPr>
      </w:pPr>
      <w:r w:rsidRPr="007B25AE">
        <w:rPr>
          <w:rFonts w:ascii="Baskerville" w:eastAsia="MS PMincho" w:hAnsi="Baskerville" w:cs="Arabic Typesetting"/>
          <w:b/>
          <w:bCs/>
        </w:rPr>
        <w:lastRenderedPageBreak/>
        <w:t>1</w:t>
      </w:r>
      <w:r w:rsidRPr="007B25AE">
        <w:rPr>
          <w:rFonts w:ascii="Baskerville" w:eastAsia="MS PMincho" w:hAnsi="Baskerville" w:cs="Arabic Typesetting"/>
        </w:rPr>
        <w:t>.</w:t>
      </w:r>
      <w:r w:rsidRPr="007B25AE">
        <w:rPr>
          <w:rFonts w:ascii="Baskerville" w:eastAsia="MS PMincho" w:hAnsi="Baskerville" w:cs="Arabic Typesetting"/>
          <w:b/>
          <w:bCs/>
        </w:rPr>
        <w:t>Introduction</w:t>
      </w:r>
      <w:r w:rsidRPr="007B25AE">
        <w:rPr>
          <w:rFonts w:ascii="Baskerville" w:eastAsia="MS PMincho" w:hAnsi="Baskerville" w:cs="Arabic Typesetting"/>
        </w:rPr>
        <w:t>.</w:t>
      </w:r>
      <w:commentRangeStart w:id="0"/>
      <w:r w:rsidR="008C2B1F" w:rsidRPr="007B25AE">
        <w:rPr>
          <w:rFonts w:ascii="Baskerville" w:eastAsia="MS PMincho" w:hAnsi="Baskerville" w:cs="Arabic Typesetting"/>
        </w:rPr>
        <w:t xml:space="preserve">This assignment </w:t>
      </w:r>
      <w:r w:rsidR="009C39B9" w:rsidRPr="007B25AE">
        <w:rPr>
          <w:rFonts w:ascii="Baskerville" w:eastAsia="MS PMincho" w:hAnsi="Baskerville" w:cs="Arabic Typesetting"/>
        </w:rPr>
        <w:t>provides</w:t>
      </w:r>
      <w:r w:rsidR="0047546F" w:rsidRPr="007B25AE">
        <w:rPr>
          <w:rFonts w:ascii="Baskerville" w:eastAsia="MS PMincho" w:hAnsi="Baskerville" w:cs="Arabic Typesetting"/>
        </w:rPr>
        <w:t xml:space="preserve"> </w:t>
      </w:r>
      <w:r w:rsidR="00844FC7" w:rsidRPr="007B25AE">
        <w:rPr>
          <w:rFonts w:ascii="Baskerville" w:eastAsia="MS PMincho" w:hAnsi="Baskerville" w:cs="Arabic Typesetting"/>
        </w:rPr>
        <w:t xml:space="preserve">a </w:t>
      </w:r>
      <w:r w:rsidR="0047546F" w:rsidRPr="007B25AE">
        <w:rPr>
          <w:rFonts w:ascii="Baskerville" w:eastAsia="MS PMincho" w:hAnsi="Baskerville" w:cs="Arabic Typesetting"/>
        </w:rPr>
        <w:t>real opportunity</w:t>
      </w:r>
      <w:r w:rsidR="001F761C" w:rsidRPr="007B25AE">
        <w:rPr>
          <w:rFonts w:ascii="Baskerville" w:eastAsia="MS PMincho" w:hAnsi="Baskerville" w:cs="Arabic Typesetting"/>
        </w:rPr>
        <w:t xml:space="preserve"> </w:t>
      </w:r>
      <w:r w:rsidR="00D01AD8" w:rsidRPr="007B25AE">
        <w:rPr>
          <w:rFonts w:ascii="Baskerville" w:eastAsia="MS PMincho" w:hAnsi="Baskerville" w:cs="Arabic Typesetting"/>
        </w:rPr>
        <w:t>for one to take a second look at</w:t>
      </w:r>
      <w:r w:rsidR="009C39B9" w:rsidRPr="007B25AE">
        <w:rPr>
          <w:rFonts w:ascii="Baskerville" w:eastAsia="MS PMincho" w:hAnsi="Baskerville" w:cs="Arabic Typesetting"/>
        </w:rPr>
        <w:t xml:space="preserve"> the </w:t>
      </w:r>
      <w:r w:rsidR="00AC3FDA" w:rsidRPr="007B25AE">
        <w:rPr>
          <w:rFonts w:ascii="Baskerville" w:eastAsia="MS PMincho" w:hAnsi="Baskerville" w:cs="Arabic Typesetting"/>
        </w:rPr>
        <w:t>work</w:t>
      </w:r>
      <w:r w:rsidR="009C39B9" w:rsidRPr="007B25AE">
        <w:rPr>
          <w:rFonts w:ascii="Baskerville" w:eastAsia="MS PMincho" w:hAnsi="Baskerville" w:cs="Arabic Typesetting"/>
        </w:rPr>
        <w:t xml:space="preserve">ing </w:t>
      </w:r>
      <w:r w:rsidR="00AC3FDA" w:rsidRPr="007B25AE">
        <w:rPr>
          <w:rFonts w:ascii="Baskerville" w:eastAsia="MS PMincho" w:hAnsi="Baskerville" w:cs="Arabic Typesetting"/>
        </w:rPr>
        <w:t xml:space="preserve">definitions </w:t>
      </w:r>
      <w:r w:rsidR="001F761C" w:rsidRPr="007B25AE">
        <w:rPr>
          <w:rFonts w:ascii="Baskerville" w:eastAsia="MS PMincho" w:hAnsi="Baskerville" w:cs="Arabic Typesetting"/>
        </w:rPr>
        <w:t xml:space="preserve">and applications </w:t>
      </w:r>
      <w:r w:rsidR="00B403B6" w:rsidRPr="007B25AE">
        <w:rPr>
          <w:rFonts w:ascii="Baskerville" w:eastAsia="MS PMincho" w:hAnsi="Baskerville" w:cs="Arabic Typesetting"/>
        </w:rPr>
        <w:t>of what</w:t>
      </w:r>
      <w:r w:rsidR="005D798F" w:rsidRPr="007B25AE">
        <w:rPr>
          <w:rFonts w:ascii="Baskerville" w:eastAsia="MS PMincho" w:hAnsi="Baskerville" w:cs="Arabic Typesetting"/>
        </w:rPr>
        <w:t xml:space="preserve"> </w:t>
      </w:r>
      <w:r w:rsidR="00B403B6" w:rsidRPr="007B25AE">
        <w:rPr>
          <w:rFonts w:ascii="Baskerville" w:eastAsia="MS PMincho" w:hAnsi="Baskerville" w:cs="Arabic Typesetting"/>
        </w:rPr>
        <w:t xml:space="preserve">research </w:t>
      </w:r>
      <w:r w:rsidR="00D01AD8" w:rsidRPr="007B25AE">
        <w:rPr>
          <w:rFonts w:ascii="Baskerville" w:eastAsia="MS PMincho" w:hAnsi="Baskerville" w:cs="Arabic Typesetting"/>
        </w:rPr>
        <w:t>“</w:t>
      </w:r>
      <w:r w:rsidR="00B403B6" w:rsidRPr="007B25AE">
        <w:rPr>
          <w:rFonts w:ascii="Baskerville" w:eastAsia="MS PMincho" w:hAnsi="Baskerville" w:cs="Arabic Typesetting"/>
        </w:rPr>
        <w:t>design</w:t>
      </w:r>
      <w:r w:rsidR="00D01AD8" w:rsidRPr="007B25AE">
        <w:rPr>
          <w:rFonts w:ascii="Baskerville" w:eastAsia="MS PMincho" w:hAnsi="Baskerville" w:cs="Arabic Typesetting"/>
        </w:rPr>
        <w:t>”</w:t>
      </w:r>
      <w:r w:rsidR="00B403B6" w:rsidRPr="007B25AE">
        <w:rPr>
          <w:rFonts w:ascii="Baskerville" w:eastAsia="MS PMincho" w:hAnsi="Baskerville" w:cs="Arabic Typesetting"/>
        </w:rPr>
        <w:t xml:space="preserve"> and </w:t>
      </w:r>
      <w:r w:rsidR="00D01AD8" w:rsidRPr="007B25AE">
        <w:rPr>
          <w:rFonts w:ascii="Baskerville" w:eastAsia="MS PMincho" w:hAnsi="Baskerville" w:cs="Arabic Typesetting"/>
        </w:rPr>
        <w:t>“</w:t>
      </w:r>
      <w:r w:rsidR="00B403B6" w:rsidRPr="007B25AE">
        <w:rPr>
          <w:rFonts w:ascii="Baskerville" w:eastAsia="MS PMincho" w:hAnsi="Baskerville" w:cs="Arabic Typesetting"/>
        </w:rPr>
        <w:t>methodology</w:t>
      </w:r>
      <w:r w:rsidR="00D01AD8" w:rsidRPr="007B25AE">
        <w:rPr>
          <w:rFonts w:ascii="Baskerville" w:eastAsia="MS PMincho" w:hAnsi="Baskerville" w:cs="Arabic Typesetting"/>
        </w:rPr>
        <w:t>”</w:t>
      </w:r>
      <w:r w:rsidR="00B403B6" w:rsidRPr="007B25AE">
        <w:rPr>
          <w:rFonts w:ascii="Baskerville" w:eastAsia="MS PMincho" w:hAnsi="Baskerville" w:cs="Arabic Typesetting"/>
        </w:rPr>
        <w:t xml:space="preserve"> </w:t>
      </w:r>
      <w:r w:rsidR="005F1FE5" w:rsidRPr="007B25AE">
        <w:rPr>
          <w:rFonts w:ascii="Baskerville" w:eastAsia="MS PMincho" w:hAnsi="Baskerville" w:cs="Arabic Typesetting"/>
        </w:rPr>
        <w:t>are</w:t>
      </w:r>
      <w:r w:rsidR="009C39B9" w:rsidRPr="007B25AE">
        <w:rPr>
          <w:rFonts w:ascii="Baskerville" w:eastAsia="MS PMincho" w:hAnsi="Baskerville" w:cs="Arabic Typesetting"/>
        </w:rPr>
        <w:t xml:space="preserve"> all about</w:t>
      </w:r>
      <w:r w:rsidR="001F761C" w:rsidRPr="007B25AE">
        <w:rPr>
          <w:rFonts w:ascii="Baskerville" w:eastAsia="MS PMincho" w:hAnsi="Baskerville" w:cs="Arabic Typesetting"/>
        </w:rPr>
        <w:t xml:space="preserve"> just </w:t>
      </w:r>
      <w:r w:rsidR="0011275A" w:rsidRPr="007B25AE">
        <w:rPr>
          <w:rFonts w:ascii="Baskerville" w:eastAsia="MS PMincho" w:hAnsi="Baskerville" w:cs="Arabic Typesetting"/>
        </w:rPr>
        <w:t>prior to</w:t>
      </w:r>
      <w:r w:rsidR="001F761C" w:rsidRPr="007B25AE">
        <w:rPr>
          <w:rFonts w:ascii="Baskerville" w:eastAsia="MS PMincho" w:hAnsi="Baskerville" w:cs="Arabic Typesetting"/>
        </w:rPr>
        <w:t xml:space="preserve"> </w:t>
      </w:r>
      <w:r w:rsidR="00844FC7" w:rsidRPr="007B25AE">
        <w:rPr>
          <w:rFonts w:ascii="Baskerville" w:eastAsia="MS PMincho" w:hAnsi="Baskerville" w:cs="Arabic Typesetting"/>
        </w:rPr>
        <w:t xml:space="preserve">my wading into </w:t>
      </w:r>
      <w:proofErr w:type="gramStart"/>
      <w:r w:rsidR="000B6703" w:rsidRPr="007B25AE">
        <w:rPr>
          <w:rFonts w:ascii="Baskerville" w:eastAsia="MS PMincho" w:hAnsi="Baskerville" w:cs="Arabic Typesetting"/>
        </w:rPr>
        <w:t>a</w:t>
      </w:r>
      <w:r w:rsidR="001F761C" w:rsidRPr="007B25AE">
        <w:rPr>
          <w:rFonts w:ascii="Baskerville" w:eastAsia="MS PMincho" w:hAnsi="Baskerville" w:cs="Arabic Typesetting"/>
        </w:rPr>
        <w:t xml:space="preserve"> major scholarly research</w:t>
      </w:r>
      <w:proofErr w:type="gramEnd"/>
      <w:r w:rsidR="000B6703" w:rsidRPr="007B25AE">
        <w:rPr>
          <w:rFonts w:ascii="Baskerville" w:eastAsia="MS PMincho" w:hAnsi="Baskerville" w:cs="Arabic Typesetting"/>
        </w:rPr>
        <w:t xml:space="preserve"> of my own</w:t>
      </w:r>
      <w:r w:rsidR="00B058D6" w:rsidRPr="007B25AE">
        <w:rPr>
          <w:rFonts w:ascii="Baskerville" w:eastAsia="MS PMincho" w:hAnsi="Baskerville" w:cs="Arabic Typesetting"/>
        </w:rPr>
        <w:t xml:space="preserve">. </w:t>
      </w:r>
      <w:r w:rsidR="001F761C" w:rsidRPr="007B25AE">
        <w:rPr>
          <w:rFonts w:ascii="Baskerville" w:eastAsia="MS PMincho" w:hAnsi="Baskerville" w:cs="Arabic Typesetting"/>
        </w:rPr>
        <w:t>A clear u</w:t>
      </w:r>
      <w:r w:rsidR="005D798F" w:rsidRPr="007B25AE">
        <w:rPr>
          <w:rFonts w:ascii="Baskerville" w:eastAsia="MS PMincho" w:hAnsi="Baskerville" w:cs="Arabic Typesetting"/>
        </w:rPr>
        <w:t xml:space="preserve">nderstanding </w:t>
      </w:r>
      <w:r w:rsidR="000B6703" w:rsidRPr="007B25AE">
        <w:rPr>
          <w:rFonts w:ascii="Baskerville" w:eastAsia="MS PMincho" w:hAnsi="Baskerville" w:cs="Arabic Typesetting"/>
        </w:rPr>
        <w:t xml:space="preserve">of </w:t>
      </w:r>
      <w:r w:rsidR="005D798F" w:rsidRPr="007B25AE">
        <w:rPr>
          <w:rFonts w:ascii="Baskerville" w:eastAsia="MS PMincho" w:hAnsi="Baskerville" w:cs="Arabic Typesetting"/>
        </w:rPr>
        <w:t xml:space="preserve">these </w:t>
      </w:r>
      <w:r w:rsidR="000B6703" w:rsidRPr="007B25AE">
        <w:rPr>
          <w:rFonts w:ascii="Baskerville" w:eastAsia="MS PMincho" w:hAnsi="Baskerville" w:cs="Arabic Typesetting"/>
        </w:rPr>
        <w:t xml:space="preserve">two </w:t>
      </w:r>
      <w:r w:rsidR="005D798F" w:rsidRPr="007B25AE">
        <w:rPr>
          <w:rFonts w:ascii="Baskerville" w:eastAsia="MS PMincho" w:hAnsi="Baskerville" w:cs="Arabic Typesetting"/>
        </w:rPr>
        <w:t>terms</w:t>
      </w:r>
      <w:r w:rsidR="00B058D6" w:rsidRPr="007B25AE">
        <w:rPr>
          <w:rFonts w:ascii="Baskerville" w:eastAsia="MS PMincho" w:hAnsi="Baskerville" w:cs="Arabic Typesetting"/>
        </w:rPr>
        <w:t xml:space="preserve"> is </w:t>
      </w:r>
      <w:r w:rsidR="00B403B6" w:rsidRPr="007B25AE">
        <w:rPr>
          <w:rFonts w:ascii="Baskerville" w:eastAsia="MS PMincho" w:hAnsi="Baskerville" w:cs="Arabic Typesetting"/>
        </w:rPr>
        <w:t xml:space="preserve">especially </w:t>
      </w:r>
      <w:r w:rsidR="001F761C" w:rsidRPr="007B25AE">
        <w:rPr>
          <w:rFonts w:ascii="Baskerville" w:eastAsia="MS PMincho" w:hAnsi="Baskerville" w:cs="Arabic Typesetting"/>
        </w:rPr>
        <w:t>vital</w:t>
      </w:r>
      <w:r w:rsidR="00221884" w:rsidRPr="007B25AE">
        <w:rPr>
          <w:rFonts w:ascii="Baskerville" w:eastAsia="MS PMincho" w:hAnsi="Baskerville" w:cs="Arabic Typesetting"/>
        </w:rPr>
        <w:t>,</w:t>
      </w:r>
      <w:r w:rsidR="00B058D6" w:rsidRPr="007B25AE">
        <w:rPr>
          <w:rFonts w:ascii="Baskerville" w:eastAsia="MS PMincho" w:hAnsi="Baskerville" w:cs="Arabic Typesetting"/>
        </w:rPr>
        <w:t xml:space="preserve"> </w:t>
      </w:r>
      <w:r w:rsidR="00BC1EDF" w:rsidRPr="007B25AE">
        <w:rPr>
          <w:rFonts w:ascii="Baskerville" w:eastAsia="MS PMincho" w:hAnsi="Baskerville" w:cs="Arabic Typesetting"/>
        </w:rPr>
        <w:t>since</w:t>
      </w:r>
      <w:r w:rsidR="00B403B6" w:rsidRPr="007B25AE">
        <w:rPr>
          <w:rFonts w:ascii="Baskerville" w:eastAsia="MS PMincho" w:hAnsi="Baskerville" w:cs="Arabic Typesetting"/>
        </w:rPr>
        <w:t xml:space="preserve"> </w:t>
      </w:r>
      <w:r w:rsidR="005F1FE5" w:rsidRPr="007B25AE">
        <w:rPr>
          <w:rFonts w:ascii="Baskerville" w:eastAsia="MS PMincho" w:hAnsi="Baskerville" w:cs="Arabic Typesetting"/>
        </w:rPr>
        <w:t>one of the</w:t>
      </w:r>
      <w:r w:rsidR="00BC1EDF" w:rsidRPr="007B25AE">
        <w:rPr>
          <w:rFonts w:ascii="Baskerville" w:eastAsia="MS PMincho" w:hAnsi="Baskerville" w:cs="Arabic Typesetting"/>
        </w:rPr>
        <w:t xml:space="preserve"> two</w:t>
      </w:r>
      <w:r w:rsidR="000B6703" w:rsidRPr="007B25AE">
        <w:rPr>
          <w:rFonts w:ascii="Baskerville" w:eastAsia="MS PMincho" w:hAnsi="Baskerville" w:cs="Arabic Typesetting"/>
        </w:rPr>
        <w:t xml:space="preserve"> </w:t>
      </w:r>
      <w:r w:rsidR="001653DA" w:rsidRPr="007B25AE">
        <w:rPr>
          <w:rFonts w:ascii="Baskerville" w:eastAsia="MS PMincho" w:hAnsi="Baskerville" w:cs="Arabic Typesetting"/>
        </w:rPr>
        <w:t xml:space="preserve">terms, </w:t>
      </w:r>
      <w:r w:rsidR="000B6703" w:rsidRPr="007B25AE">
        <w:rPr>
          <w:rFonts w:ascii="Baskerville" w:eastAsia="MS PMincho" w:hAnsi="Baskerville" w:cs="Arabic Typesetting"/>
        </w:rPr>
        <w:t xml:space="preserve">placed </w:t>
      </w:r>
      <w:r w:rsidR="00844FC7" w:rsidRPr="007B25AE">
        <w:rPr>
          <w:rFonts w:ascii="Baskerville" w:eastAsia="MS PMincho" w:hAnsi="Baskerville" w:cs="Arabic Typesetting"/>
        </w:rPr>
        <w:t>on the table</w:t>
      </w:r>
      <w:r w:rsidR="001F761C" w:rsidRPr="007B25AE">
        <w:rPr>
          <w:rFonts w:ascii="Baskerville" w:eastAsia="MS PMincho" w:hAnsi="Baskerville" w:cs="Arabic Typesetting"/>
        </w:rPr>
        <w:t>,</w:t>
      </w:r>
      <w:r w:rsidR="00844FC7" w:rsidRPr="007B25AE">
        <w:rPr>
          <w:rFonts w:ascii="Baskerville" w:eastAsia="MS PMincho" w:hAnsi="Baskerville" w:cs="Arabic Typesetting"/>
        </w:rPr>
        <w:t xml:space="preserve"> </w:t>
      </w:r>
      <w:r w:rsidR="001F761C" w:rsidRPr="007B25AE">
        <w:rPr>
          <w:rFonts w:ascii="Baskerville" w:eastAsia="MS PMincho" w:hAnsi="Baskerville" w:cs="Arabic Typesetting"/>
        </w:rPr>
        <w:t xml:space="preserve">here, </w:t>
      </w:r>
      <w:commentRangeEnd w:id="0"/>
      <w:r w:rsidR="007C73ED">
        <w:rPr>
          <w:rStyle w:val="CommentReference"/>
        </w:rPr>
        <w:commentReference w:id="0"/>
      </w:r>
      <w:r w:rsidR="00BC1EDF" w:rsidRPr="007B25AE">
        <w:rPr>
          <w:rFonts w:ascii="Baskerville" w:eastAsia="MS PMincho" w:hAnsi="Baskerville" w:cs="Arabic Typesetting"/>
        </w:rPr>
        <w:t>is</w:t>
      </w:r>
      <w:r w:rsidR="00B058D6" w:rsidRPr="007B25AE">
        <w:rPr>
          <w:rFonts w:ascii="Baskerville" w:eastAsia="MS PMincho" w:hAnsi="Baskerville" w:cs="Arabic Typesetting"/>
        </w:rPr>
        <w:t xml:space="preserve"> </w:t>
      </w:r>
      <w:r w:rsidR="000B6703" w:rsidRPr="007B25AE">
        <w:rPr>
          <w:rFonts w:ascii="Baskerville" w:eastAsia="MS PMincho" w:hAnsi="Baskerville" w:cs="Arabic Typesetting"/>
        </w:rPr>
        <w:t>incidenta</w:t>
      </w:r>
      <w:r w:rsidR="00844FC7" w:rsidRPr="007B25AE">
        <w:rPr>
          <w:rFonts w:ascii="Baskerville" w:eastAsia="MS PMincho" w:hAnsi="Baskerville" w:cs="Arabic Typesetting"/>
        </w:rPr>
        <w:t>ll</w:t>
      </w:r>
      <w:r w:rsidR="001F761C" w:rsidRPr="007B25AE">
        <w:rPr>
          <w:rFonts w:ascii="Baskerville" w:eastAsia="MS PMincho" w:hAnsi="Baskerville" w:cs="Arabic Typesetting"/>
        </w:rPr>
        <w:t>y</w:t>
      </w:r>
      <w:r w:rsidR="00844FC7" w:rsidRPr="007B25AE">
        <w:rPr>
          <w:rFonts w:ascii="Baskerville" w:eastAsia="MS PMincho" w:hAnsi="Baskerville" w:cs="Arabic Typesetting"/>
        </w:rPr>
        <w:t xml:space="preserve">, the </w:t>
      </w:r>
      <w:r w:rsidR="001653DA" w:rsidRPr="007B25AE">
        <w:rPr>
          <w:rFonts w:ascii="Baskerville" w:eastAsia="MS PMincho" w:hAnsi="Baskerville" w:cs="Arabic Typesetting"/>
        </w:rPr>
        <w:t xml:space="preserve">research </w:t>
      </w:r>
      <w:r w:rsidR="00844FC7" w:rsidRPr="007B25AE">
        <w:rPr>
          <w:rFonts w:ascii="Baskerville" w:eastAsia="MS PMincho" w:hAnsi="Baskerville" w:cs="Arabic Typesetting"/>
        </w:rPr>
        <w:t>design</w:t>
      </w:r>
      <w:r w:rsidR="001F761C" w:rsidRPr="007B25AE">
        <w:rPr>
          <w:rFonts w:ascii="Baskerville" w:eastAsia="MS PMincho" w:hAnsi="Baskerville" w:cs="Arabic Typesetting"/>
        </w:rPr>
        <w:t xml:space="preserve"> </w:t>
      </w:r>
      <w:r w:rsidR="001529B7" w:rsidRPr="007B25AE">
        <w:rPr>
          <w:rFonts w:ascii="Baskerville" w:eastAsia="MS PMincho" w:hAnsi="Baskerville" w:cs="Arabic Typesetting"/>
        </w:rPr>
        <w:t xml:space="preserve">that </w:t>
      </w:r>
      <w:r w:rsidR="00BC1EDF" w:rsidRPr="007B25AE">
        <w:rPr>
          <w:rFonts w:ascii="Baskerville" w:eastAsia="MS PMincho" w:hAnsi="Baskerville" w:cs="Arabic Typesetting"/>
        </w:rPr>
        <w:t xml:space="preserve">I </w:t>
      </w:r>
      <w:r w:rsidR="000B6703" w:rsidRPr="007B25AE">
        <w:rPr>
          <w:rFonts w:ascii="Baskerville" w:eastAsia="MS PMincho" w:hAnsi="Baskerville" w:cs="Arabic Typesetting"/>
        </w:rPr>
        <w:t>have chosen</w:t>
      </w:r>
      <w:r w:rsidR="003E430F" w:rsidRPr="007B25AE">
        <w:rPr>
          <w:rFonts w:ascii="Baskerville" w:eastAsia="MS PMincho" w:hAnsi="Baskerville" w:cs="Arabic Typesetting"/>
        </w:rPr>
        <w:t xml:space="preserve"> </w:t>
      </w:r>
      <w:r w:rsidR="00BC1EDF" w:rsidRPr="007B25AE">
        <w:rPr>
          <w:rFonts w:ascii="Baskerville" w:eastAsia="MS PMincho" w:hAnsi="Baskerville" w:cs="Arabic Typesetting"/>
        </w:rPr>
        <w:t xml:space="preserve">for </w:t>
      </w:r>
      <w:r w:rsidR="00BD29DF" w:rsidRPr="007B25AE">
        <w:rPr>
          <w:rFonts w:ascii="Baskerville" w:eastAsia="MS PMincho" w:hAnsi="Baskerville" w:cs="Arabic Typesetting"/>
        </w:rPr>
        <w:t>my</w:t>
      </w:r>
      <w:r w:rsidR="00221884" w:rsidRPr="007B25AE">
        <w:rPr>
          <w:rFonts w:ascii="Baskerville" w:eastAsia="MS PMincho" w:hAnsi="Baskerville" w:cs="Arabic Typesetting"/>
        </w:rPr>
        <w:t xml:space="preserve"> </w:t>
      </w:r>
      <w:r w:rsidR="00844FC7" w:rsidRPr="007B25AE">
        <w:rPr>
          <w:rFonts w:ascii="Baskerville" w:eastAsia="MS PMincho" w:hAnsi="Baskerville" w:cs="Arabic Typesetting"/>
        </w:rPr>
        <w:t xml:space="preserve">upcoming </w:t>
      </w:r>
      <w:r w:rsidR="00B403B6" w:rsidRPr="007B25AE">
        <w:rPr>
          <w:rFonts w:ascii="Baskerville" w:eastAsia="MS PMincho" w:hAnsi="Baskerville" w:cs="Arabic Typesetting"/>
        </w:rPr>
        <w:t xml:space="preserve">dissertation. </w:t>
      </w:r>
      <w:r w:rsidR="001529B7" w:rsidRPr="007B25AE">
        <w:rPr>
          <w:rFonts w:ascii="Baskerville" w:eastAsia="MS PMincho" w:hAnsi="Baskerville" w:cs="Arabic Typesetting"/>
        </w:rPr>
        <w:t>Q</w:t>
      </w:r>
      <w:r w:rsidR="00E10CBE" w:rsidRPr="007B25AE">
        <w:rPr>
          <w:rFonts w:ascii="Baskerville" w:eastAsia="MS PMincho" w:hAnsi="Baskerville" w:cs="Arabic Typesetting"/>
        </w:rPr>
        <w:t>uasi-experimental and correlational research designs</w:t>
      </w:r>
      <w:r w:rsidR="000B6703" w:rsidRPr="007B25AE">
        <w:rPr>
          <w:rFonts w:ascii="Baskerville" w:eastAsia="MS PMincho" w:hAnsi="Baskerville" w:cs="Arabic Typesetting"/>
        </w:rPr>
        <w:t xml:space="preserve"> </w:t>
      </w:r>
      <w:r w:rsidR="005F1FE5" w:rsidRPr="007B25AE">
        <w:rPr>
          <w:rFonts w:ascii="Baskerville" w:eastAsia="MS PMincho" w:hAnsi="Baskerville" w:cs="Arabic Typesetting"/>
        </w:rPr>
        <w:t>are</w:t>
      </w:r>
      <w:r w:rsidR="00BC1EDF" w:rsidRPr="007B25AE">
        <w:rPr>
          <w:rFonts w:ascii="Baskerville" w:eastAsia="MS PMincho" w:hAnsi="Baskerville" w:cs="Arabic Typesetting"/>
        </w:rPr>
        <w:t xml:space="preserve"> </w:t>
      </w:r>
      <w:r w:rsidR="009B2B6B" w:rsidRPr="007B25AE">
        <w:rPr>
          <w:rFonts w:ascii="Baskerville" w:eastAsia="MS PMincho" w:hAnsi="Baskerville" w:cs="Arabic Typesetting"/>
        </w:rPr>
        <w:t>among</w:t>
      </w:r>
      <w:r w:rsidR="00BD29DF" w:rsidRPr="007B25AE">
        <w:rPr>
          <w:rFonts w:ascii="Baskerville" w:eastAsia="MS PMincho" w:hAnsi="Baskerville" w:cs="Arabic Typesetting"/>
        </w:rPr>
        <w:t xml:space="preserve"> the </w:t>
      </w:r>
      <w:proofErr w:type="gramStart"/>
      <w:r w:rsidR="00BD29DF" w:rsidRPr="007B25AE">
        <w:rPr>
          <w:rFonts w:ascii="Baskerville" w:eastAsia="MS PMincho" w:hAnsi="Baskerville" w:cs="Arabic Typesetting"/>
        </w:rPr>
        <w:t xml:space="preserve">most </w:t>
      </w:r>
      <w:r w:rsidR="00CF713C" w:rsidRPr="007B25AE">
        <w:rPr>
          <w:rFonts w:ascii="Baskerville" w:eastAsia="MS PMincho" w:hAnsi="Baskerville" w:cs="Arabic Typesetting"/>
        </w:rPr>
        <w:t>commonly used</w:t>
      </w:r>
      <w:proofErr w:type="gramEnd"/>
      <w:r w:rsidR="009B2B6B" w:rsidRPr="007B25AE">
        <w:rPr>
          <w:rFonts w:ascii="Baskerville" w:eastAsia="MS PMincho" w:hAnsi="Baskerville" w:cs="Arabic Typesetting"/>
        </w:rPr>
        <w:t xml:space="preserve"> scholarly </w:t>
      </w:r>
      <w:r w:rsidR="00BD29DF" w:rsidRPr="007B25AE">
        <w:rPr>
          <w:rFonts w:ascii="Baskerville" w:eastAsia="MS PMincho" w:hAnsi="Baskerville" w:cs="Arabic Typesetting"/>
        </w:rPr>
        <w:t>research</w:t>
      </w:r>
      <w:r w:rsidR="00695C50" w:rsidRPr="007B25AE">
        <w:rPr>
          <w:rFonts w:ascii="Baskerville" w:eastAsia="MS PMincho" w:hAnsi="Baskerville" w:cs="Arabic Typesetting"/>
        </w:rPr>
        <w:t xml:space="preserve"> designs</w:t>
      </w:r>
      <w:r w:rsidR="00B623E3" w:rsidRPr="007B25AE">
        <w:rPr>
          <w:rFonts w:ascii="Baskerville" w:eastAsia="MS PMincho" w:hAnsi="Baskerville" w:cs="Arabic Typesetting"/>
        </w:rPr>
        <w:t xml:space="preserve">, but they </w:t>
      </w:r>
      <w:r w:rsidR="00AC3FDA" w:rsidRPr="007B25AE">
        <w:rPr>
          <w:rFonts w:ascii="Baskerville" w:eastAsia="MS PMincho" w:hAnsi="Baskerville" w:cs="Arabic Typesetting"/>
        </w:rPr>
        <w:t>are</w:t>
      </w:r>
      <w:r w:rsidR="00B623E3" w:rsidRPr="007B25AE">
        <w:rPr>
          <w:rFonts w:ascii="Baskerville" w:eastAsia="MS PMincho" w:hAnsi="Baskerville" w:cs="Arabic Typesetting"/>
        </w:rPr>
        <w:t xml:space="preserve"> </w:t>
      </w:r>
      <w:r w:rsidR="00AC3FDA" w:rsidRPr="007B25AE">
        <w:rPr>
          <w:rFonts w:ascii="Baskerville" w:eastAsia="MS PMincho" w:hAnsi="Baskerville" w:cs="Arabic Typesetting"/>
        </w:rPr>
        <w:t xml:space="preserve">difficult </w:t>
      </w:r>
      <w:commentRangeStart w:id="1"/>
      <w:r w:rsidR="00D5485D" w:rsidRPr="007B25AE">
        <w:rPr>
          <w:rFonts w:ascii="Baskerville" w:eastAsia="MS PMincho" w:hAnsi="Baskerville" w:cs="Arabic Typesetting"/>
        </w:rPr>
        <w:t xml:space="preserve">things </w:t>
      </w:r>
      <w:r w:rsidR="00AC3FDA" w:rsidRPr="007B25AE">
        <w:rPr>
          <w:rFonts w:ascii="Baskerville" w:eastAsia="MS PMincho" w:hAnsi="Baskerville" w:cs="Arabic Typesetting"/>
        </w:rPr>
        <w:t xml:space="preserve">to </w:t>
      </w:r>
      <w:r w:rsidR="001529B7" w:rsidRPr="007B25AE">
        <w:rPr>
          <w:rFonts w:ascii="Baskerville" w:eastAsia="MS PMincho" w:hAnsi="Baskerville" w:cs="Arabic Typesetting"/>
        </w:rPr>
        <w:t xml:space="preserve">pin down and </w:t>
      </w:r>
      <w:r w:rsidR="00AC3FDA" w:rsidRPr="007B25AE">
        <w:rPr>
          <w:rFonts w:ascii="Baskerville" w:eastAsia="MS PMincho" w:hAnsi="Baskerville" w:cs="Arabic Typesetting"/>
        </w:rPr>
        <w:t>expla</w:t>
      </w:r>
      <w:r w:rsidR="00844FC7" w:rsidRPr="007B25AE">
        <w:rPr>
          <w:rFonts w:ascii="Baskerville" w:eastAsia="MS PMincho" w:hAnsi="Baskerville" w:cs="Arabic Typesetting"/>
        </w:rPr>
        <w:t>i</w:t>
      </w:r>
      <w:r w:rsidR="00AC3FDA" w:rsidRPr="007B25AE">
        <w:rPr>
          <w:rFonts w:ascii="Baskerville" w:eastAsia="MS PMincho" w:hAnsi="Baskerville" w:cs="Arabic Typesetting"/>
        </w:rPr>
        <w:t xml:space="preserve">n because they are </w:t>
      </w:r>
      <w:r w:rsidR="00B623E3" w:rsidRPr="007B25AE">
        <w:rPr>
          <w:rFonts w:ascii="Baskerville" w:eastAsia="MS PMincho" w:hAnsi="Baskerville" w:cs="Arabic Typesetting"/>
        </w:rPr>
        <w:t>not concrete things</w:t>
      </w:r>
      <w:r w:rsidR="00AC3FDA" w:rsidRPr="007B25AE">
        <w:rPr>
          <w:rFonts w:ascii="Baskerville" w:eastAsia="MS PMincho" w:hAnsi="Baskerville" w:cs="Arabic Typesetting"/>
        </w:rPr>
        <w:t>,</w:t>
      </w:r>
      <w:r w:rsidR="00B623E3" w:rsidRPr="007B25AE">
        <w:rPr>
          <w:rFonts w:ascii="Baskerville" w:eastAsia="MS PMincho" w:hAnsi="Baskerville" w:cs="Arabic Typesetting"/>
        </w:rPr>
        <w:t xml:space="preserve"> they are abstractions</w:t>
      </w:r>
      <w:r w:rsidR="00CF713C" w:rsidRPr="007B25AE">
        <w:rPr>
          <w:rFonts w:ascii="Baskerville" w:eastAsia="MS PMincho" w:hAnsi="Baskerville" w:cs="Arabic Typesetting"/>
        </w:rPr>
        <w:t>.</w:t>
      </w:r>
      <w:r w:rsidR="00E10CBE" w:rsidRPr="007B25AE">
        <w:rPr>
          <w:rFonts w:ascii="Baskerville" w:eastAsia="MS PMincho" w:hAnsi="Baskerville" w:cs="Arabic Typesetting"/>
        </w:rPr>
        <w:t xml:space="preserve"> </w:t>
      </w:r>
      <w:r w:rsidR="009B2B6B" w:rsidRPr="007B25AE">
        <w:rPr>
          <w:rFonts w:ascii="Baskerville" w:eastAsia="MS PMincho" w:hAnsi="Baskerville" w:cs="Arabic Typesetting"/>
        </w:rPr>
        <w:t>A</w:t>
      </w:r>
      <w:r w:rsidR="001529B7" w:rsidRPr="007B25AE">
        <w:rPr>
          <w:rFonts w:ascii="Baskerville" w:eastAsia="MS PMincho" w:hAnsi="Baskerville" w:cs="Arabic Typesetting"/>
        </w:rPr>
        <w:t>nd a</w:t>
      </w:r>
      <w:r w:rsidR="009B2B6B" w:rsidRPr="007B25AE">
        <w:rPr>
          <w:rFonts w:ascii="Baskerville" w:eastAsia="MS PMincho" w:hAnsi="Baskerville" w:cs="Arabic Typesetting"/>
        </w:rPr>
        <w:t xml:space="preserve">s such, it </w:t>
      </w:r>
      <w:r w:rsidR="00D5485D" w:rsidRPr="007B25AE">
        <w:rPr>
          <w:rFonts w:ascii="Baskerville" w:eastAsia="MS PMincho" w:hAnsi="Baskerville" w:cs="Arabic Typesetting"/>
        </w:rPr>
        <w:t>would be</w:t>
      </w:r>
      <w:r w:rsidR="009B2B6B" w:rsidRPr="007B25AE">
        <w:rPr>
          <w:rFonts w:ascii="Baskerville" w:eastAsia="MS PMincho" w:hAnsi="Baskerville" w:cs="Arabic Typesetting"/>
        </w:rPr>
        <w:t xml:space="preserve"> helpful</w:t>
      </w:r>
      <w:r w:rsidR="00DA79C0" w:rsidRPr="007B25AE">
        <w:rPr>
          <w:rFonts w:ascii="Baskerville" w:eastAsia="MS PMincho" w:hAnsi="Baskerville" w:cs="Arabic Typesetting"/>
        </w:rPr>
        <w:t xml:space="preserve"> </w:t>
      </w:r>
      <w:r w:rsidR="001563C0" w:rsidRPr="007B25AE">
        <w:rPr>
          <w:rFonts w:ascii="Baskerville" w:eastAsia="MS PMincho" w:hAnsi="Baskerville" w:cs="Arabic Typesetting"/>
        </w:rPr>
        <w:t xml:space="preserve">if </w:t>
      </w:r>
      <w:r w:rsidR="00D5485D" w:rsidRPr="007B25AE">
        <w:rPr>
          <w:rFonts w:ascii="Baskerville" w:eastAsia="MS PMincho" w:hAnsi="Baskerville" w:cs="Arabic Typesetting"/>
        </w:rPr>
        <w:t xml:space="preserve">one </w:t>
      </w:r>
      <w:r w:rsidR="00695C50" w:rsidRPr="007B25AE">
        <w:rPr>
          <w:rFonts w:ascii="Baskerville" w:eastAsia="MS PMincho" w:hAnsi="Baskerville" w:cs="Arabic Typesetting"/>
        </w:rPr>
        <w:t>could take the effort</w:t>
      </w:r>
      <w:r w:rsidR="00D5485D" w:rsidRPr="007B25AE">
        <w:rPr>
          <w:rFonts w:ascii="Baskerville" w:eastAsia="MS PMincho" w:hAnsi="Baskerville" w:cs="Arabic Typesetting"/>
        </w:rPr>
        <w:t xml:space="preserve"> to engage </w:t>
      </w:r>
      <w:r w:rsidR="001529B7" w:rsidRPr="007B25AE">
        <w:rPr>
          <w:rFonts w:ascii="Baskerville" w:eastAsia="MS PMincho" w:hAnsi="Baskerville" w:cs="Arabic Typesetting"/>
        </w:rPr>
        <w:t xml:space="preserve">in </w:t>
      </w:r>
      <w:r w:rsidR="00D5485D" w:rsidRPr="007B25AE">
        <w:rPr>
          <w:rFonts w:ascii="Baskerville" w:eastAsia="MS PMincho" w:hAnsi="Baskerville" w:cs="Arabic Typesetting"/>
        </w:rPr>
        <w:t xml:space="preserve">an </w:t>
      </w:r>
      <w:r w:rsidR="00DA79C0" w:rsidRPr="007B25AE">
        <w:rPr>
          <w:rFonts w:ascii="Baskerville" w:eastAsia="MS PMincho" w:hAnsi="Baskerville" w:cs="Arabic Typesetting"/>
        </w:rPr>
        <w:t>explan</w:t>
      </w:r>
      <w:r w:rsidR="00D5485D" w:rsidRPr="007B25AE">
        <w:rPr>
          <w:rFonts w:ascii="Baskerville" w:eastAsia="MS PMincho" w:hAnsi="Baskerville" w:cs="Arabic Typesetting"/>
        </w:rPr>
        <w:t>ation</w:t>
      </w:r>
      <w:r w:rsidR="00592512" w:rsidRPr="007B25AE">
        <w:rPr>
          <w:rFonts w:ascii="Baskerville" w:eastAsia="MS PMincho" w:hAnsi="Baskerville" w:cs="Arabic Typesetting"/>
        </w:rPr>
        <w:t xml:space="preserve"> </w:t>
      </w:r>
      <w:r w:rsidR="00D5485D" w:rsidRPr="007B25AE">
        <w:rPr>
          <w:rFonts w:ascii="Baskerville" w:eastAsia="MS PMincho" w:hAnsi="Baskerville" w:cs="Arabic Typesetting"/>
        </w:rPr>
        <w:t>that addresses</w:t>
      </w:r>
      <w:r w:rsidR="00592512" w:rsidRPr="007B25AE">
        <w:rPr>
          <w:rFonts w:ascii="Baskerville" w:eastAsia="MS PMincho" w:hAnsi="Baskerville" w:cs="Arabic Typesetting"/>
        </w:rPr>
        <w:t xml:space="preserve"> the extent to which </w:t>
      </w:r>
      <w:r w:rsidR="00D5485D" w:rsidRPr="007B25AE">
        <w:rPr>
          <w:rFonts w:ascii="Baskerville" w:eastAsia="MS PMincho" w:hAnsi="Baskerville" w:cs="Arabic Typesetting"/>
        </w:rPr>
        <w:t>the abstract</w:t>
      </w:r>
      <w:r w:rsidR="001529B7" w:rsidRPr="007B25AE">
        <w:rPr>
          <w:rFonts w:ascii="Baskerville" w:eastAsia="MS PMincho" w:hAnsi="Baskerville" w:cs="Arabic Typesetting"/>
        </w:rPr>
        <w:t>ion</w:t>
      </w:r>
      <w:r w:rsidR="00D5485D" w:rsidRPr="007B25AE">
        <w:rPr>
          <w:rFonts w:ascii="Baskerville" w:eastAsia="MS PMincho" w:hAnsi="Baskerville" w:cs="Arabic Typesetting"/>
        </w:rPr>
        <w:t xml:space="preserve"> to be </w:t>
      </w:r>
      <w:r w:rsidR="001529B7" w:rsidRPr="007B25AE">
        <w:rPr>
          <w:rFonts w:ascii="Baskerville" w:eastAsia="MS PMincho" w:hAnsi="Baskerville" w:cs="Arabic Typesetting"/>
        </w:rPr>
        <w:t xml:space="preserve">explained </w:t>
      </w:r>
      <w:r w:rsidR="00A327FC" w:rsidRPr="007B25AE">
        <w:rPr>
          <w:rFonts w:ascii="Baskerville" w:eastAsia="MS PMincho" w:hAnsi="Baskerville" w:cs="Arabic Typesetting"/>
        </w:rPr>
        <w:t>is</w:t>
      </w:r>
      <w:r w:rsidR="00592512" w:rsidRPr="007B25AE">
        <w:rPr>
          <w:rFonts w:ascii="Baskerville" w:eastAsia="MS PMincho" w:hAnsi="Baskerville" w:cs="Arabic Typesetting"/>
        </w:rPr>
        <w:t xml:space="preserve"> </w:t>
      </w:r>
      <w:r w:rsidR="001529B7" w:rsidRPr="007B25AE">
        <w:rPr>
          <w:rFonts w:ascii="Baskerville" w:eastAsia="MS PMincho" w:hAnsi="Baskerville" w:cs="Arabic Typesetting"/>
        </w:rPr>
        <w:t xml:space="preserve">shown to be </w:t>
      </w:r>
      <w:r w:rsidR="00592512" w:rsidRPr="007B25AE">
        <w:rPr>
          <w:rFonts w:ascii="Baskerville" w:eastAsia="MS PMincho" w:hAnsi="Baskerville" w:cs="Arabic Typesetting"/>
        </w:rPr>
        <w:t>congruent</w:t>
      </w:r>
      <w:r w:rsidR="00DA79C0" w:rsidRPr="007B25AE">
        <w:rPr>
          <w:rFonts w:ascii="Baskerville" w:eastAsia="MS PMincho" w:hAnsi="Baskerville" w:cs="Arabic Typesetting"/>
        </w:rPr>
        <w:t xml:space="preserve"> to some </w:t>
      </w:r>
      <w:r w:rsidR="00592512" w:rsidRPr="007B25AE">
        <w:rPr>
          <w:rFonts w:ascii="Baskerville" w:eastAsia="MS PMincho" w:hAnsi="Baskerville" w:cs="Arabic Typesetting"/>
        </w:rPr>
        <w:t xml:space="preserve">other </w:t>
      </w:r>
      <w:r w:rsidR="00DA79C0" w:rsidRPr="007B25AE">
        <w:rPr>
          <w:rFonts w:ascii="Baskerville" w:eastAsia="MS PMincho" w:hAnsi="Baskerville" w:cs="Arabic Typesetting"/>
        </w:rPr>
        <w:t>well know thing</w:t>
      </w:r>
      <w:r w:rsidR="003E430F" w:rsidRPr="007B25AE">
        <w:rPr>
          <w:rFonts w:ascii="Baskerville" w:eastAsia="MS PMincho" w:hAnsi="Baskerville" w:cs="Arabic Typesetting"/>
        </w:rPr>
        <w:t>,</w:t>
      </w:r>
      <w:r w:rsidR="00DA79C0" w:rsidRPr="007B25AE">
        <w:rPr>
          <w:rFonts w:ascii="Baskerville" w:eastAsia="MS PMincho" w:hAnsi="Baskerville" w:cs="Arabic Typesetting"/>
        </w:rPr>
        <w:t xml:space="preserve"> </w:t>
      </w:r>
      <w:r w:rsidR="00A327FC" w:rsidRPr="007B25AE">
        <w:rPr>
          <w:rFonts w:ascii="Baskerville" w:eastAsia="MS PMincho" w:hAnsi="Baskerville" w:cs="Arabic Typesetting"/>
        </w:rPr>
        <w:t xml:space="preserve">while </w:t>
      </w:r>
      <w:r w:rsidR="00221884" w:rsidRPr="007B25AE">
        <w:rPr>
          <w:rFonts w:ascii="Baskerville" w:eastAsia="MS PMincho" w:hAnsi="Baskerville" w:cs="Arabic Typesetting"/>
        </w:rPr>
        <w:t xml:space="preserve">also </w:t>
      </w:r>
      <w:r w:rsidR="00A327FC" w:rsidRPr="007B25AE">
        <w:rPr>
          <w:rFonts w:ascii="Baskerville" w:eastAsia="MS PMincho" w:hAnsi="Baskerville" w:cs="Arabic Typesetting"/>
        </w:rPr>
        <w:t>being</w:t>
      </w:r>
      <w:r w:rsidR="00DA79C0" w:rsidRPr="007B25AE">
        <w:rPr>
          <w:rFonts w:ascii="Baskerville" w:eastAsia="MS PMincho" w:hAnsi="Baskerville" w:cs="Arabic Typesetting"/>
        </w:rPr>
        <w:t xml:space="preserve"> </w:t>
      </w:r>
      <w:r w:rsidR="001529B7" w:rsidRPr="007B25AE">
        <w:rPr>
          <w:rFonts w:ascii="Baskerville" w:eastAsia="MS PMincho" w:hAnsi="Baskerville" w:cs="Arabic Typesetting"/>
        </w:rPr>
        <w:t xml:space="preserve">shown to be </w:t>
      </w:r>
      <w:r w:rsidR="00DA79C0" w:rsidRPr="007B25AE">
        <w:rPr>
          <w:rFonts w:ascii="Baskerville" w:eastAsia="MS PMincho" w:hAnsi="Baskerville" w:cs="Arabic Typesetting"/>
        </w:rPr>
        <w:t>incongru</w:t>
      </w:r>
      <w:r w:rsidR="001529B7" w:rsidRPr="007B25AE">
        <w:rPr>
          <w:rFonts w:ascii="Baskerville" w:eastAsia="MS PMincho" w:hAnsi="Baskerville" w:cs="Arabic Typesetting"/>
        </w:rPr>
        <w:t>ous</w:t>
      </w:r>
      <w:r w:rsidR="00DA79C0" w:rsidRPr="007B25AE">
        <w:rPr>
          <w:rFonts w:ascii="Baskerville" w:eastAsia="MS PMincho" w:hAnsi="Baskerville" w:cs="Arabic Typesetting"/>
        </w:rPr>
        <w:t xml:space="preserve"> to </w:t>
      </w:r>
      <w:r w:rsidR="00A327FC" w:rsidRPr="007B25AE">
        <w:rPr>
          <w:rFonts w:ascii="Baskerville" w:eastAsia="MS PMincho" w:hAnsi="Baskerville" w:cs="Arabic Typesetting"/>
        </w:rPr>
        <w:t>the same</w:t>
      </w:r>
      <w:r w:rsidR="00221884" w:rsidRPr="007B25AE">
        <w:rPr>
          <w:rFonts w:ascii="Baskerville" w:eastAsia="MS PMincho" w:hAnsi="Baskerville" w:cs="Arabic Typesetting"/>
        </w:rPr>
        <w:t xml:space="preserve"> thing</w:t>
      </w:r>
      <w:r w:rsidR="00A327FC" w:rsidRPr="007B25AE">
        <w:rPr>
          <w:rFonts w:ascii="Baskerville" w:eastAsia="MS PMincho" w:hAnsi="Baskerville" w:cs="Arabic Typesetting"/>
        </w:rPr>
        <w:t>, or some other</w:t>
      </w:r>
      <w:r w:rsidR="00592512" w:rsidRPr="007B25AE">
        <w:rPr>
          <w:rFonts w:ascii="Baskerville" w:eastAsia="MS PMincho" w:hAnsi="Baskerville" w:cs="Arabic Typesetting"/>
        </w:rPr>
        <w:t xml:space="preserve"> </w:t>
      </w:r>
      <w:r w:rsidR="00DA79C0" w:rsidRPr="007B25AE">
        <w:rPr>
          <w:rFonts w:ascii="Baskerville" w:eastAsia="MS PMincho" w:hAnsi="Baskerville" w:cs="Arabic Typesetting"/>
        </w:rPr>
        <w:t xml:space="preserve">thing. </w:t>
      </w:r>
      <w:r w:rsidR="00014878" w:rsidRPr="007B25AE">
        <w:rPr>
          <w:rFonts w:ascii="Baskerville" w:eastAsia="MS PMincho" w:hAnsi="Baskerville" w:cs="Arabic Typesetting"/>
        </w:rPr>
        <w:t xml:space="preserve">So, </w:t>
      </w:r>
      <w:r w:rsidR="008D1900" w:rsidRPr="007B25AE">
        <w:rPr>
          <w:rFonts w:ascii="Baskerville" w:eastAsia="MS PMincho" w:hAnsi="Baskerville" w:cs="Arabic Typesetting"/>
        </w:rPr>
        <w:t>the</w:t>
      </w:r>
      <w:r w:rsidR="00014878" w:rsidRPr="007B25AE">
        <w:rPr>
          <w:rFonts w:ascii="Baskerville" w:eastAsia="MS PMincho" w:hAnsi="Baskerville" w:cs="Arabic Typesetting"/>
        </w:rPr>
        <w:t xml:space="preserve"> question</w:t>
      </w:r>
      <w:r w:rsidR="008D1900" w:rsidRPr="007B25AE">
        <w:rPr>
          <w:rFonts w:ascii="Baskerville" w:eastAsia="MS PMincho" w:hAnsi="Baskerville" w:cs="Arabic Typesetting"/>
        </w:rPr>
        <w:t xml:space="preserve"> is asked</w:t>
      </w:r>
      <w:r w:rsidR="003E430F" w:rsidRPr="007B25AE">
        <w:rPr>
          <w:rFonts w:ascii="Baskerville" w:eastAsia="MS PMincho" w:hAnsi="Baskerville" w:cs="Arabic Typesetting"/>
        </w:rPr>
        <w:t xml:space="preserve">, </w:t>
      </w:r>
      <w:r w:rsidR="00592512" w:rsidRPr="007B25AE">
        <w:rPr>
          <w:rFonts w:ascii="Baskerville" w:eastAsia="MS PMincho" w:hAnsi="Baskerville" w:cs="Arabic Typesetting"/>
        </w:rPr>
        <w:t>what is a “</w:t>
      </w:r>
      <w:r w:rsidR="0047546F" w:rsidRPr="007B25AE">
        <w:rPr>
          <w:rFonts w:ascii="Baskerville" w:eastAsia="MS PMincho" w:hAnsi="Baskerville" w:cs="Arabic Typesetting"/>
        </w:rPr>
        <w:t>quasi-experimental</w:t>
      </w:r>
      <w:r w:rsidR="00592512" w:rsidRPr="007B25AE">
        <w:rPr>
          <w:rFonts w:ascii="Baskerville" w:eastAsia="MS PMincho" w:hAnsi="Baskerville" w:cs="Arabic Typesetting"/>
        </w:rPr>
        <w:t>”</w:t>
      </w:r>
      <w:r w:rsidR="0047546F" w:rsidRPr="007B25AE">
        <w:rPr>
          <w:rFonts w:ascii="Baskerville" w:eastAsia="MS PMincho" w:hAnsi="Baskerville" w:cs="Arabic Typesetting"/>
        </w:rPr>
        <w:t xml:space="preserve"> research design</w:t>
      </w:r>
      <w:r w:rsidR="008D1900" w:rsidRPr="007B25AE">
        <w:rPr>
          <w:rFonts w:ascii="Baskerville" w:eastAsia="MS PMincho" w:hAnsi="Baskerville" w:cs="Arabic Typesetting"/>
        </w:rPr>
        <w:t>?</w:t>
      </w:r>
      <w:r w:rsidR="00014878" w:rsidRPr="007B25AE">
        <w:rPr>
          <w:rFonts w:ascii="Baskerville" w:eastAsia="MS PMincho" w:hAnsi="Baskerville" w:cs="Arabic Typesetting"/>
        </w:rPr>
        <w:t xml:space="preserve"> </w:t>
      </w:r>
      <w:r w:rsidR="008D1900" w:rsidRPr="007B25AE">
        <w:rPr>
          <w:rFonts w:ascii="Baskerville" w:eastAsia="MS PMincho" w:hAnsi="Baskerville" w:cs="Arabic Typesetting"/>
        </w:rPr>
        <w:t>What comes first to mind is that it is</w:t>
      </w:r>
      <w:r w:rsidR="001563C0" w:rsidRPr="007B25AE">
        <w:rPr>
          <w:rFonts w:ascii="Baskerville" w:eastAsia="MS PMincho" w:hAnsi="Baskerville" w:cs="Arabic Typesetting"/>
        </w:rPr>
        <w:t>,</w:t>
      </w:r>
      <w:r w:rsidR="008D1900" w:rsidRPr="007B25AE">
        <w:rPr>
          <w:rFonts w:ascii="Baskerville" w:eastAsia="MS PMincho" w:hAnsi="Baskerville" w:cs="Arabic Typesetting"/>
        </w:rPr>
        <w:t xml:space="preserve"> in </w:t>
      </w:r>
      <w:proofErr w:type="gramStart"/>
      <w:r w:rsidR="008D1900" w:rsidRPr="007B25AE">
        <w:rPr>
          <w:rFonts w:ascii="Baskerville" w:eastAsia="MS PMincho" w:hAnsi="Baskerville" w:cs="Arabic Typesetting"/>
        </w:rPr>
        <w:t>a number of</w:t>
      </w:r>
      <w:proofErr w:type="gramEnd"/>
      <w:r w:rsidR="008D1900" w:rsidRPr="007B25AE">
        <w:rPr>
          <w:rFonts w:ascii="Baskerville" w:eastAsia="MS PMincho" w:hAnsi="Baskerville" w:cs="Arabic Typesetting"/>
        </w:rPr>
        <w:t xml:space="preserve"> ways</w:t>
      </w:r>
      <w:r w:rsidR="001563C0" w:rsidRPr="007B25AE">
        <w:rPr>
          <w:rFonts w:ascii="Baskerville" w:eastAsia="MS PMincho" w:hAnsi="Baskerville" w:cs="Arabic Typesetting"/>
        </w:rPr>
        <w:t>,</w:t>
      </w:r>
      <w:r w:rsidR="008D1900" w:rsidRPr="007B25AE">
        <w:rPr>
          <w:rFonts w:ascii="Baskerville" w:eastAsia="MS PMincho" w:hAnsi="Baskerville" w:cs="Arabic Typesetting"/>
        </w:rPr>
        <w:t xml:space="preserve"> that </w:t>
      </w:r>
      <w:r w:rsidR="001529B7" w:rsidRPr="007B25AE">
        <w:rPr>
          <w:rFonts w:ascii="Baskerville" w:eastAsia="MS PMincho" w:hAnsi="Baskerville" w:cs="Arabic Typesetting"/>
        </w:rPr>
        <w:t xml:space="preserve">same </w:t>
      </w:r>
      <w:r w:rsidR="00A327FC" w:rsidRPr="007B25AE">
        <w:rPr>
          <w:rFonts w:ascii="Baskerville" w:eastAsia="MS PMincho" w:hAnsi="Baskerville" w:cs="Arabic Typesetting"/>
        </w:rPr>
        <w:t xml:space="preserve">very </w:t>
      </w:r>
      <w:r w:rsidR="008D1900" w:rsidRPr="007B25AE">
        <w:rPr>
          <w:rFonts w:ascii="Baskerville" w:eastAsia="MS PMincho" w:hAnsi="Baskerville" w:cs="Arabic Typesetting"/>
        </w:rPr>
        <w:t xml:space="preserve">type of research design </w:t>
      </w:r>
      <w:r w:rsidR="00A327FC" w:rsidRPr="007B25AE">
        <w:rPr>
          <w:rFonts w:ascii="Baskerville" w:eastAsia="MS PMincho" w:hAnsi="Baskerville" w:cs="Arabic Typesetting"/>
        </w:rPr>
        <w:t>which</w:t>
      </w:r>
      <w:r w:rsidR="008D1900" w:rsidRPr="007B25AE">
        <w:rPr>
          <w:rFonts w:ascii="Baskerville" w:eastAsia="MS PMincho" w:hAnsi="Baskerville" w:cs="Arabic Typesetting"/>
        </w:rPr>
        <w:t xml:space="preserve"> is</w:t>
      </w:r>
      <w:r w:rsidR="0086079D" w:rsidRPr="007B25AE">
        <w:rPr>
          <w:rFonts w:ascii="Baskerville" w:eastAsia="MS PMincho" w:hAnsi="Baskerville" w:cs="Arabic Typesetting"/>
        </w:rPr>
        <w:t>,</w:t>
      </w:r>
      <w:r w:rsidR="008D1900" w:rsidRPr="007B25AE">
        <w:rPr>
          <w:rFonts w:ascii="Baskerville" w:eastAsia="MS PMincho" w:hAnsi="Baskerville" w:cs="Arabic Typesetting"/>
        </w:rPr>
        <w:t xml:space="preserve"> at once, not </w:t>
      </w:r>
      <w:r w:rsidR="00A327FC" w:rsidRPr="007B25AE">
        <w:rPr>
          <w:rFonts w:ascii="Baskerville" w:eastAsia="MS PMincho" w:hAnsi="Baskerville" w:cs="Arabic Typesetting"/>
        </w:rPr>
        <w:t>completely</w:t>
      </w:r>
      <w:r w:rsidR="008D1900" w:rsidRPr="007B25AE">
        <w:rPr>
          <w:rFonts w:ascii="Baskerville" w:eastAsia="MS PMincho" w:hAnsi="Baskerville" w:cs="Arabic Typesetting"/>
        </w:rPr>
        <w:t xml:space="preserve"> what </w:t>
      </w:r>
      <w:r w:rsidR="00A327FC" w:rsidRPr="007B25AE">
        <w:rPr>
          <w:rFonts w:ascii="Baskerville" w:eastAsia="MS PMincho" w:hAnsi="Baskerville" w:cs="Arabic Typesetting"/>
        </w:rPr>
        <w:t xml:space="preserve">one would refer </w:t>
      </w:r>
      <w:r w:rsidR="001529B7" w:rsidRPr="007B25AE">
        <w:rPr>
          <w:rFonts w:ascii="Baskerville" w:eastAsia="MS PMincho" w:hAnsi="Baskerville" w:cs="Arabic Typesetting"/>
        </w:rPr>
        <w:t xml:space="preserve">in textbook fashion </w:t>
      </w:r>
      <w:commentRangeEnd w:id="1"/>
      <w:r w:rsidR="007C73ED">
        <w:rPr>
          <w:rStyle w:val="CommentReference"/>
        </w:rPr>
        <w:commentReference w:id="1"/>
      </w:r>
      <w:r w:rsidR="00A327FC" w:rsidRPr="007B25AE">
        <w:rPr>
          <w:rFonts w:ascii="Baskerville" w:eastAsia="MS PMincho" w:hAnsi="Baskerville" w:cs="Arabic Typesetting"/>
        </w:rPr>
        <w:t>as</w:t>
      </w:r>
      <w:r w:rsidR="004F4491" w:rsidRPr="007B25AE">
        <w:rPr>
          <w:rFonts w:ascii="Baskerville" w:eastAsia="MS PMincho" w:hAnsi="Baskerville" w:cs="Arabic Typesetting"/>
        </w:rPr>
        <w:t xml:space="preserve"> </w:t>
      </w:r>
      <w:r w:rsidR="001529B7" w:rsidRPr="007B25AE">
        <w:rPr>
          <w:rFonts w:ascii="Baskerville" w:eastAsia="MS PMincho" w:hAnsi="Baskerville" w:cs="Arabic Typesetting"/>
        </w:rPr>
        <w:t>“</w:t>
      </w:r>
      <w:r w:rsidR="0047546F" w:rsidRPr="007B25AE">
        <w:rPr>
          <w:rFonts w:ascii="Baskerville" w:eastAsia="MS PMincho" w:hAnsi="Baskerville" w:cs="Arabic Typesetting"/>
        </w:rPr>
        <w:t>experimental</w:t>
      </w:r>
      <w:r w:rsidR="008D1900" w:rsidRPr="007B25AE">
        <w:rPr>
          <w:rFonts w:ascii="Baskerville" w:eastAsia="MS PMincho" w:hAnsi="Baskerville" w:cs="Arabic Typesetting"/>
        </w:rPr>
        <w:t>,</w:t>
      </w:r>
      <w:r w:rsidR="001529B7" w:rsidRPr="007B25AE">
        <w:rPr>
          <w:rFonts w:ascii="Baskerville" w:eastAsia="MS PMincho" w:hAnsi="Baskerville" w:cs="Arabic Typesetting"/>
        </w:rPr>
        <w:t>”</w:t>
      </w:r>
      <w:r w:rsidR="008D1900" w:rsidRPr="007B25AE">
        <w:rPr>
          <w:rFonts w:ascii="Baskerville" w:eastAsia="MS PMincho" w:hAnsi="Baskerville" w:cs="Arabic Typesetting"/>
        </w:rPr>
        <w:t xml:space="preserve"> while being</w:t>
      </w:r>
      <w:r w:rsidR="00F0332B" w:rsidRPr="007B25AE">
        <w:rPr>
          <w:rFonts w:ascii="Baskerville" w:eastAsia="MS PMincho" w:hAnsi="Baskerville" w:cs="Arabic Typesetting"/>
        </w:rPr>
        <w:t>,</w:t>
      </w:r>
      <w:r w:rsidR="008D1900" w:rsidRPr="007B25AE">
        <w:rPr>
          <w:rFonts w:ascii="Baskerville" w:eastAsia="MS PMincho" w:hAnsi="Baskerville" w:cs="Arabic Typesetting"/>
        </w:rPr>
        <w:t xml:space="preserve"> in </w:t>
      </w:r>
      <w:r w:rsidR="00695C50" w:rsidRPr="007B25AE">
        <w:rPr>
          <w:rFonts w:ascii="Baskerville" w:eastAsia="MS PMincho" w:hAnsi="Baskerville" w:cs="Arabic Typesetting"/>
        </w:rPr>
        <w:t>other</w:t>
      </w:r>
      <w:r w:rsidR="001563C0" w:rsidRPr="007B25AE">
        <w:rPr>
          <w:rFonts w:ascii="Baskerville" w:eastAsia="MS PMincho" w:hAnsi="Baskerville" w:cs="Arabic Typesetting"/>
        </w:rPr>
        <w:t xml:space="preserve"> </w:t>
      </w:r>
      <w:r w:rsidR="008D1900" w:rsidRPr="007B25AE">
        <w:rPr>
          <w:rFonts w:ascii="Baskerville" w:eastAsia="MS PMincho" w:hAnsi="Baskerville" w:cs="Arabic Typesetting"/>
        </w:rPr>
        <w:t>important way</w:t>
      </w:r>
      <w:r w:rsidR="001529B7" w:rsidRPr="007B25AE">
        <w:rPr>
          <w:rFonts w:ascii="Baskerville" w:eastAsia="MS PMincho" w:hAnsi="Baskerville" w:cs="Arabic Typesetting"/>
        </w:rPr>
        <w:t>s</w:t>
      </w:r>
      <w:r w:rsidR="008D1900" w:rsidRPr="007B25AE">
        <w:rPr>
          <w:rFonts w:ascii="Baskerville" w:eastAsia="MS PMincho" w:hAnsi="Baskerville" w:cs="Arabic Typesetting"/>
        </w:rPr>
        <w:t>, precisely what an experimental design is</w:t>
      </w:r>
      <w:r w:rsidR="0047546F" w:rsidRPr="007B25AE">
        <w:rPr>
          <w:rFonts w:ascii="Baskerville" w:eastAsia="MS PMincho" w:hAnsi="Baskerville" w:cs="Arabic Typesetting"/>
        </w:rPr>
        <w:t xml:space="preserve">. </w:t>
      </w:r>
    </w:p>
    <w:p w14:paraId="6935F753" w14:textId="3E1870CD" w:rsidR="0086079D" w:rsidRPr="007B25AE" w:rsidRDefault="00A327FC" w:rsidP="0086079D">
      <w:pPr>
        <w:spacing w:line="360" w:lineRule="auto"/>
        <w:ind w:firstLine="720"/>
        <w:rPr>
          <w:rFonts w:ascii="Baskerville" w:eastAsia="MS PMincho" w:hAnsi="Baskerville" w:cs="Arabic Typesetting"/>
        </w:rPr>
      </w:pPr>
      <w:r w:rsidRPr="007B25AE">
        <w:rPr>
          <w:rFonts w:ascii="Baskerville" w:eastAsia="MS PMincho" w:hAnsi="Baskerville" w:cs="Arabic Typesetting"/>
        </w:rPr>
        <w:t>In the case of a</w:t>
      </w:r>
      <w:r w:rsidR="004F4491" w:rsidRPr="007B25AE">
        <w:rPr>
          <w:rFonts w:ascii="Baskerville" w:eastAsia="MS PMincho" w:hAnsi="Baskerville" w:cs="Arabic Typesetting"/>
        </w:rPr>
        <w:t xml:space="preserve"> </w:t>
      </w:r>
      <w:r w:rsidR="00221884" w:rsidRPr="007B25AE">
        <w:rPr>
          <w:rFonts w:ascii="Baskerville" w:eastAsia="MS PMincho" w:hAnsi="Baskerville" w:cs="Arabic Typesetting"/>
        </w:rPr>
        <w:t>“</w:t>
      </w:r>
      <w:r w:rsidR="004F4491" w:rsidRPr="007B25AE">
        <w:rPr>
          <w:rFonts w:ascii="Baskerville" w:eastAsia="MS PMincho" w:hAnsi="Baskerville" w:cs="Arabic Typesetting"/>
        </w:rPr>
        <w:t>correlational</w:t>
      </w:r>
      <w:r w:rsidR="00221884" w:rsidRPr="007B25AE">
        <w:rPr>
          <w:rFonts w:ascii="Baskerville" w:eastAsia="MS PMincho" w:hAnsi="Baskerville" w:cs="Arabic Typesetting"/>
        </w:rPr>
        <w:t>”</w:t>
      </w:r>
      <w:r w:rsidR="004F4491" w:rsidRPr="007B25AE">
        <w:rPr>
          <w:rFonts w:ascii="Baskerville" w:eastAsia="MS PMincho" w:hAnsi="Baskerville" w:cs="Arabic Typesetting"/>
        </w:rPr>
        <w:t xml:space="preserve"> research design</w:t>
      </w:r>
      <w:r w:rsidRPr="007B25AE">
        <w:rPr>
          <w:rFonts w:ascii="Baskerville" w:eastAsia="MS PMincho" w:hAnsi="Baskerville" w:cs="Arabic Typesetting"/>
        </w:rPr>
        <w:t xml:space="preserve">, we </w:t>
      </w:r>
      <w:r w:rsidR="0086079D" w:rsidRPr="007B25AE">
        <w:rPr>
          <w:rFonts w:ascii="Baskerville" w:eastAsia="MS PMincho" w:hAnsi="Baskerville" w:cs="Arabic Typesetting"/>
        </w:rPr>
        <w:t>might want to</w:t>
      </w:r>
      <w:r w:rsidR="00221884" w:rsidRPr="007B25AE">
        <w:rPr>
          <w:rFonts w:ascii="Baskerville" w:eastAsia="MS PMincho" w:hAnsi="Baskerville" w:cs="Arabic Typesetting"/>
        </w:rPr>
        <w:t xml:space="preserve"> apply the </w:t>
      </w:r>
      <w:r w:rsidR="00695C50" w:rsidRPr="007B25AE">
        <w:rPr>
          <w:rFonts w:ascii="Baskerville" w:eastAsia="MS PMincho" w:hAnsi="Baskerville" w:cs="Arabic Typesetting"/>
        </w:rPr>
        <w:t xml:space="preserve">good </w:t>
      </w:r>
      <w:r w:rsidR="00221884" w:rsidRPr="007B25AE">
        <w:rPr>
          <w:rFonts w:ascii="Baskerville" w:eastAsia="MS PMincho" w:hAnsi="Baskerville" w:cs="Arabic Typesetting"/>
        </w:rPr>
        <w:t>old reading</w:t>
      </w:r>
      <w:r w:rsidR="001563C0" w:rsidRPr="007B25AE">
        <w:rPr>
          <w:rFonts w:ascii="Baskerville" w:eastAsia="MS PMincho" w:hAnsi="Baskerville" w:cs="Arabic Typesetting"/>
        </w:rPr>
        <w:t>-</w:t>
      </w:r>
      <w:r w:rsidR="00221884" w:rsidRPr="007B25AE">
        <w:rPr>
          <w:rFonts w:ascii="Baskerville" w:eastAsia="MS PMincho" w:hAnsi="Baskerville" w:cs="Arabic Typesetting"/>
        </w:rPr>
        <w:t xml:space="preserve">teacher technique </w:t>
      </w:r>
      <w:r w:rsidR="00F0332B" w:rsidRPr="007B25AE">
        <w:rPr>
          <w:rFonts w:ascii="Baskerville" w:eastAsia="MS PMincho" w:hAnsi="Baskerville" w:cs="Arabic Typesetting"/>
        </w:rPr>
        <w:t xml:space="preserve">known as </w:t>
      </w:r>
      <w:r w:rsidR="00221884" w:rsidRPr="007B25AE">
        <w:rPr>
          <w:rFonts w:ascii="Baskerville" w:eastAsia="MS PMincho" w:hAnsi="Baskerville" w:cs="Arabic Typesetting"/>
        </w:rPr>
        <w:t xml:space="preserve">the </w:t>
      </w:r>
      <w:r w:rsidR="00F0332B" w:rsidRPr="007B25AE">
        <w:rPr>
          <w:rFonts w:ascii="Baskerville" w:eastAsia="MS PMincho" w:hAnsi="Baskerville" w:cs="Arabic Typesetting"/>
        </w:rPr>
        <w:t>“</w:t>
      </w:r>
      <w:r w:rsidR="00221884" w:rsidRPr="007B25AE">
        <w:rPr>
          <w:rFonts w:ascii="Baskerville" w:eastAsia="MS PMincho" w:hAnsi="Baskerville" w:cs="Arabic Typesetting"/>
        </w:rPr>
        <w:t>close format</w:t>
      </w:r>
      <w:r w:rsidR="00F0332B" w:rsidRPr="007B25AE">
        <w:rPr>
          <w:rFonts w:ascii="Baskerville" w:eastAsia="MS PMincho" w:hAnsi="Baskerville" w:cs="Arabic Typesetting"/>
        </w:rPr>
        <w:t>”</w:t>
      </w:r>
      <w:r w:rsidR="00221884" w:rsidRPr="007B25AE">
        <w:rPr>
          <w:rFonts w:ascii="Baskerville" w:eastAsia="MS PMincho" w:hAnsi="Baskerville" w:cs="Arabic Typesetting"/>
        </w:rPr>
        <w:t xml:space="preserve"> </w:t>
      </w:r>
      <w:r w:rsidR="001563C0" w:rsidRPr="007B25AE">
        <w:rPr>
          <w:rFonts w:ascii="Baskerville" w:eastAsia="MS PMincho" w:hAnsi="Baskerville" w:cs="Arabic Typesetting"/>
        </w:rPr>
        <w:t xml:space="preserve">by </w:t>
      </w:r>
      <w:r w:rsidRPr="007B25AE">
        <w:rPr>
          <w:rFonts w:ascii="Baskerville" w:eastAsia="MS PMincho" w:hAnsi="Baskerville" w:cs="Arabic Typesetting"/>
        </w:rPr>
        <w:t>remov</w:t>
      </w:r>
      <w:r w:rsidR="001563C0" w:rsidRPr="007B25AE">
        <w:rPr>
          <w:rFonts w:ascii="Baskerville" w:eastAsia="MS PMincho" w:hAnsi="Baskerville" w:cs="Arabic Typesetting"/>
        </w:rPr>
        <w:t>ing</w:t>
      </w:r>
      <w:r w:rsidRPr="007B25AE">
        <w:rPr>
          <w:rFonts w:ascii="Baskerville" w:eastAsia="MS PMincho" w:hAnsi="Baskerville" w:cs="Arabic Typesetting"/>
        </w:rPr>
        <w:t xml:space="preserve"> </w:t>
      </w:r>
      <w:r w:rsidR="00695C50" w:rsidRPr="007B25AE">
        <w:rPr>
          <w:rFonts w:ascii="Baskerville" w:eastAsia="MS PMincho" w:hAnsi="Baskerville" w:cs="Arabic Typesetting"/>
        </w:rPr>
        <w:t xml:space="preserve">from the word, </w:t>
      </w:r>
      <w:r w:rsidRPr="007B25AE">
        <w:rPr>
          <w:rFonts w:ascii="Baskerville" w:eastAsia="MS PMincho" w:hAnsi="Baskerville" w:cs="Arabic Typesetting"/>
        </w:rPr>
        <w:t xml:space="preserve">the </w:t>
      </w:r>
      <w:r w:rsidR="00221884" w:rsidRPr="007B25AE">
        <w:rPr>
          <w:rFonts w:ascii="Baskerville" w:eastAsia="MS PMincho" w:hAnsi="Baskerville" w:cs="Arabic Typesetting"/>
        </w:rPr>
        <w:t xml:space="preserve">first </w:t>
      </w:r>
      <w:r w:rsidRPr="007B25AE">
        <w:rPr>
          <w:rFonts w:ascii="Baskerville" w:eastAsia="MS PMincho" w:hAnsi="Baskerville" w:cs="Arabic Typesetting"/>
        </w:rPr>
        <w:t>syllable,</w:t>
      </w:r>
      <w:r w:rsidR="002F7B50" w:rsidRPr="007B25AE">
        <w:rPr>
          <w:rFonts w:ascii="Baskerville" w:eastAsia="MS PMincho" w:hAnsi="Baskerville" w:cs="Arabic Typesetting"/>
        </w:rPr>
        <w:t xml:space="preserve"> </w:t>
      </w:r>
      <w:r w:rsidRPr="007B25AE">
        <w:rPr>
          <w:rFonts w:ascii="Baskerville" w:eastAsia="MS PMincho" w:hAnsi="Baskerville" w:cs="Arabic Typesetting"/>
        </w:rPr>
        <w:t>“c</w:t>
      </w:r>
      <w:r w:rsidR="00221884" w:rsidRPr="007B25AE">
        <w:rPr>
          <w:rFonts w:ascii="Baskerville" w:eastAsia="MS PMincho" w:hAnsi="Baskerville" w:cs="Arabic Typesetting"/>
        </w:rPr>
        <w:t>or.” What is left</w:t>
      </w:r>
      <w:r w:rsidR="002F7B50" w:rsidRPr="007B25AE">
        <w:rPr>
          <w:rFonts w:ascii="Baskerville" w:eastAsia="MS PMincho" w:hAnsi="Baskerville" w:cs="Arabic Typesetting"/>
        </w:rPr>
        <w:t>, then,</w:t>
      </w:r>
      <w:r w:rsidR="00221884" w:rsidRPr="007B25AE">
        <w:rPr>
          <w:rFonts w:ascii="Baskerville" w:eastAsia="MS PMincho" w:hAnsi="Baskerville" w:cs="Arabic Typesetting"/>
        </w:rPr>
        <w:t xml:space="preserve"> is</w:t>
      </w:r>
      <w:r w:rsidR="0086079D" w:rsidRPr="007B25AE">
        <w:rPr>
          <w:rFonts w:ascii="Baskerville" w:eastAsia="MS PMincho" w:hAnsi="Baskerville" w:cs="Arabic Typesetting"/>
        </w:rPr>
        <w:t xml:space="preserve"> the word,</w:t>
      </w:r>
      <w:r w:rsidR="002F7B50" w:rsidRPr="007B25AE">
        <w:rPr>
          <w:rFonts w:ascii="Baskerville" w:eastAsia="MS PMincho" w:hAnsi="Baskerville" w:cs="Arabic Typesetting"/>
        </w:rPr>
        <w:t xml:space="preserve"> </w:t>
      </w:r>
      <w:r w:rsidR="00221884" w:rsidRPr="007B25AE">
        <w:rPr>
          <w:rFonts w:ascii="Baskerville" w:eastAsia="MS PMincho" w:hAnsi="Baskerville" w:cs="Arabic Typesetting"/>
        </w:rPr>
        <w:t>“relational</w:t>
      </w:r>
      <w:r w:rsidR="00F0332B" w:rsidRPr="007B25AE">
        <w:rPr>
          <w:rFonts w:ascii="Baskerville" w:eastAsia="MS PMincho" w:hAnsi="Baskerville" w:cs="Arabic Typesetting"/>
        </w:rPr>
        <w:t>.</w:t>
      </w:r>
      <w:r w:rsidR="00221884" w:rsidRPr="007B25AE">
        <w:rPr>
          <w:rFonts w:ascii="Baskerville" w:eastAsia="MS PMincho" w:hAnsi="Baskerville" w:cs="Arabic Typesetting"/>
        </w:rPr>
        <w:t xml:space="preserve">” </w:t>
      </w:r>
      <w:r w:rsidR="00F0332B" w:rsidRPr="007B25AE">
        <w:rPr>
          <w:rFonts w:ascii="Baskerville" w:eastAsia="MS PMincho" w:hAnsi="Baskerville" w:cs="Arabic Typesetting"/>
        </w:rPr>
        <w:t>Thus, i</w:t>
      </w:r>
      <w:r w:rsidR="001563C0" w:rsidRPr="007B25AE">
        <w:rPr>
          <w:rFonts w:ascii="Baskerville" w:eastAsia="MS PMincho" w:hAnsi="Baskerville" w:cs="Arabic Typesetting"/>
        </w:rPr>
        <w:t xml:space="preserve">f we say that </w:t>
      </w:r>
      <w:r w:rsidR="002F7B50" w:rsidRPr="007B25AE">
        <w:rPr>
          <w:rFonts w:ascii="Baskerville" w:eastAsia="MS PMincho" w:hAnsi="Baskerville" w:cs="Arabic Typesetting"/>
        </w:rPr>
        <w:t>a correlational research design, is one in which the goal is to determine the “causal relationship”</w:t>
      </w:r>
      <w:r w:rsidRPr="007B25AE">
        <w:rPr>
          <w:rFonts w:ascii="Baskerville" w:eastAsia="MS PMincho" w:hAnsi="Baskerville" w:cs="Arabic Typesetting"/>
        </w:rPr>
        <w:t xml:space="preserve"> </w:t>
      </w:r>
      <w:r w:rsidR="002F7B50" w:rsidRPr="007B25AE">
        <w:rPr>
          <w:rFonts w:ascii="Baskerville" w:eastAsia="MS PMincho" w:hAnsi="Baskerville" w:cs="Arabic Typesetting"/>
        </w:rPr>
        <w:t>between the two variables in a hypothesis</w:t>
      </w:r>
      <w:r w:rsidR="00F0332B" w:rsidRPr="007B25AE">
        <w:rPr>
          <w:rFonts w:ascii="Baskerville" w:eastAsia="MS PMincho" w:hAnsi="Baskerville" w:cs="Arabic Typesetting"/>
        </w:rPr>
        <w:t>,</w:t>
      </w:r>
      <w:r w:rsidR="002F7B50" w:rsidRPr="007B25AE">
        <w:rPr>
          <w:rFonts w:ascii="Baskerville" w:eastAsia="MS PMincho" w:hAnsi="Baskerville" w:cs="Arabic Typesetting"/>
        </w:rPr>
        <w:t xml:space="preserve"> that would be quite sufficient. </w:t>
      </w:r>
      <w:r w:rsidR="006C7255" w:rsidRPr="007B25AE">
        <w:rPr>
          <w:rFonts w:ascii="Baskerville" w:eastAsia="MS PMincho" w:hAnsi="Baskerville" w:cs="Arabic Typesetting"/>
        </w:rPr>
        <w:t xml:space="preserve"> Since</w:t>
      </w:r>
      <w:r w:rsidR="00F0332B" w:rsidRPr="007B25AE">
        <w:rPr>
          <w:rFonts w:ascii="Baskerville" w:eastAsia="MS PMincho" w:hAnsi="Baskerville" w:cs="Arabic Typesetting"/>
        </w:rPr>
        <w:t>,</w:t>
      </w:r>
      <w:r w:rsidR="006C7255" w:rsidRPr="007B25AE">
        <w:rPr>
          <w:rFonts w:ascii="Baskerville" w:eastAsia="MS PMincho" w:hAnsi="Baskerville" w:cs="Arabic Typesetting"/>
        </w:rPr>
        <w:t xml:space="preserve"> in such a research design</w:t>
      </w:r>
      <w:r w:rsidR="00F0332B" w:rsidRPr="007B25AE">
        <w:rPr>
          <w:rFonts w:ascii="Baskerville" w:eastAsia="MS PMincho" w:hAnsi="Baskerville" w:cs="Arabic Typesetting"/>
        </w:rPr>
        <w:t>,</w:t>
      </w:r>
      <w:r w:rsidR="006C7255" w:rsidRPr="007B25AE">
        <w:rPr>
          <w:rFonts w:ascii="Baskerville" w:eastAsia="MS PMincho" w:hAnsi="Baskerville" w:cs="Arabic Typesetting"/>
        </w:rPr>
        <w:t xml:space="preserve"> we are relying primarily on </w:t>
      </w:r>
      <w:r w:rsidR="00695C50" w:rsidRPr="007B25AE">
        <w:rPr>
          <w:rFonts w:ascii="Baskerville" w:eastAsia="MS PMincho" w:hAnsi="Baskerville" w:cs="Arabic Typesetting"/>
        </w:rPr>
        <w:t>the</w:t>
      </w:r>
      <w:r w:rsidR="006C7255" w:rsidRPr="007B25AE">
        <w:rPr>
          <w:rFonts w:ascii="Baskerville" w:eastAsia="MS PMincho" w:hAnsi="Baskerville" w:cs="Arabic Typesetting"/>
        </w:rPr>
        <w:t xml:space="preserve"> measurable effect</w:t>
      </w:r>
      <w:r w:rsidR="00864A74" w:rsidRPr="007B25AE">
        <w:rPr>
          <w:rFonts w:ascii="Baskerville" w:eastAsia="MS PMincho" w:hAnsi="Baskerville" w:cs="Arabic Typesetting"/>
        </w:rPr>
        <w:t xml:space="preserve"> </w:t>
      </w:r>
      <w:r w:rsidR="00D32104" w:rsidRPr="007B25AE">
        <w:rPr>
          <w:rFonts w:ascii="Baskerville" w:eastAsia="MS PMincho" w:hAnsi="Baskerville" w:cs="Arabic Typesetting"/>
        </w:rPr>
        <w:t xml:space="preserve">that </w:t>
      </w:r>
      <w:r w:rsidR="0086079D" w:rsidRPr="007B25AE">
        <w:rPr>
          <w:rFonts w:ascii="Baskerville" w:eastAsia="MS PMincho" w:hAnsi="Baskerville" w:cs="Arabic Typesetting"/>
        </w:rPr>
        <w:t>the behavior of one variable has</w:t>
      </w:r>
      <w:r w:rsidR="00864A74" w:rsidRPr="007B25AE">
        <w:rPr>
          <w:rFonts w:ascii="Baskerville" w:eastAsia="MS PMincho" w:hAnsi="Baskerville" w:cs="Arabic Typesetting"/>
        </w:rPr>
        <w:t xml:space="preserve"> </w:t>
      </w:r>
      <w:r w:rsidR="00695C50" w:rsidRPr="007B25AE">
        <w:rPr>
          <w:rFonts w:ascii="Baskerville" w:eastAsia="MS PMincho" w:hAnsi="Baskerville" w:cs="Arabic Typesetting"/>
        </w:rPr>
        <w:t xml:space="preserve">on the </w:t>
      </w:r>
      <w:r w:rsidR="0086079D" w:rsidRPr="007B25AE">
        <w:rPr>
          <w:rFonts w:ascii="Baskerville" w:eastAsia="MS PMincho" w:hAnsi="Baskerville" w:cs="Arabic Typesetting"/>
        </w:rPr>
        <w:t>other</w:t>
      </w:r>
      <w:r w:rsidR="00864A74" w:rsidRPr="007B25AE">
        <w:rPr>
          <w:rFonts w:ascii="Baskerville" w:eastAsia="MS PMincho" w:hAnsi="Baskerville" w:cs="Arabic Typesetting"/>
        </w:rPr>
        <w:t xml:space="preserve">, </w:t>
      </w:r>
      <w:r w:rsidR="006C7255" w:rsidRPr="007B25AE">
        <w:rPr>
          <w:rFonts w:ascii="Baskerville" w:eastAsia="MS PMincho" w:hAnsi="Baskerville" w:cs="Arabic Typesetting"/>
        </w:rPr>
        <w:t>it is natural for such a research design to be employed, either under the egis of a “quantitative” or “mixed methodology</w:t>
      </w:r>
      <w:r w:rsidR="00F0332B" w:rsidRPr="007B25AE">
        <w:rPr>
          <w:rFonts w:ascii="Baskerville" w:eastAsia="MS PMincho" w:hAnsi="Baskerville" w:cs="Arabic Typesetting"/>
        </w:rPr>
        <w:t>,</w:t>
      </w:r>
      <w:r w:rsidR="006C7255" w:rsidRPr="007B25AE">
        <w:rPr>
          <w:rFonts w:ascii="Baskerville" w:eastAsia="MS PMincho" w:hAnsi="Baskerville" w:cs="Arabic Typesetting"/>
        </w:rPr>
        <w:t xml:space="preserve">” </w:t>
      </w:r>
      <w:r w:rsidR="0086079D" w:rsidRPr="007B25AE">
        <w:rPr>
          <w:rFonts w:ascii="Baskerville" w:eastAsia="MS PMincho" w:hAnsi="Baskerville" w:cs="Arabic Typesetting"/>
        </w:rPr>
        <w:t xml:space="preserve">but certainly </w:t>
      </w:r>
      <w:r w:rsidR="00F0332B" w:rsidRPr="007B25AE">
        <w:rPr>
          <w:rFonts w:ascii="Baskerville" w:eastAsia="MS PMincho" w:hAnsi="Baskerville" w:cs="Arabic Typesetting"/>
        </w:rPr>
        <w:t>n</w:t>
      </w:r>
      <w:r w:rsidR="0086079D" w:rsidRPr="007B25AE">
        <w:rPr>
          <w:rFonts w:ascii="Baskerville" w:eastAsia="MS PMincho" w:hAnsi="Baskerville" w:cs="Arabic Typesetting"/>
        </w:rPr>
        <w:t>ever</w:t>
      </w:r>
      <w:r w:rsidR="00F0332B" w:rsidRPr="007B25AE">
        <w:rPr>
          <w:rFonts w:ascii="Baskerville" w:eastAsia="MS PMincho" w:hAnsi="Baskerville" w:cs="Arabic Typesetting"/>
        </w:rPr>
        <w:t xml:space="preserve"> under </w:t>
      </w:r>
      <w:r w:rsidR="0086079D" w:rsidRPr="007B25AE">
        <w:rPr>
          <w:rFonts w:ascii="Baskerville" w:eastAsia="MS PMincho" w:hAnsi="Baskerville" w:cs="Arabic Typesetting"/>
        </w:rPr>
        <w:t>the</w:t>
      </w:r>
      <w:r w:rsidR="002F7B50" w:rsidRPr="007B25AE">
        <w:rPr>
          <w:rFonts w:ascii="Baskerville" w:eastAsia="MS PMincho" w:hAnsi="Baskerville" w:cs="Arabic Typesetting"/>
        </w:rPr>
        <w:t xml:space="preserve"> </w:t>
      </w:r>
      <w:r w:rsidR="0086079D" w:rsidRPr="007B25AE">
        <w:rPr>
          <w:rFonts w:ascii="Baskerville" w:eastAsia="MS PMincho" w:hAnsi="Baskerville" w:cs="Arabic Typesetting"/>
        </w:rPr>
        <w:t>heading of a “</w:t>
      </w:r>
      <w:r w:rsidR="00F0332B" w:rsidRPr="007B25AE">
        <w:rPr>
          <w:rFonts w:ascii="Baskerville" w:eastAsia="MS PMincho" w:hAnsi="Baskerville" w:cs="Arabic Typesetting"/>
        </w:rPr>
        <w:t>qualitative</w:t>
      </w:r>
      <w:r w:rsidR="0086079D" w:rsidRPr="007B25AE">
        <w:rPr>
          <w:rFonts w:ascii="Baskerville" w:eastAsia="MS PMincho" w:hAnsi="Baskerville" w:cs="Arabic Typesetting"/>
        </w:rPr>
        <w:t>”</w:t>
      </w:r>
      <w:r w:rsidR="00F0332B" w:rsidRPr="007B25AE">
        <w:rPr>
          <w:rFonts w:ascii="Baskerville" w:eastAsia="MS PMincho" w:hAnsi="Baskerville" w:cs="Arabic Typesetting"/>
        </w:rPr>
        <w:t xml:space="preserve"> </w:t>
      </w:r>
      <w:r w:rsidR="00695C50" w:rsidRPr="007B25AE">
        <w:rPr>
          <w:rFonts w:ascii="Baskerville" w:eastAsia="MS PMincho" w:hAnsi="Baskerville" w:cs="Arabic Typesetting"/>
        </w:rPr>
        <w:t xml:space="preserve">(non-quantifiable) </w:t>
      </w:r>
      <w:r w:rsidR="00F0332B" w:rsidRPr="007B25AE">
        <w:rPr>
          <w:rFonts w:ascii="Baskerville" w:eastAsia="MS PMincho" w:hAnsi="Baskerville" w:cs="Arabic Typesetting"/>
        </w:rPr>
        <w:t>method of research.</w:t>
      </w:r>
      <w:r w:rsidR="004F4491" w:rsidRPr="007B25AE">
        <w:rPr>
          <w:rFonts w:ascii="Baskerville" w:eastAsia="MS PMincho" w:hAnsi="Baskerville" w:cs="Arabic Typesetting"/>
        </w:rPr>
        <w:t xml:space="preserve"> </w:t>
      </w:r>
    </w:p>
    <w:p w14:paraId="14B7D0B5" w14:textId="7605A5C7" w:rsidR="009C17EC" w:rsidRPr="007B25AE" w:rsidRDefault="00E3453F" w:rsidP="0086079D">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All </w:t>
      </w:r>
      <w:r w:rsidR="00B320EB" w:rsidRPr="007B25AE">
        <w:rPr>
          <w:rFonts w:ascii="Baskerville" w:eastAsia="MS PMincho" w:hAnsi="Baskerville" w:cs="Arabic Typesetting"/>
        </w:rPr>
        <w:t xml:space="preserve">professors of </w:t>
      </w:r>
      <w:r w:rsidRPr="007B25AE">
        <w:rPr>
          <w:rFonts w:ascii="Baskerville" w:eastAsia="MS PMincho" w:hAnsi="Baskerville" w:cs="Arabic Typesetting"/>
        </w:rPr>
        <w:t>r</w:t>
      </w:r>
      <w:r w:rsidR="00695C50" w:rsidRPr="007B25AE">
        <w:rPr>
          <w:rFonts w:ascii="Baskerville" w:eastAsia="MS PMincho" w:hAnsi="Baskerville" w:cs="Arabic Typesetting"/>
        </w:rPr>
        <w:t>esea</w:t>
      </w:r>
      <w:r w:rsidR="00387C68" w:rsidRPr="007B25AE">
        <w:rPr>
          <w:rFonts w:ascii="Baskerville" w:eastAsia="MS PMincho" w:hAnsi="Baskerville" w:cs="Arabic Typesetting"/>
        </w:rPr>
        <w:t>r</w:t>
      </w:r>
      <w:r w:rsidR="00695C50" w:rsidRPr="007B25AE">
        <w:rPr>
          <w:rFonts w:ascii="Baskerville" w:eastAsia="MS PMincho" w:hAnsi="Baskerville" w:cs="Arabic Typesetting"/>
        </w:rPr>
        <w:t>ch</w:t>
      </w:r>
      <w:r w:rsidR="00D32104" w:rsidRPr="007B25AE">
        <w:rPr>
          <w:rFonts w:ascii="Baskerville" w:eastAsia="MS PMincho" w:hAnsi="Baskerville" w:cs="Arabic Typesetting"/>
        </w:rPr>
        <w:t xml:space="preserve"> </w:t>
      </w:r>
      <w:r w:rsidRPr="007B25AE">
        <w:rPr>
          <w:rFonts w:ascii="Baskerville" w:eastAsia="MS PMincho" w:hAnsi="Baskerville" w:cs="Arabic Typesetting"/>
        </w:rPr>
        <w:t>stress</w:t>
      </w:r>
      <w:r w:rsidR="00D32104" w:rsidRPr="007B25AE">
        <w:rPr>
          <w:rFonts w:ascii="Baskerville" w:eastAsia="MS PMincho" w:hAnsi="Baskerville" w:cs="Arabic Typesetting"/>
        </w:rPr>
        <w:t xml:space="preserve"> the </w:t>
      </w:r>
      <w:r w:rsidRPr="007B25AE">
        <w:rPr>
          <w:rFonts w:ascii="Baskerville" w:eastAsia="MS PMincho" w:hAnsi="Baskerville" w:cs="Arabic Typesetting"/>
        </w:rPr>
        <w:t xml:space="preserve">need to </w:t>
      </w:r>
      <w:r w:rsidR="00D32104" w:rsidRPr="007B25AE">
        <w:rPr>
          <w:rFonts w:ascii="Baskerville" w:eastAsia="MS PMincho" w:hAnsi="Baskerville" w:cs="Arabic Typesetting"/>
        </w:rPr>
        <w:t>use “valid instrument</w:t>
      </w:r>
      <w:r w:rsidRPr="007B25AE">
        <w:rPr>
          <w:rFonts w:ascii="Baskerville" w:eastAsia="MS PMincho" w:hAnsi="Baskerville" w:cs="Arabic Typesetting"/>
        </w:rPr>
        <w:t>s</w:t>
      </w:r>
      <w:r w:rsidR="00D32104" w:rsidRPr="007B25AE">
        <w:rPr>
          <w:rFonts w:ascii="Baskerville" w:eastAsia="MS PMincho" w:hAnsi="Baskerville" w:cs="Arabic Typesetting"/>
        </w:rPr>
        <w:t xml:space="preserve">” </w:t>
      </w:r>
      <w:r w:rsidR="00B320EB" w:rsidRPr="007B25AE">
        <w:rPr>
          <w:rFonts w:ascii="Baskerville" w:eastAsia="MS PMincho" w:hAnsi="Baskerville" w:cs="Arabic Typesetting"/>
        </w:rPr>
        <w:t xml:space="preserve">in scholarly research. </w:t>
      </w:r>
      <w:r w:rsidR="00D32104" w:rsidRPr="007B25AE">
        <w:rPr>
          <w:rFonts w:ascii="Baskerville" w:eastAsia="MS PMincho" w:hAnsi="Baskerville" w:cs="Arabic Typesetting"/>
        </w:rPr>
        <w:t>W</w:t>
      </w:r>
      <w:r w:rsidR="004F4491" w:rsidRPr="007B25AE">
        <w:rPr>
          <w:rFonts w:ascii="Baskerville" w:eastAsia="MS PMincho" w:hAnsi="Baskerville" w:cs="Arabic Typesetting"/>
        </w:rPr>
        <w:t xml:space="preserve">hen </w:t>
      </w:r>
      <w:r w:rsidR="00C97169" w:rsidRPr="007B25AE">
        <w:rPr>
          <w:rFonts w:ascii="Baskerville" w:eastAsia="MS PMincho" w:hAnsi="Baskerville" w:cs="Arabic Typesetting"/>
        </w:rPr>
        <w:t>some</w:t>
      </w:r>
      <w:r w:rsidR="00CC683F" w:rsidRPr="007B25AE">
        <w:rPr>
          <w:rFonts w:ascii="Baskerville" w:eastAsia="MS PMincho" w:hAnsi="Baskerville" w:cs="Arabic Typesetting"/>
        </w:rPr>
        <w:t xml:space="preserve"> t</w:t>
      </w:r>
      <w:r w:rsidR="00D32104" w:rsidRPr="007B25AE">
        <w:rPr>
          <w:rFonts w:ascii="Baskerville" w:eastAsia="MS PMincho" w:hAnsi="Baskerville" w:cs="Arabic Typesetting"/>
        </w:rPr>
        <w:t>al</w:t>
      </w:r>
      <w:r w:rsidR="00CC683F" w:rsidRPr="007B25AE">
        <w:rPr>
          <w:rFonts w:ascii="Baskerville" w:eastAsia="MS PMincho" w:hAnsi="Baskerville" w:cs="Arabic Typesetting"/>
        </w:rPr>
        <w:t xml:space="preserve">k of “valid” research instruments, </w:t>
      </w:r>
      <w:r w:rsidR="00C97169" w:rsidRPr="007B25AE">
        <w:rPr>
          <w:rFonts w:ascii="Baskerville" w:eastAsia="MS PMincho" w:hAnsi="Baskerville" w:cs="Arabic Typesetting"/>
        </w:rPr>
        <w:t>they</w:t>
      </w:r>
      <w:r w:rsidR="00CC683F" w:rsidRPr="007B25AE">
        <w:rPr>
          <w:rFonts w:ascii="Baskerville" w:eastAsia="MS PMincho" w:hAnsi="Baskerville" w:cs="Arabic Typesetting"/>
        </w:rPr>
        <w:t xml:space="preserve"> tend to </w:t>
      </w:r>
      <w:r w:rsidRPr="007B25AE">
        <w:rPr>
          <w:rFonts w:ascii="Baskerville" w:eastAsia="MS PMincho" w:hAnsi="Baskerville" w:cs="Arabic Typesetting"/>
        </w:rPr>
        <w:t>promote the idea</w:t>
      </w:r>
      <w:r w:rsidR="00CC683F" w:rsidRPr="007B25AE">
        <w:rPr>
          <w:rFonts w:ascii="Baskerville" w:eastAsia="MS PMincho" w:hAnsi="Baskerville" w:cs="Arabic Typesetting"/>
        </w:rPr>
        <w:t xml:space="preserve"> that </w:t>
      </w:r>
      <w:r w:rsidRPr="007B25AE">
        <w:rPr>
          <w:rFonts w:ascii="Baskerville" w:eastAsia="MS PMincho" w:hAnsi="Baskerville" w:cs="Arabic Typesetting"/>
        </w:rPr>
        <w:t>valid</w:t>
      </w:r>
      <w:r w:rsidR="00CC683F" w:rsidRPr="007B25AE">
        <w:rPr>
          <w:rFonts w:ascii="Baskerville" w:eastAsia="MS PMincho" w:hAnsi="Baskerville" w:cs="Arabic Typesetting"/>
        </w:rPr>
        <w:t xml:space="preserve"> instruments fall </w:t>
      </w:r>
      <w:r w:rsidR="00C97169" w:rsidRPr="007B25AE">
        <w:rPr>
          <w:rFonts w:ascii="Baskerville" w:eastAsia="MS PMincho" w:hAnsi="Baskerville" w:cs="Arabic Typesetting"/>
        </w:rPr>
        <w:t xml:space="preserve">only </w:t>
      </w:r>
      <w:r w:rsidR="00CC683F" w:rsidRPr="007B25AE">
        <w:rPr>
          <w:rFonts w:ascii="Baskerville" w:eastAsia="MS PMincho" w:hAnsi="Baskerville" w:cs="Arabic Typesetting"/>
        </w:rPr>
        <w:t>wi</w:t>
      </w:r>
      <w:r w:rsidR="00864A74" w:rsidRPr="007B25AE">
        <w:rPr>
          <w:rFonts w:ascii="Baskerville" w:eastAsia="MS PMincho" w:hAnsi="Baskerville" w:cs="Arabic Typesetting"/>
        </w:rPr>
        <w:t>thi</w:t>
      </w:r>
      <w:r w:rsidR="00CC683F" w:rsidRPr="007B25AE">
        <w:rPr>
          <w:rFonts w:ascii="Baskerville" w:eastAsia="MS PMincho" w:hAnsi="Baskerville" w:cs="Arabic Typesetting"/>
        </w:rPr>
        <w:t xml:space="preserve">n the </w:t>
      </w:r>
      <w:r w:rsidR="00864A74" w:rsidRPr="007B25AE">
        <w:rPr>
          <w:rFonts w:ascii="Baskerville" w:eastAsia="MS PMincho" w:hAnsi="Baskerville" w:cs="Arabic Typesetting"/>
        </w:rPr>
        <w:t>established</w:t>
      </w:r>
      <w:r w:rsidR="00CC683F" w:rsidRPr="007B25AE">
        <w:rPr>
          <w:rFonts w:ascii="Baskerville" w:eastAsia="MS PMincho" w:hAnsi="Baskerville" w:cs="Arabic Typesetting"/>
        </w:rPr>
        <w:t xml:space="preserve"> </w:t>
      </w:r>
      <w:r w:rsidR="00D32104" w:rsidRPr="007B25AE">
        <w:rPr>
          <w:rFonts w:ascii="Baskerville" w:eastAsia="MS PMincho" w:hAnsi="Baskerville" w:cs="Arabic Typesetting"/>
        </w:rPr>
        <w:t>n</w:t>
      </w:r>
      <w:r w:rsidR="00CC683F" w:rsidRPr="007B25AE">
        <w:rPr>
          <w:rFonts w:ascii="Baskerville" w:eastAsia="MS PMincho" w:hAnsi="Baskerville" w:cs="Arabic Typesetting"/>
        </w:rPr>
        <w:t>orm</w:t>
      </w:r>
      <w:r w:rsidR="00952002" w:rsidRPr="007B25AE">
        <w:rPr>
          <w:rFonts w:ascii="Baskerville" w:eastAsia="MS PMincho" w:hAnsi="Baskerville" w:cs="Arabic Typesetting"/>
        </w:rPr>
        <w:t>—standard instruments</w:t>
      </w:r>
      <w:r w:rsidR="00C97169" w:rsidRPr="007B25AE">
        <w:rPr>
          <w:rFonts w:ascii="Baskerville" w:eastAsia="MS PMincho" w:hAnsi="Baskerville" w:cs="Arabic Typesetting"/>
        </w:rPr>
        <w:t xml:space="preserve"> </w:t>
      </w:r>
      <w:r w:rsidR="00CC683F" w:rsidRPr="007B25AE">
        <w:rPr>
          <w:rFonts w:ascii="Baskerville" w:eastAsia="MS PMincho" w:hAnsi="Baskerville" w:cs="Arabic Typesetting"/>
        </w:rPr>
        <w:t xml:space="preserve">such as </w:t>
      </w:r>
      <w:r w:rsidR="00F0332B" w:rsidRPr="007B25AE">
        <w:rPr>
          <w:rFonts w:ascii="Baskerville" w:eastAsia="MS PMincho" w:hAnsi="Baskerville" w:cs="Arabic Typesetting"/>
        </w:rPr>
        <w:t>“</w:t>
      </w:r>
      <w:r w:rsidR="00CC683F" w:rsidRPr="007B25AE">
        <w:rPr>
          <w:rFonts w:ascii="Baskerville" w:eastAsia="MS PMincho" w:hAnsi="Baskerville" w:cs="Arabic Typesetting"/>
        </w:rPr>
        <w:t>Pearson Product Moment</w:t>
      </w:r>
      <w:r w:rsidR="00C97169" w:rsidRPr="007B25AE">
        <w:rPr>
          <w:rFonts w:ascii="Baskerville" w:eastAsia="MS PMincho" w:hAnsi="Baskerville" w:cs="Arabic Typesetting"/>
        </w:rPr>
        <w:t>,</w:t>
      </w:r>
      <w:r w:rsidR="00F0332B" w:rsidRPr="007B25AE">
        <w:rPr>
          <w:rFonts w:ascii="Baskerville" w:eastAsia="MS PMincho" w:hAnsi="Baskerville" w:cs="Arabic Typesetting"/>
        </w:rPr>
        <w:t>”</w:t>
      </w:r>
      <w:r w:rsidR="00CC683F" w:rsidRPr="007B25AE">
        <w:rPr>
          <w:rFonts w:ascii="Baskerville" w:eastAsia="MS PMincho" w:hAnsi="Baskerville" w:cs="Arabic Typesetting"/>
        </w:rPr>
        <w:t xml:space="preserve"> </w:t>
      </w:r>
      <w:r w:rsidR="00C97169" w:rsidRPr="007B25AE">
        <w:rPr>
          <w:rFonts w:ascii="Baskerville" w:eastAsia="MS PMincho" w:hAnsi="Baskerville" w:cs="Arabic Typesetting"/>
        </w:rPr>
        <w:t>“</w:t>
      </w:r>
      <w:r w:rsidR="00C000E7" w:rsidRPr="007B25AE">
        <w:rPr>
          <w:rFonts w:ascii="Baskerville" w:eastAsia="MS PMincho" w:hAnsi="Baskerville" w:cs="Arabic Typesetting"/>
        </w:rPr>
        <w:t>OIS</w:t>
      </w:r>
      <w:r w:rsidR="00C97169" w:rsidRPr="007B25AE">
        <w:rPr>
          <w:rFonts w:ascii="Baskerville" w:eastAsia="MS PMincho" w:hAnsi="Baskerville" w:cs="Arabic Typesetting"/>
        </w:rPr>
        <w:t xml:space="preserve">,” </w:t>
      </w:r>
      <w:r w:rsidR="00C000E7" w:rsidRPr="007B25AE">
        <w:rPr>
          <w:rFonts w:ascii="Baskerville" w:eastAsia="MS PMincho" w:hAnsi="Baskerville" w:cs="Arabic Typesetting"/>
        </w:rPr>
        <w:t xml:space="preserve">“PPV,” </w:t>
      </w:r>
      <w:r w:rsidR="00C97169" w:rsidRPr="007B25AE">
        <w:rPr>
          <w:rFonts w:ascii="Baskerville" w:eastAsia="MS PMincho" w:hAnsi="Baskerville" w:cs="Arabic Typesetting"/>
        </w:rPr>
        <w:t xml:space="preserve">etc. </w:t>
      </w:r>
      <w:r w:rsidR="00CC683F" w:rsidRPr="007B25AE">
        <w:rPr>
          <w:rFonts w:ascii="Baskerville" w:eastAsia="MS PMincho" w:hAnsi="Baskerville" w:cs="Arabic Typesetting"/>
        </w:rPr>
        <w:t>But</w:t>
      </w:r>
      <w:r w:rsidR="00864A74" w:rsidRPr="007B25AE">
        <w:rPr>
          <w:rFonts w:ascii="Baskerville" w:eastAsia="MS PMincho" w:hAnsi="Baskerville" w:cs="Arabic Typesetting"/>
        </w:rPr>
        <w:t>, as it appears, some</w:t>
      </w:r>
      <w:r w:rsidR="00CC683F" w:rsidRPr="007B25AE">
        <w:rPr>
          <w:rFonts w:ascii="Baskerville" w:eastAsia="MS PMincho" w:hAnsi="Baskerville" w:cs="Arabic Typesetting"/>
        </w:rPr>
        <w:t xml:space="preserve"> experts are saying that the “validity” of a research instrument depends upon </w:t>
      </w:r>
      <w:proofErr w:type="gramStart"/>
      <w:r w:rsidR="00CC683F" w:rsidRPr="007B25AE">
        <w:rPr>
          <w:rFonts w:ascii="Baskerville" w:eastAsia="MS PMincho" w:hAnsi="Baskerville" w:cs="Arabic Typesetting"/>
        </w:rPr>
        <w:t xml:space="preserve">whether </w:t>
      </w:r>
      <w:r w:rsidR="00F0332B" w:rsidRPr="007B25AE">
        <w:rPr>
          <w:rFonts w:ascii="Baskerville" w:eastAsia="MS PMincho" w:hAnsi="Baskerville" w:cs="Arabic Typesetting"/>
        </w:rPr>
        <w:t>or not</w:t>
      </w:r>
      <w:proofErr w:type="gramEnd"/>
      <w:r w:rsidR="00F0332B" w:rsidRPr="007B25AE">
        <w:rPr>
          <w:rFonts w:ascii="Baskerville" w:eastAsia="MS PMincho" w:hAnsi="Baskerville" w:cs="Arabic Typesetting"/>
        </w:rPr>
        <w:t xml:space="preserve"> </w:t>
      </w:r>
      <w:r w:rsidR="00864A74" w:rsidRPr="007B25AE">
        <w:rPr>
          <w:rFonts w:ascii="Baskerville" w:eastAsia="MS PMincho" w:hAnsi="Baskerville" w:cs="Arabic Typesetting"/>
        </w:rPr>
        <w:t xml:space="preserve">it </w:t>
      </w:r>
      <w:r w:rsidR="00CC683F" w:rsidRPr="007B25AE">
        <w:rPr>
          <w:rFonts w:ascii="Baskerville" w:eastAsia="MS PMincho" w:hAnsi="Baskerville" w:cs="Arabic Typesetting"/>
        </w:rPr>
        <w:t xml:space="preserve">is successful at measuring data. In which case, an instrument </w:t>
      </w:r>
      <w:r w:rsidR="00D32104" w:rsidRPr="007B25AE">
        <w:rPr>
          <w:rFonts w:ascii="Baskerville" w:eastAsia="MS PMincho" w:hAnsi="Baskerville" w:cs="Arabic Typesetting"/>
        </w:rPr>
        <w:t xml:space="preserve">that is </w:t>
      </w:r>
      <w:r w:rsidR="00CC683F" w:rsidRPr="007B25AE">
        <w:rPr>
          <w:rFonts w:ascii="Baskerville" w:eastAsia="MS PMincho" w:hAnsi="Baskerville" w:cs="Arabic Typesetting"/>
        </w:rPr>
        <w:t xml:space="preserve">developed in, and for, a </w:t>
      </w:r>
      <w:r w:rsidR="00403264" w:rsidRPr="007B25AE">
        <w:rPr>
          <w:rFonts w:ascii="Baskerville" w:eastAsia="MS PMincho" w:hAnsi="Baskerville" w:cs="Arabic Typesetting"/>
        </w:rPr>
        <w:t xml:space="preserve">specific piece of </w:t>
      </w:r>
      <w:r w:rsidR="00CC683F" w:rsidRPr="007B25AE">
        <w:rPr>
          <w:rFonts w:ascii="Baskerville" w:eastAsia="MS PMincho" w:hAnsi="Baskerville" w:cs="Arabic Typesetting"/>
        </w:rPr>
        <w:t>research</w:t>
      </w:r>
      <w:r w:rsidR="00C000E7" w:rsidRPr="007B25AE">
        <w:rPr>
          <w:rFonts w:ascii="Baskerville" w:eastAsia="MS PMincho" w:hAnsi="Baskerville" w:cs="Arabic Typesetting"/>
        </w:rPr>
        <w:t>, on the fly,</w:t>
      </w:r>
      <w:r w:rsidR="00CC683F" w:rsidRPr="007B25AE">
        <w:rPr>
          <w:rFonts w:ascii="Baskerville" w:eastAsia="MS PMincho" w:hAnsi="Baskerville" w:cs="Arabic Typesetting"/>
        </w:rPr>
        <w:t xml:space="preserve"> is </w:t>
      </w:r>
      <w:r w:rsidR="00D32104" w:rsidRPr="007B25AE">
        <w:rPr>
          <w:rFonts w:ascii="Baskerville" w:eastAsia="MS PMincho" w:hAnsi="Baskerville" w:cs="Arabic Typesetting"/>
        </w:rPr>
        <w:t xml:space="preserve">referred to </w:t>
      </w:r>
      <w:r w:rsidR="009C17EC" w:rsidRPr="007B25AE">
        <w:rPr>
          <w:rFonts w:ascii="Baskerville" w:eastAsia="MS PMincho" w:hAnsi="Baskerville" w:cs="Arabic Typesetting"/>
        </w:rPr>
        <w:t>as “</w:t>
      </w:r>
      <w:r w:rsidR="00CC683F" w:rsidRPr="007B25AE">
        <w:rPr>
          <w:rFonts w:ascii="Baskerville" w:eastAsia="MS PMincho" w:hAnsi="Baskerville" w:cs="Arabic Typesetting"/>
        </w:rPr>
        <w:t>valid</w:t>
      </w:r>
      <w:r w:rsidR="009C17EC" w:rsidRPr="007B25AE">
        <w:rPr>
          <w:rFonts w:ascii="Baskerville" w:eastAsia="MS PMincho" w:hAnsi="Baskerville" w:cs="Arabic Typesetting"/>
        </w:rPr>
        <w:t>”</w:t>
      </w:r>
      <w:r w:rsidR="00CC683F" w:rsidRPr="007B25AE">
        <w:rPr>
          <w:rFonts w:ascii="Baskerville" w:eastAsia="MS PMincho" w:hAnsi="Baskerville" w:cs="Arabic Typesetting"/>
        </w:rPr>
        <w:t xml:space="preserve"> </w:t>
      </w:r>
      <w:r w:rsidR="00403264" w:rsidRPr="007B25AE">
        <w:rPr>
          <w:rFonts w:ascii="Baskerville" w:eastAsia="MS PMincho" w:hAnsi="Baskerville" w:cs="Arabic Typesetting"/>
        </w:rPr>
        <w:t>simp</w:t>
      </w:r>
      <w:r w:rsidR="00CC683F" w:rsidRPr="007B25AE">
        <w:rPr>
          <w:rFonts w:ascii="Baskerville" w:eastAsia="MS PMincho" w:hAnsi="Baskerville" w:cs="Arabic Typesetting"/>
        </w:rPr>
        <w:t>ly because of it</w:t>
      </w:r>
      <w:r w:rsidR="00D67D40" w:rsidRPr="007B25AE">
        <w:rPr>
          <w:rFonts w:ascii="Baskerville" w:eastAsia="MS PMincho" w:hAnsi="Baskerville" w:cs="Arabic Typesetting"/>
        </w:rPr>
        <w:t>s effectiveness</w:t>
      </w:r>
      <w:r w:rsidR="000D59D4" w:rsidRPr="007B25AE">
        <w:rPr>
          <w:rFonts w:ascii="Baskerville" w:eastAsia="MS PMincho" w:hAnsi="Baskerville" w:cs="Arabic Typesetting"/>
        </w:rPr>
        <w:t xml:space="preserve"> in producing the quantitative result</w:t>
      </w:r>
      <w:r w:rsidR="00D67D40" w:rsidRPr="007B25AE">
        <w:rPr>
          <w:rFonts w:ascii="Baskerville" w:eastAsia="MS PMincho" w:hAnsi="Baskerville" w:cs="Arabic Typesetting"/>
        </w:rPr>
        <w:t xml:space="preserve">. </w:t>
      </w:r>
      <w:r w:rsidR="009C17EC" w:rsidRPr="007B25AE">
        <w:rPr>
          <w:rFonts w:ascii="Baskerville" w:eastAsia="MS PMincho" w:hAnsi="Baskerville" w:cs="Arabic Typesetting"/>
        </w:rPr>
        <w:t>To me, this approach</w:t>
      </w:r>
      <w:r w:rsidR="000D59D4" w:rsidRPr="007B25AE">
        <w:rPr>
          <w:rFonts w:ascii="Baskerville" w:eastAsia="MS PMincho" w:hAnsi="Baskerville" w:cs="Arabic Typesetting"/>
        </w:rPr>
        <w:t xml:space="preserve">, </w:t>
      </w:r>
      <w:r w:rsidR="00F91ADB" w:rsidRPr="007B25AE">
        <w:rPr>
          <w:rFonts w:ascii="Baskerville" w:eastAsia="MS PMincho" w:hAnsi="Baskerville" w:cs="Arabic Typesetting"/>
        </w:rPr>
        <w:t>when</w:t>
      </w:r>
      <w:r w:rsidR="009C17EC" w:rsidRPr="007B25AE">
        <w:rPr>
          <w:rFonts w:ascii="Baskerville" w:eastAsia="MS PMincho" w:hAnsi="Baskerville" w:cs="Arabic Typesetting"/>
        </w:rPr>
        <w:t xml:space="preserve"> </w:t>
      </w:r>
      <w:r w:rsidR="00674DD9" w:rsidRPr="007B25AE">
        <w:rPr>
          <w:rFonts w:ascii="Baskerville" w:eastAsia="MS PMincho" w:hAnsi="Baskerville" w:cs="Arabic Typesetting"/>
        </w:rPr>
        <w:t>serves</w:t>
      </w:r>
      <w:r w:rsidR="009C17EC" w:rsidRPr="007B25AE">
        <w:rPr>
          <w:rFonts w:ascii="Baskerville" w:eastAsia="MS PMincho" w:hAnsi="Baskerville" w:cs="Arabic Typesetting"/>
        </w:rPr>
        <w:t xml:space="preserve"> </w:t>
      </w:r>
      <w:r w:rsidR="00C000E7" w:rsidRPr="007B25AE">
        <w:rPr>
          <w:rFonts w:ascii="Baskerville" w:eastAsia="MS PMincho" w:hAnsi="Baskerville" w:cs="Arabic Typesetting"/>
        </w:rPr>
        <w:t>up,</w:t>
      </w:r>
      <w:r w:rsidR="00674DD9" w:rsidRPr="007B25AE">
        <w:rPr>
          <w:rFonts w:ascii="Baskerville" w:eastAsia="MS PMincho" w:hAnsi="Baskerville" w:cs="Arabic Typesetting"/>
        </w:rPr>
        <w:t xml:space="preserve"> </w:t>
      </w:r>
      <w:r w:rsidR="000D59D4" w:rsidRPr="007B25AE">
        <w:rPr>
          <w:rFonts w:ascii="Baskerville" w:eastAsia="MS PMincho" w:hAnsi="Baskerville" w:cs="Arabic Typesetting"/>
        </w:rPr>
        <w:t xml:space="preserve">provides </w:t>
      </w:r>
      <w:r w:rsidR="00674DD9" w:rsidRPr="007B25AE">
        <w:rPr>
          <w:rFonts w:ascii="Baskerville" w:eastAsia="MS PMincho" w:hAnsi="Baskerville" w:cs="Arabic Typesetting"/>
        </w:rPr>
        <w:t>th</w:t>
      </w:r>
      <w:r w:rsidR="000D59D4" w:rsidRPr="007B25AE">
        <w:rPr>
          <w:rFonts w:ascii="Baskerville" w:eastAsia="MS PMincho" w:hAnsi="Baskerville" w:cs="Arabic Typesetting"/>
        </w:rPr>
        <w:t>at</w:t>
      </w:r>
      <w:r w:rsidR="00674DD9" w:rsidRPr="007B25AE">
        <w:rPr>
          <w:rFonts w:ascii="Baskerville" w:eastAsia="MS PMincho" w:hAnsi="Baskerville" w:cs="Arabic Typesetting"/>
        </w:rPr>
        <w:t xml:space="preserve"> </w:t>
      </w:r>
      <w:r w:rsidR="009C17EC" w:rsidRPr="007B25AE">
        <w:rPr>
          <w:rFonts w:ascii="Baskerville" w:eastAsia="MS PMincho" w:hAnsi="Baskerville" w:cs="Arabic Typesetting"/>
        </w:rPr>
        <w:t xml:space="preserve">sweet </w:t>
      </w:r>
      <w:r w:rsidR="00C000E7" w:rsidRPr="007B25AE">
        <w:rPr>
          <w:rFonts w:ascii="Baskerville" w:eastAsia="MS PMincho" w:hAnsi="Baskerville" w:cs="Arabic Typesetting"/>
        </w:rPr>
        <w:t xml:space="preserve">succulent </w:t>
      </w:r>
      <w:r w:rsidR="009C17EC" w:rsidRPr="007B25AE">
        <w:rPr>
          <w:rFonts w:ascii="Baskerville" w:eastAsia="MS PMincho" w:hAnsi="Baskerville" w:cs="Arabic Typesetting"/>
        </w:rPr>
        <w:t xml:space="preserve">taste of “pragmatism,” </w:t>
      </w:r>
      <w:r w:rsidR="00D01AD8" w:rsidRPr="007B25AE">
        <w:rPr>
          <w:rFonts w:ascii="Baskerville" w:eastAsia="MS PMincho" w:hAnsi="Baskerville" w:cs="Arabic Typesetting"/>
        </w:rPr>
        <w:t xml:space="preserve">(James, 1975) </w:t>
      </w:r>
      <w:r w:rsidR="009C17EC" w:rsidRPr="007B25AE">
        <w:rPr>
          <w:rFonts w:ascii="Baskerville" w:eastAsia="MS PMincho" w:hAnsi="Baskerville" w:cs="Arabic Typesetting"/>
        </w:rPr>
        <w:t xml:space="preserve">with </w:t>
      </w:r>
      <w:r w:rsidR="00F91ADB" w:rsidRPr="007B25AE">
        <w:rPr>
          <w:rFonts w:ascii="Baskerville" w:eastAsia="MS PMincho" w:hAnsi="Baskerville" w:cs="Arabic Typesetting"/>
        </w:rPr>
        <w:t>that</w:t>
      </w:r>
      <w:r w:rsidR="000D59D4" w:rsidRPr="007B25AE">
        <w:rPr>
          <w:rFonts w:ascii="Baskerville" w:eastAsia="MS PMincho" w:hAnsi="Baskerville" w:cs="Arabic Typesetting"/>
        </w:rPr>
        <w:t xml:space="preserve"> veritable</w:t>
      </w:r>
      <w:r w:rsidR="009C17EC" w:rsidRPr="007B25AE">
        <w:rPr>
          <w:rFonts w:ascii="Baskerville" w:eastAsia="MS PMincho" w:hAnsi="Baskerville" w:cs="Arabic Typesetting"/>
        </w:rPr>
        <w:t xml:space="preserve"> William James flavor.  </w:t>
      </w:r>
    </w:p>
    <w:p w14:paraId="6FED697F" w14:textId="4979647F" w:rsidR="001653DA" w:rsidRPr="007B25AE" w:rsidRDefault="00403264" w:rsidP="0086079D">
      <w:pPr>
        <w:spacing w:line="360" w:lineRule="auto"/>
        <w:ind w:firstLine="720"/>
        <w:rPr>
          <w:rFonts w:ascii="Baskerville" w:eastAsia="MS PMincho" w:hAnsi="Baskerville" w:cs="Arabic Typesetting"/>
        </w:rPr>
      </w:pPr>
      <w:r w:rsidRPr="007B25AE">
        <w:rPr>
          <w:rFonts w:ascii="Baskerville" w:eastAsia="MS PMincho" w:hAnsi="Baskerville" w:cs="Arabic Typesetting"/>
        </w:rPr>
        <w:t>Then, too, some researchers</w:t>
      </w:r>
      <w:r w:rsidR="009C17EC" w:rsidRPr="007B25AE">
        <w:rPr>
          <w:rFonts w:ascii="Baskerville" w:eastAsia="MS PMincho" w:hAnsi="Baskerville" w:cs="Arabic Typesetting"/>
        </w:rPr>
        <w:t>,</w:t>
      </w:r>
      <w:r w:rsidRPr="007B25AE">
        <w:rPr>
          <w:rFonts w:ascii="Baskerville" w:eastAsia="MS PMincho" w:hAnsi="Baskerville" w:cs="Arabic Typesetting"/>
        </w:rPr>
        <w:t xml:space="preserve"> </w:t>
      </w:r>
      <w:r w:rsidR="009C17EC" w:rsidRPr="007B25AE">
        <w:rPr>
          <w:rFonts w:ascii="Baskerville" w:eastAsia="MS PMincho" w:hAnsi="Baskerville" w:cs="Arabic Typesetting"/>
        </w:rPr>
        <w:t xml:space="preserve">like </w:t>
      </w:r>
      <w:r w:rsidR="00674DD9" w:rsidRPr="007B25AE">
        <w:rPr>
          <w:rFonts w:ascii="Baskerville" w:eastAsia="MS PMincho" w:hAnsi="Baskerville" w:cs="Arabic Typesetting"/>
        </w:rPr>
        <w:t>my friend</w:t>
      </w:r>
      <w:r w:rsidR="00FC23A1" w:rsidRPr="007B25AE">
        <w:rPr>
          <w:rFonts w:ascii="Baskerville" w:eastAsia="MS PMincho" w:hAnsi="Baskerville" w:cs="Arabic Typesetting"/>
        </w:rPr>
        <w:t>,</w:t>
      </w:r>
      <w:r w:rsidR="00674DD9" w:rsidRPr="007B25AE">
        <w:rPr>
          <w:rFonts w:ascii="Baskerville" w:eastAsia="MS PMincho" w:hAnsi="Baskerville" w:cs="Arabic Typesetting"/>
        </w:rPr>
        <w:t xml:space="preserve"> </w:t>
      </w:r>
      <w:proofErr w:type="spellStart"/>
      <w:r w:rsidR="009C17EC" w:rsidRPr="007B25AE">
        <w:rPr>
          <w:rFonts w:ascii="Baskerville" w:eastAsia="MS PMincho" w:hAnsi="Baskerville" w:cs="Arabic Typesetting"/>
        </w:rPr>
        <w:t>Ogundimu</w:t>
      </w:r>
      <w:proofErr w:type="spellEnd"/>
      <w:r w:rsidR="009C17EC" w:rsidRPr="007B25AE">
        <w:rPr>
          <w:rFonts w:ascii="Baskerville" w:eastAsia="MS PMincho" w:hAnsi="Baskerville" w:cs="Arabic Typesetting"/>
        </w:rPr>
        <w:t xml:space="preserve">, </w:t>
      </w:r>
      <w:r w:rsidR="00FC23A1" w:rsidRPr="007B25AE">
        <w:rPr>
          <w:rFonts w:ascii="Baskerville" w:eastAsia="MS PMincho" w:hAnsi="Baskerville" w:cs="Arabic Typesetting"/>
        </w:rPr>
        <w:t>use</w:t>
      </w:r>
      <w:r w:rsidRPr="007B25AE">
        <w:rPr>
          <w:rFonts w:ascii="Baskerville" w:eastAsia="MS PMincho" w:hAnsi="Baskerville" w:cs="Arabic Typesetting"/>
        </w:rPr>
        <w:t xml:space="preserve"> </w:t>
      </w:r>
      <w:r w:rsidR="009C17EC" w:rsidRPr="007B25AE">
        <w:rPr>
          <w:rFonts w:ascii="Baskerville" w:eastAsia="MS PMincho" w:hAnsi="Baskerville" w:cs="Arabic Typesetting"/>
        </w:rPr>
        <w:t xml:space="preserve">what they refer to as, </w:t>
      </w:r>
      <w:r w:rsidRPr="007B25AE">
        <w:rPr>
          <w:rFonts w:ascii="Baskerville" w:eastAsia="MS PMincho" w:hAnsi="Baskerville" w:cs="Arabic Typesetting"/>
        </w:rPr>
        <w:t>“research argument</w:t>
      </w:r>
      <w:r w:rsidR="004D5421" w:rsidRPr="007B25AE">
        <w:rPr>
          <w:rFonts w:ascii="Baskerville" w:eastAsia="MS PMincho" w:hAnsi="Baskerville" w:cs="Arabic Typesetting"/>
        </w:rPr>
        <w:t>s</w:t>
      </w:r>
      <w:r w:rsidRPr="007B25AE">
        <w:rPr>
          <w:rFonts w:ascii="Baskerville" w:eastAsia="MS PMincho" w:hAnsi="Baskerville" w:cs="Arabic Typesetting"/>
        </w:rPr>
        <w:t>/questions”</w:t>
      </w:r>
      <w:r w:rsidR="000D59D4" w:rsidRPr="007B25AE">
        <w:rPr>
          <w:rFonts w:ascii="Baskerville" w:eastAsia="MS PMincho" w:hAnsi="Baskerville" w:cs="Arabic Typesetting"/>
        </w:rPr>
        <w:t xml:space="preserve"> (p.14)</w:t>
      </w:r>
      <w:r w:rsidR="001501BA" w:rsidRPr="007B25AE">
        <w:rPr>
          <w:rFonts w:ascii="Baskerville" w:eastAsia="MS PMincho" w:hAnsi="Baskerville" w:cs="Arabic Typesetting"/>
        </w:rPr>
        <w:t xml:space="preserve"> as a</w:t>
      </w:r>
      <w:r w:rsidR="00C000E7" w:rsidRPr="007B25AE">
        <w:rPr>
          <w:rFonts w:ascii="Baskerville" w:eastAsia="MS PMincho" w:hAnsi="Baskerville" w:cs="Arabic Typesetting"/>
        </w:rPr>
        <w:t xml:space="preserve"> </w:t>
      </w:r>
      <w:r w:rsidRPr="007B25AE">
        <w:rPr>
          <w:rFonts w:ascii="Baskerville" w:eastAsia="MS PMincho" w:hAnsi="Baskerville" w:cs="Arabic Typesetting"/>
        </w:rPr>
        <w:t xml:space="preserve">tool from which the “hypothesis” </w:t>
      </w:r>
      <w:r w:rsidR="001501BA" w:rsidRPr="007B25AE">
        <w:rPr>
          <w:rFonts w:ascii="Baskerville" w:eastAsia="MS PMincho" w:hAnsi="Baskerville" w:cs="Arabic Typesetting"/>
        </w:rPr>
        <w:t>is</w:t>
      </w:r>
      <w:r w:rsidRPr="007B25AE">
        <w:rPr>
          <w:rFonts w:ascii="Baskerville" w:eastAsia="MS PMincho" w:hAnsi="Baskerville" w:cs="Arabic Typesetting"/>
        </w:rPr>
        <w:t xml:space="preserve"> derived.</w:t>
      </w:r>
      <w:r w:rsidR="001501BA" w:rsidRPr="007B25AE">
        <w:rPr>
          <w:rFonts w:ascii="Baskerville" w:eastAsia="MS PMincho" w:hAnsi="Baskerville" w:cs="Arabic Typesetting"/>
        </w:rPr>
        <w:t xml:space="preserve"> Although </w:t>
      </w:r>
      <w:r w:rsidR="00674DD9" w:rsidRPr="007B25AE">
        <w:rPr>
          <w:rFonts w:ascii="Baskerville" w:eastAsia="MS PMincho" w:hAnsi="Baskerville" w:cs="Arabic Typesetting"/>
        </w:rPr>
        <w:t>th</w:t>
      </w:r>
      <w:r w:rsidR="001501BA" w:rsidRPr="007B25AE">
        <w:rPr>
          <w:rFonts w:ascii="Baskerville" w:eastAsia="MS PMincho" w:hAnsi="Baskerville" w:cs="Arabic Typesetting"/>
        </w:rPr>
        <w:t>is</w:t>
      </w:r>
      <w:r w:rsidR="00825DA1" w:rsidRPr="007B25AE">
        <w:rPr>
          <w:rFonts w:ascii="Baskerville" w:eastAsia="MS PMincho" w:hAnsi="Baskerville" w:cs="Arabic Typesetting"/>
        </w:rPr>
        <w:t xml:space="preserve"> </w:t>
      </w:r>
      <w:r w:rsidR="00674DD9" w:rsidRPr="007B25AE">
        <w:rPr>
          <w:rFonts w:ascii="Baskerville" w:eastAsia="MS PMincho" w:hAnsi="Baskerville" w:cs="Arabic Typesetting"/>
        </w:rPr>
        <w:t xml:space="preserve">approach in the </w:t>
      </w:r>
      <w:r w:rsidR="004D5421" w:rsidRPr="007B25AE">
        <w:rPr>
          <w:rFonts w:ascii="Baskerville" w:eastAsia="MS PMincho" w:hAnsi="Baskerville" w:cs="Arabic Typesetting"/>
        </w:rPr>
        <w:t xml:space="preserve">pen ultimo </w:t>
      </w:r>
      <w:r w:rsidR="00011CAE" w:rsidRPr="007B25AE">
        <w:rPr>
          <w:rFonts w:ascii="Baskerville" w:eastAsia="MS PMincho" w:hAnsi="Baskerville" w:cs="Arabic Typesetting"/>
        </w:rPr>
        <w:t>is</w:t>
      </w:r>
      <w:r w:rsidR="00674DD9" w:rsidRPr="007B25AE">
        <w:rPr>
          <w:rFonts w:ascii="Baskerville" w:eastAsia="MS PMincho" w:hAnsi="Baskerville" w:cs="Arabic Typesetting"/>
        </w:rPr>
        <w:t xml:space="preserve"> </w:t>
      </w:r>
      <w:r w:rsidR="001501BA" w:rsidRPr="007B25AE">
        <w:rPr>
          <w:rFonts w:ascii="Baskerville" w:eastAsia="MS PMincho" w:hAnsi="Baskerville" w:cs="Arabic Typesetting"/>
        </w:rPr>
        <w:t>toute</w:t>
      </w:r>
      <w:r w:rsidR="00674DD9" w:rsidRPr="007B25AE">
        <w:rPr>
          <w:rFonts w:ascii="Baskerville" w:eastAsia="MS PMincho" w:hAnsi="Baskerville" w:cs="Arabic Typesetting"/>
        </w:rPr>
        <w:t>d plentifully enough</w:t>
      </w:r>
      <w:r w:rsidR="004D5421" w:rsidRPr="007B25AE">
        <w:rPr>
          <w:rFonts w:ascii="Baskerville" w:eastAsia="MS PMincho" w:hAnsi="Baskerville" w:cs="Arabic Typesetting"/>
        </w:rPr>
        <w:t xml:space="preserve"> by research</w:t>
      </w:r>
      <w:r w:rsidR="001501BA" w:rsidRPr="007B25AE">
        <w:rPr>
          <w:rFonts w:ascii="Baskerville" w:eastAsia="MS PMincho" w:hAnsi="Baskerville" w:cs="Arabic Typesetting"/>
        </w:rPr>
        <w:t xml:space="preserve"> professor</w:t>
      </w:r>
      <w:r w:rsidR="004D5421" w:rsidRPr="007B25AE">
        <w:rPr>
          <w:rFonts w:ascii="Baskerville" w:eastAsia="MS PMincho" w:hAnsi="Baskerville" w:cs="Arabic Typesetting"/>
        </w:rPr>
        <w:t xml:space="preserve">s, </w:t>
      </w:r>
      <w:r w:rsidR="009374F0" w:rsidRPr="007B25AE">
        <w:rPr>
          <w:rFonts w:ascii="Baskerville" w:eastAsia="MS PMincho" w:hAnsi="Baskerville" w:cs="Arabic Typesetting"/>
        </w:rPr>
        <w:t xml:space="preserve">many </w:t>
      </w:r>
      <w:r w:rsidR="001501BA" w:rsidRPr="007B25AE">
        <w:rPr>
          <w:rFonts w:ascii="Baskerville" w:eastAsia="MS PMincho" w:hAnsi="Baskerville" w:cs="Arabic Typesetting"/>
        </w:rPr>
        <w:t>researchers</w:t>
      </w:r>
      <w:r w:rsidR="004D5421" w:rsidRPr="007B25AE">
        <w:rPr>
          <w:rFonts w:ascii="Baskerville" w:eastAsia="MS PMincho" w:hAnsi="Baskerville" w:cs="Arabic Typesetting"/>
        </w:rPr>
        <w:t xml:space="preserve"> </w:t>
      </w:r>
      <w:r w:rsidR="001501BA" w:rsidRPr="007B25AE">
        <w:rPr>
          <w:rFonts w:ascii="Baskerville" w:eastAsia="MS PMincho" w:hAnsi="Baskerville" w:cs="Arabic Typesetting"/>
        </w:rPr>
        <w:t xml:space="preserve">appear </w:t>
      </w:r>
      <w:r w:rsidR="009374F0" w:rsidRPr="007B25AE">
        <w:rPr>
          <w:rFonts w:ascii="Baskerville" w:eastAsia="MS PMincho" w:hAnsi="Baskerville" w:cs="Arabic Typesetting"/>
        </w:rPr>
        <w:t>to use</w:t>
      </w:r>
      <w:r w:rsidR="00825DA1" w:rsidRPr="007B25AE">
        <w:rPr>
          <w:rFonts w:ascii="Baskerville" w:eastAsia="MS PMincho" w:hAnsi="Baskerville" w:cs="Arabic Typesetting"/>
        </w:rPr>
        <w:t>,</w:t>
      </w:r>
      <w:r w:rsidR="00674DD9" w:rsidRPr="007B25AE">
        <w:rPr>
          <w:rFonts w:ascii="Baskerville" w:eastAsia="MS PMincho" w:hAnsi="Baskerville" w:cs="Arabic Typesetting"/>
        </w:rPr>
        <w:t xml:space="preserve"> </w:t>
      </w:r>
      <w:r w:rsidR="004D5421" w:rsidRPr="007B25AE">
        <w:rPr>
          <w:rFonts w:ascii="Baskerville" w:eastAsia="MS PMincho" w:hAnsi="Baskerville" w:cs="Arabic Typesetting"/>
        </w:rPr>
        <w:t>either</w:t>
      </w:r>
      <w:r w:rsidR="00F0332B" w:rsidRPr="007B25AE">
        <w:rPr>
          <w:rFonts w:ascii="Baskerville" w:eastAsia="MS PMincho" w:hAnsi="Baskerville" w:cs="Arabic Typesetting"/>
        </w:rPr>
        <w:t xml:space="preserve"> </w:t>
      </w:r>
      <w:r w:rsidR="009374F0" w:rsidRPr="007B25AE">
        <w:rPr>
          <w:rFonts w:ascii="Baskerville" w:eastAsia="MS PMincho" w:hAnsi="Baskerville" w:cs="Arabic Typesetting"/>
        </w:rPr>
        <w:t>“</w:t>
      </w:r>
      <w:r w:rsidR="004D5421" w:rsidRPr="007B25AE">
        <w:rPr>
          <w:rFonts w:ascii="Baskerville" w:eastAsia="MS PMincho" w:hAnsi="Baskerville" w:cs="Arabic Typesetting"/>
        </w:rPr>
        <w:t>research question</w:t>
      </w:r>
      <w:r w:rsidR="002C0E8E" w:rsidRPr="007B25AE">
        <w:rPr>
          <w:rFonts w:ascii="Baskerville" w:eastAsia="MS PMincho" w:hAnsi="Baskerville" w:cs="Arabic Typesetting"/>
        </w:rPr>
        <w:t>s</w:t>
      </w:r>
      <w:r w:rsidR="006B7B01" w:rsidRPr="007B25AE">
        <w:rPr>
          <w:rFonts w:ascii="Baskerville" w:eastAsia="MS PMincho" w:hAnsi="Baskerville" w:cs="Arabic Typesetting"/>
        </w:rPr>
        <w:t>,</w:t>
      </w:r>
      <w:r w:rsidR="009374F0" w:rsidRPr="007B25AE">
        <w:rPr>
          <w:rFonts w:ascii="Baskerville" w:eastAsia="MS PMincho" w:hAnsi="Baskerville" w:cs="Arabic Typesetting"/>
        </w:rPr>
        <w:t xml:space="preserve">” </w:t>
      </w:r>
      <w:r w:rsidR="00674DD9" w:rsidRPr="007B25AE">
        <w:rPr>
          <w:rFonts w:ascii="Baskerville" w:eastAsia="MS PMincho" w:hAnsi="Baskerville" w:cs="Arabic Typesetting"/>
        </w:rPr>
        <w:t xml:space="preserve">in lieu </w:t>
      </w:r>
      <w:r w:rsidR="00825DA1" w:rsidRPr="007B25AE">
        <w:rPr>
          <w:rFonts w:ascii="Baskerville" w:eastAsia="MS PMincho" w:hAnsi="Baskerville" w:cs="Arabic Typesetting"/>
        </w:rPr>
        <w:t>of</w:t>
      </w:r>
      <w:r w:rsidR="00674DD9" w:rsidRPr="007B25AE">
        <w:rPr>
          <w:rFonts w:ascii="Baskerville" w:eastAsia="MS PMincho" w:hAnsi="Baskerville" w:cs="Arabic Typesetting"/>
        </w:rPr>
        <w:t xml:space="preserve"> </w:t>
      </w:r>
      <w:r w:rsidR="001653DA" w:rsidRPr="007B25AE">
        <w:rPr>
          <w:rFonts w:ascii="Baskerville" w:eastAsia="MS PMincho" w:hAnsi="Baskerville" w:cs="Arabic Typesetting"/>
        </w:rPr>
        <w:t>conventional</w:t>
      </w:r>
      <w:r w:rsidR="009374F0" w:rsidRPr="007B25AE">
        <w:rPr>
          <w:rFonts w:ascii="Baskerville" w:eastAsia="MS PMincho" w:hAnsi="Baskerville" w:cs="Arabic Typesetting"/>
        </w:rPr>
        <w:t xml:space="preserve"> </w:t>
      </w:r>
      <w:r w:rsidR="004D5421" w:rsidRPr="007B25AE">
        <w:rPr>
          <w:rFonts w:ascii="Baskerville" w:eastAsia="MS PMincho" w:hAnsi="Baskerville" w:cs="Arabic Typesetting"/>
        </w:rPr>
        <w:t>hypothes</w:t>
      </w:r>
      <w:r w:rsidR="002C0E8E" w:rsidRPr="007B25AE">
        <w:rPr>
          <w:rFonts w:ascii="Baskerville" w:eastAsia="MS PMincho" w:hAnsi="Baskerville" w:cs="Arabic Typesetting"/>
        </w:rPr>
        <w:t>e</w:t>
      </w:r>
      <w:r w:rsidR="004D5421" w:rsidRPr="007B25AE">
        <w:rPr>
          <w:rFonts w:ascii="Baskerville" w:eastAsia="MS PMincho" w:hAnsi="Baskerville" w:cs="Arabic Typesetting"/>
        </w:rPr>
        <w:t>s</w:t>
      </w:r>
      <w:r w:rsidR="00BA338D" w:rsidRPr="007B25AE">
        <w:rPr>
          <w:rFonts w:ascii="Baskerville" w:eastAsia="MS PMincho" w:hAnsi="Baskerville" w:cs="Arabic Typesetting"/>
        </w:rPr>
        <w:t>,</w:t>
      </w:r>
      <w:r w:rsidR="009374F0" w:rsidRPr="007B25AE">
        <w:rPr>
          <w:rFonts w:ascii="Baskerville" w:eastAsia="MS PMincho" w:hAnsi="Baskerville" w:cs="Arabic Typesetting"/>
        </w:rPr>
        <w:t xml:space="preserve"> or</w:t>
      </w:r>
      <w:r w:rsidR="004D5421" w:rsidRPr="007B25AE">
        <w:rPr>
          <w:rFonts w:ascii="Baskerville" w:eastAsia="MS PMincho" w:hAnsi="Baskerville" w:cs="Arabic Typesetting"/>
        </w:rPr>
        <w:t xml:space="preserve">, </w:t>
      </w:r>
      <w:r w:rsidR="006B7B01" w:rsidRPr="007B25AE">
        <w:rPr>
          <w:rFonts w:ascii="Baskerville" w:eastAsia="MS PMincho" w:hAnsi="Baskerville" w:cs="Arabic Typesetting"/>
        </w:rPr>
        <w:t>conventional hypothes</w:t>
      </w:r>
      <w:r w:rsidR="002C0E8E" w:rsidRPr="007B25AE">
        <w:rPr>
          <w:rFonts w:ascii="Baskerville" w:eastAsia="MS PMincho" w:hAnsi="Baskerville" w:cs="Arabic Typesetting"/>
        </w:rPr>
        <w:t>e</w:t>
      </w:r>
      <w:r w:rsidR="006B7B01" w:rsidRPr="007B25AE">
        <w:rPr>
          <w:rFonts w:ascii="Baskerville" w:eastAsia="MS PMincho" w:hAnsi="Baskerville" w:cs="Arabic Typesetting"/>
        </w:rPr>
        <w:t>s</w:t>
      </w:r>
      <w:r w:rsidR="00BA338D" w:rsidRPr="007B25AE">
        <w:rPr>
          <w:rFonts w:ascii="Baskerville" w:eastAsia="MS PMincho" w:hAnsi="Baskerville" w:cs="Arabic Typesetting"/>
        </w:rPr>
        <w:t>,</w:t>
      </w:r>
      <w:r w:rsidR="006B7B01" w:rsidRPr="007B25AE">
        <w:rPr>
          <w:rFonts w:ascii="Baskerville" w:eastAsia="MS PMincho" w:hAnsi="Baskerville" w:cs="Arabic Typesetting"/>
        </w:rPr>
        <w:t xml:space="preserve"> by </w:t>
      </w:r>
      <w:r w:rsidR="002C0E8E" w:rsidRPr="007B25AE">
        <w:rPr>
          <w:rFonts w:ascii="Baskerville" w:eastAsia="MS PMincho" w:hAnsi="Baskerville" w:cs="Arabic Typesetting"/>
        </w:rPr>
        <w:t>them</w:t>
      </w:r>
      <w:r w:rsidR="006B7B01" w:rsidRPr="007B25AE">
        <w:rPr>
          <w:rFonts w:ascii="Baskerville" w:eastAsia="MS PMincho" w:hAnsi="Baskerville" w:cs="Arabic Typesetting"/>
        </w:rPr>
        <w:t>sel</w:t>
      </w:r>
      <w:r w:rsidR="002C0E8E" w:rsidRPr="007B25AE">
        <w:rPr>
          <w:rFonts w:ascii="Baskerville" w:eastAsia="MS PMincho" w:hAnsi="Baskerville" w:cs="Arabic Typesetting"/>
        </w:rPr>
        <w:t>ves</w:t>
      </w:r>
      <w:r w:rsidR="004D5421" w:rsidRPr="007B25AE">
        <w:rPr>
          <w:rFonts w:ascii="Baskerville" w:eastAsia="MS PMincho" w:hAnsi="Baskerville" w:cs="Arabic Typesetting"/>
        </w:rPr>
        <w:t>.</w:t>
      </w:r>
      <w:r w:rsidR="00875E03" w:rsidRPr="007B25AE">
        <w:rPr>
          <w:rFonts w:ascii="Baskerville" w:eastAsia="MS PMincho" w:hAnsi="Baskerville" w:cs="Arabic Typesetting"/>
        </w:rPr>
        <w:t xml:space="preserve"> </w:t>
      </w:r>
      <w:r w:rsidR="00864A74" w:rsidRPr="007B25AE">
        <w:rPr>
          <w:rFonts w:ascii="Baskerville" w:eastAsia="MS PMincho" w:hAnsi="Baskerville" w:cs="Arabic Typesetting"/>
        </w:rPr>
        <w:t xml:space="preserve">Further, </w:t>
      </w:r>
      <w:r w:rsidR="006B7B01" w:rsidRPr="007B25AE">
        <w:rPr>
          <w:rFonts w:ascii="Baskerville" w:eastAsia="MS PMincho" w:hAnsi="Baskerville" w:cs="Arabic Typesetting"/>
        </w:rPr>
        <w:t xml:space="preserve">looking at a </w:t>
      </w:r>
      <w:r w:rsidR="00BA338D" w:rsidRPr="007B25AE">
        <w:rPr>
          <w:rFonts w:ascii="Baskerville" w:eastAsia="MS PMincho" w:hAnsi="Baskerville" w:cs="Arabic Typesetting"/>
        </w:rPr>
        <w:t xml:space="preserve">whole </w:t>
      </w:r>
      <w:r w:rsidR="006B7B01" w:rsidRPr="007B25AE">
        <w:rPr>
          <w:rFonts w:ascii="Baskerville" w:eastAsia="MS PMincho" w:hAnsi="Baskerville" w:cs="Arabic Typesetting"/>
        </w:rPr>
        <w:t>cross</w:t>
      </w:r>
      <w:r w:rsidR="00BA338D" w:rsidRPr="007B25AE">
        <w:rPr>
          <w:rFonts w:ascii="Baskerville" w:eastAsia="MS PMincho" w:hAnsi="Baskerville" w:cs="Arabic Typesetting"/>
        </w:rPr>
        <w:t>-</w:t>
      </w:r>
      <w:r w:rsidR="006B7B01" w:rsidRPr="007B25AE">
        <w:rPr>
          <w:rFonts w:ascii="Baskerville" w:eastAsia="MS PMincho" w:hAnsi="Baskerville" w:cs="Arabic Typesetting"/>
        </w:rPr>
        <w:t xml:space="preserve">section of </w:t>
      </w:r>
      <w:r w:rsidR="00BA338D" w:rsidRPr="007B25AE">
        <w:rPr>
          <w:rFonts w:ascii="Baskerville" w:eastAsia="MS PMincho" w:hAnsi="Baskerville" w:cs="Arabic Typesetting"/>
        </w:rPr>
        <w:t xml:space="preserve">scholarly research, </w:t>
      </w:r>
      <w:r w:rsidR="00875E03" w:rsidRPr="007B25AE">
        <w:rPr>
          <w:rFonts w:ascii="Baskerville" w:eastAsia="MS PMincho" w:hAnsi="Baskerville" w:cs="Arabic Typesetting"/>
        </w:rPr>
        <w:t xml:space="preserve">I </w:t>
      </w:r>
      <w:r w:rsidR="00864A74" w:rsidRPr="007B25AE">
        <w:rPr>
          <w:rFonts w:ascii="Baskerville" w:eastAsia="MS PMincho" w:hAnsi="Baskerville" w:cs="Arabic Typesetting"/>
        </w:rPr>
        <w:t xml:space="preserve">have </w:t>
      </w:r>
      <w:r w:rsidR="00875E03" w:rsidRPr="007B25AE">
        <w:rPr>
          <w:rFonts w:ascii="Baskerville" w:eastAsia="MS PMincho" w:hAnsi="Baskerville" w:cs="Arabic Typesetting"/>
        </w:rPr>
        <w:t>g</w:t>
      </w:r>
      <w:r w:rsidR="00864A74" w:rsidRPr="007B25AE">
        <w:rPr>
          <w:rFonts w:ascii="Baskerville" w:eastAsia="MS PMincho" w:hAnsi="Baskerville" w:cs="Arabic Typesetting"/>
        </w:rPr>
        <w:t>o</w:t>
      </w:r>
      <w:r w:rsidR="00875E03" w:rsidRPr="007B25AE">
        <w:rPr>
          <w:rFonts w:ascii="Baskerville" w:eastAsia="MS PMincho" w:hAnsi="Baskerville" w:cs="Arabic Typesetting"/>
        </w:rPr>
        <w:t>t</w:t>
      </w:r>
      <w:r w:rsidR="00864A74" w:rsidRPr="007B25AE">
        <w:rPr>
          <w:rFonts w:ascii="Baskerville" w:eastAsia="MS PMincho" w:hAnsi="Baskerville" w:cs="Arabic Typesetting"/>
        </w:rPr>
        <w:t>ten</w:t>
      </w:r>
      <w:r w:rsidR="00875E03" w:rsidRPr="007B25AE">
        <w:rPr>
          <w:rFonts w:ascii="Baskerville" w:eastAsia="MS PMincho" w:hAnsi="Baskerville" w:cs="Arabic Typesetting"/>
        </w:rPr>
        <w:t xml:space="preserve"> the impression that, even though researchers </w:t>
      </w:r>
      <w:r w:rsidR="00864A74" w:rsidRPr="007B25AE">
        <w:rPr>
          <w:rFonts w:ascii="Baskerville" w:eastAsia="MS PMincho" w:hAnsi="Baskerville" w:cs="Arabic Typesetting"/>
        </w:rPr>
        <w:t xml:space="preserve">tend to </w:t>
      </w:r>
      <w:r w:rsidR="00875E03" w:rsidRPr="007B25AE">
        <w:rPr>
          <w:rFonts w:ascii="Baskerville" w:eastAsia="MS PMincho" w:hAnsi="Baskerville" w:cs="Arabic Typesetting"/>
        </w:rPr>
        <w:t xml:space="preserve">use several hypotheses, they only seem to </w:t>
      </w:r>
      <w:r w:rsidR="00825DA1" w:rsidRPr="007B25AE">
        <w:rPr>
          <w:rFonts w:ascii="Baskerville" w:eastAsia="MS PMincho" w:hAnsi="Baskerville" w:cs="Arabic Typesetting"/>
        </w:rPr>
        <w:t xml:space="preserve">conduct the hypothesis test </w:t>
      </w:r>
      <w:r w:rsidR="00BA338D" w:rsidRPr="007B25AE">
        <w:rPr>
          <w:rFonts w:ascii="Baskerville" w:eastAsia="MS PMincho" w:hAnsi="Baskerville" w:cs="Arabic Typesetting"/>
        </w:rPr>
        <w:t xml:space="preserve">in connection </w:t>
      </w:r>
      <w:r w:rsidR="002C0E8E" w:rsidRPr="007B25AE">
        <w:rPr>
          <w:rFonts w:ascii="Baskerville" w:eastAsia="MS PMincho" w:hAnsi="Baskerville" w:cs="Arabic Typesetting"/>
        </w:rPr>
        <w:t>with</w:t>
      </w:r>
      <w:r w:rsidR="00BA338D" w:rsidRPr="007B25AE">
        <w:rPr>
          <w:rFonts w:ascii="Baskerville" w:eastAsia="MS PMincho" w:hAnsi="Baskerville" w:cs="Arabic Typesetting"/>
        </w:rPr>
        <w:t xml:space="preserve"> </w:t>
      </w:r>
      <w:r w:rsidR="001653DA" w:rsidRPr="007B25AE">
        <w:rPr>
          <w:rFonts w:ascii="Baskerville" w:eastAsia="MS PMincho" w:hAnsi="Baskerville" w:cs="Arabic Typesetting"/>
        </w:rPr>
        <w:t xml:space="preserve">one, </w:t>
      </w:r>
      <w:r w:rsidR="002C0E8E" w:rsidRPr="007B25AE">
        <w:rPr>
          <w:rFonts w:ascii="Baskerville" w:eastAsia="MS PMincho" w:hAnsi="Baskerville" w:cs="Arabic Typesetting"/>
        </w:rPr>
        <w:t xml:space="preserve">the </w:t>
      </w:r>
      <w:r w:rsidR="00875E03" w:rsidRPr="007B25AE">
        <w:rPr>
          <w:rFonts w:ascii="Baskerville" w:eastAsia="MS PMincho" w:hAnsi="Baskerville" w:cs="Arabic Typesetting"/>
        </w:rPr>
        <w:t xml:space="preserve">“primary” </w:t>
      </w:r>
      <w:r w:rsidR="00BA338D" w:rsidRPr="007B25AE">
        <w:rPr>
          <w:rFonts w:ascii="Baskerville" w:eastAsia="MS PMincho" w:hAnsi="Baskerville" w:cs="Arabic Typesetting"/>
        </w:rPr>
        <w:t>hypothesis</w:t>
      </w:r>
      <w:r w:rsidR="006D3352" w:rsidRPr="007B25AE">
        <w:rPr>
          <w:rFonts w:ascii="Baskerville" w:eastAsia="MS PMincho" w:hAnsi="Baskerville" w:cs="Arabic Typesetting"/>
        </w:rPr>
        <w:t>. Therefore, once th</w:t>
      </w:r>
      <w:r w:rsidR="002C0E8E" w:rsidRPr="007B25AE">
        <w:rPr>
          <w:rFonts w:ascii="Baskerville" w:eastAsia="MS PMincho" w:hAnsi="Baskerville" w:cs="Arabic Typesetting"/>
        </w:rPr>
        <w:t>is</w:t>
      </w:r>
      <w:r w:rsidR="006D3352" w:rsidRPr="007B25AE">
        <w:rPr>
          <w:rFonts w:ascii="Baskerville" w:eastAsia="MS PMincho" w:hAnsi="Baskerville" w:cs="Arabic Typesetting"/>
        </w:rPr>
        <w:t xml:space="preserve"> primary hypothesis is formulated</w:t>
      </w:r>
      <w:r w:rsidR="00F4465D" w:rsidRPr="007B25AE">
        <w:rPr>
          <w:rFonts w:ascii="Baskerville" w:eastAsia="MS PMincho" w:hAnsi="Baskerville" w:cs="Arabic Typesetting"/>
        </w:rPr>
        <w:t>,</w:t>
      </w:r>
      <w:r w:rsidR="006D3352" w:rsidRPr="007B25AE">
        <w:rPr>
          <w:rFonts w:ascii="Baskerville" w:eastAsia="MS PMincho" w:hAnsi="Baskerville" w:cs="Arabic Typesetting"/>
        </w:rPr>
        <w:t xml:space="preserve"> </w:t>
      </w:r>
      <w:r w:rsidR="00F4465D" w:rsidRPr="007B25AE">
        <w:rPr>
          <w:rFonts w:ascii="Baskerville" w:eastAsia="MS PMincho" w:hAnsi="Baskerville" w:cs="Arabic Typesetting"/>
        </w:rPr>
        <w:t xml:space="preserve">a null hypothesis, </w:t>
      </w:r>
      <w:r w:rsidR="002F0FE2" w:rsidRPr="007B25AE">
        <w:rPr>
          <w:rFonts w:ascii="Baskerville" w:eastAsia="MS PMincho" w:hAnsi="Baskerville" w:cs="Arabic Typesetting"/>
        </w:rPr>
        <w:t xml:space="preserve">which is </w:t>
      </w:r>
      <w:r w:rsidR="00F4465D" w:rsidRPr="007B25AE">
        <w:rPr>
          <w:rFonts w:ascii="Baskerville" w:eastAsia="MS PMincho" w:hAnsi="Baskerville" w:cs="Arabic Typesetting"/>
        </w:rPr>
        <w:t xml:space="preserve">the “inverse” of the primary, </w:t>
      </w:r>
      <w:r w:rsidR="002C0E8E" w:rsidRPr="007B25AE">
        <w:rPr>
          <w:rFonts w:ascii="Baskerville" w:eastAsia="MS PMincho" w:hAnsi="Baskerville" w:cs="Arabic Typesetting"/>
        </w:rPr>
        <w:t>i</w:t>
      </w:r>
      <w:r w:rsidR="00F4465D" w:rsidRPr="007B25AE">
        <w:rPr>
          <w:rFonts w:ascii="Baskerville" w:eastAsia="MS PMincho" w:hAnsi="Baskerville" w:cs="Arabic Typesetting"/>
        </w:rPr>
        <w:t>s</w:t>
      </w:r>
      <w:r w:rsidR="00864A74" w:rsidRPr="007B25AE">
        <w:rPr>
          <w:rFonts w:ascii="Baskerville" w:eastAsia="MS PMincho" w:hAnsi="Baskerville" w:cs="Arabic Typesetting"/>
        </w:rPr>
        <w:t xml:space="preserve"> </w:t>
      </w:r>
      <w:r w:rsidR="001653DA" w:rsidRPr="007B25AE">
        <w:rPr>
          <w:rFonts w:ascii="Baskerville" w:eastAsia="MS PMincho" w:hAnsi="Baskerville" w:cs="Arabic Typesetting"/>
        </w:rPr>
        <w:t>formula</w:t>
      </w:r>
      <w:r w:rsidR="00F4465D" w:rsidRPr="007B25AE">
        <w:rPr>
          <w:rFonts w:ascii="Baskerville" w:eastAsia="MS PMincho" w:hAnsi="Baskerville" w:cs="Arabic Typesetting"/>
        </w:rPr>
        <w:t>ted and tested to determine the amount</w:t>
      </w:r>
      <w:r w:rsidR="002F0FE2" w:rsidRPr="007B25AE">
        <w:rPr>
          <w:rFonts w:ascii="Baskerville" w:eastAsia="MS PMincho" w:hAnsi="Baskerville" w:cs="Arabic Typesetting"/>
        </w:rPr>
        <w:t>,</w:t>
      </w:r>
      <w:r w:rsidR="00F4465D" w:rsidRPr="007B25AE">
        <w:rPr>
          <w:rFonts w:ascii="Baskerville" w:eastAsia="MS PMincho" w:hAnsi="Baskerville" w:cs="Arabic Typesetting"/>
        </w:rPr>
        <w:t xml:space="preserve"> or </w:t>
      </w:r>
      <w:r w:rsidR="00F0332B" w:rsidRPr="007B25AE">
        <w:rPr>
          <w:rFonts w:ascii="Baskerville" w:eastAsia="MS PMincho" w:hAnsi="Baskerville" w:cs="Arabic Typesetting"/>
        </w:rPr>
        <w:t xml:space="preserve">the </w:t>
      </w:r>
      <w:r w:rsidR="00F4465D" w:rsidRPr="007B25AE">
        <w:rPr>
          <w:rFonts w:ascii="Baskerville" w:eastAsia="MS PMincho" w:hAnsi="Baskerville" w:cs="Arabic Typesetting"/>
        </w:rPr>
        <w:t xml:space="preserve">extent </w:t>
      </w:r>
      <w:r w:rsidR="00A1205F" w:rsidRPr="007B25AE">
        <w:rPr>
          <w:rFonts w:ascii="Baskerville" w:eastAsia="MS PMincho" w:hAnsi="Baskerville" w:cs="Arabic Typesetting"/>
        </w:rPr>
        <w:t>to which there are</w:t>
      </w:r>
      <w:r w:rsidR="00F4465D" w:rsidRPr="007B25AE">
        <w:rPr>
          <w:rFonts w:ascii="Baskerville" w:eastAsia="MS PMincho" w:hAnsi="Baskerville" w:cs="Arabic Typesetting"/>
        </w:rPr>
        <w:t xml:space="preserve"> errors in the sam</w:t>
      </w:r>
      <w:r w:rsidR="00A1205F" w:rsidRPr="007B25AE">
        <w:rPr>
          <w:rFonts w:ascii="Baskerville" w:eastAsia="MS PMincho" w:hAnsi="Baskerville" w:cs="Arabic Typesetting"/>
        </w:rPr>
        <w:t>p</w:t>
      </w:r>
      <w:r w:rsidR="00F4465D" w:rsidRPr="007B25AE">
        <w:rPr>
          <w:rFonts w:ascii="Baskerville" w:eastAsia="MS PMincho" w:hAnsi="Baskerville" w:cs="Arabic Typesetting"/>
        </w:rPr>
        <w:t>ling.</w:t>
      </w:r>
      <w:r w:rsidR="006D3352" w:rsidRPr="007B25AE">
        <w:rPr>
          <w:rFonts w:ascii="Baskerville" w:eastAsia="MS PMincho" w:hAnsi="Baskerville" w:cs="Arabic Typesetting"/>
        </w:rPr>
        <w:t xml:space="preserve"> </w:t>
      </w:r>
    </w:p>
    <w:p w14:paraId="103E7736" w14:textId="6EA15FFF" w:rsidR="008C2B1F" w:rsidRPr="007B25AE" w:rsidRDefault="00864A74" w:rsidP="0086079D">
      <w:pPr>
        <w:spacing w:line="360" w:lineRule="auto"/>
        <w:ind w:firstLine="720"/>
        <w:rPr>
          <w:rFonts w:ascii="Baskerville" w:eastAsia="MS PMincho" w:hAnsi="Baskerville" w:cs="Arabic Typesetting"/>
        </w:rPr>
      </w:pPr>
      <w:r w:rsidRPr="007B25AE">
        <w:rPr>
          <w:rFonts w:ascii="Baskerville" w:eastAsia="MS PMincho" w:hAnsi="Baskerville" w:cs="Arabic Typesetting"/>
        </w:rPr>
        <w:t>As a result</w:t>
      </w:r>
      <w:r w:rsidR="00A1205F" w:rsidRPr="007B25AE">
        <w:rPr>
          <w:rFonts w:ascii="Baskerville" w:eastAsia="MS PMincho" w:hAnsi="Baskerville" w:cs="Arabic Typesetting"/>
        </w:rPr>
        <w:t xml:space="preserve">, while the </w:t>
      </w:r>
      <w:r w:rsidR="001653DA" w:rsidRPr="007B25AE">
        <w:rPr>
          <w:rFonts w:ascii="Baskerville" w:eastAsia="MS PMincho" w:hAnsi="Baskerville" w:cs="Arabic Typesetting"/>
        </w:rPr>
        <w:t xml:space="preserve">primary </w:t>
      </w:r>
      <w:r w:rsidR="00A1205F" w:rsidRPr="007B25AE">
        <w:rPr>
          <w:rFonts w:ascii="Baskerville" w:eastAsia="MS PMincho" w:hAnsi="Baskerville" w:cs="Arabic Typesetting"/>
        </w:rPr>
        <w:t xml:space="preserve">hypothesis is </w:t>
      </w:r>
      <w:proofErr w:type="gramStart"/>
      <w:r w:rsidRPr="007B25AE">
        <w:rPr>
          <w:rFonts w:ascii="Baskerville" w:eastAsia="MS PMincho" w:hAnsi="Baskerville" w:cs="Arabic Typesetting"/>
        </w:rPr>
        <w:t xml:space="preserve">actually </w:t>
      </w:r>
      <w:r w:rsidR="001653DA" w:rsidRPr="007B25AE">
        <w:rPr>
          <w:rFonts w:ascii="Baskerville" w:eastAsia="MS PMincho" w:hAnsi="Baskerville" w:cs="Arabic Typesetting"/>
        </w:rPr>
        <w:t>the</w:t>
      </w:r>
      <w:proofErr w:type="gramEnd"/>
      <w:r w:rsidR="001653DA" w:rsidRPr="007B25AE">
        <w:rPr>
          <w:rFonts w:ascii="Baskerville" w:eastAsia="MS PMincho" w:hAnsi="Baskerville" w:cs="Arabic Typesetting"/>
        </w:rPr>
        <w:t xml:space="preserve"> central</w:t>
      </w:r>
      <w:r w:rsidRPr="007B25AE">
        <w:rPr>
          <w:rFonts w:ascii="Baskerville" w:eastAsia="MS PMincho" w:hAnsi="Baskerville" w:cs="Arabic Typesetting"/>
        </w:rPr>
        <w:t xml:space="preserve"> </w:t>
      </w:r>
      <w:r w:rsidR="00A1205F" w:rsidRPr="007B25AE">
        <w:rPr>
          <w:rFonts w:ascii="Baskerville" w:eastAsia="MS PMincho" w:hAnsi="Baskerville" w:cs="Arabic Typesetting"/>
        </w:rPr>
        <w:t>theor</w:t>
      </w:r>
      <w:r w:rsidRPr="007B25AE">
        <w:rPr>
          <w:rFonts w:ascii="Baskerville" w:eastAsia="MS PMincho" w:hAnsi="Baskerville" w:cs="Arabic Typesetting"/>
        </w:rPr>
        <w:t>y</w:t>
      </w:r>
      <w:r w:rsidR="00A1205F" w:rsidRPr="007B25AE">
        <w:rPr>
          <w:rFonts w:ascii="Baskerville" w:eastAsia="MS PMincho" w:hAnsi="Baskerville" w:cs="Arabic Typesetting"/>
        </w:rPr>
        <w:t xml:space="preserve"> about the </w:t>
      </w:r>
      <w:r w:rsidR="00825DA1" w:rsidRPr="007B25AE">
        <w:rPr>
          <w:rFonts w:ascii="Baskerville" w:eastAsia="MS PMincho" w:hAnsi="Baskerville" w:cs="Arabic Typesetting"/>
        </w:rPr>
        <w:t xml:space="preserve">probable </w:t>
      </w:r>
      <w:r w:rsidR="00A1205F" w:rsidRPr="007B25AE">
        <w:rPr>
          <w:rFonts w:ascii="Baskerville" w:eastAsia="MS PMincho" w:hAnsi="Baskerville" w:cs="Arabic Typesetting"/>
        </w:rPr>
        <w:t xml:space="preserve">existence of </w:t>
      </w:r>
      <w:r w:rsidR="002F0FE2" w:rsidRPr="007B25AE">
        <w:rPr>
          <w:rFonts w:ascii="Baskerville" w:eastAsia="MS PMincho" w:hAnsi="Baskerville" w:cs="Arabic Typesetting"/>
        </w:rPr>
        <w:t xml:space="preserve">a </w:t>
      </w:r>
      <w:r w:rsidR="00A1205F" w:rsidRPr="007B25AE">
        <w:rPr>
          <w:rFonts w:ascii="Baskerville" w:eastAsia="MS PMincho" w:hAnsi="Baskerville" w:cs="Arabic Typesetting"/>
        </w:rPr>
        <w:t>certain problem</w:t>
      </w:r>
      <w:r w:rsidR="001653DA" w:rsidRPr="007B25AE">
        <w:rPr>
          <w:rFonts w:ascii="Baskerville" w:eastAsia="MS PMincho" w:hAnsi="Baskerville" w:cs="Arabic Typesetting"/>
        </w:rPr>
        <w:t>,</w:t>
      </w:r>
      <w:r w:rsidR="00A1205F" w:rsidRPr="007B25AE">
        <w:rPr>
          <w:rFonts w:ascii="Baskerville" w:eastAsia="MS PMincho" w:hAnsi="Baskerville" w:cs="Arabic Typesetting"/>
        </w:rPr>
        <w:t xml:space="preserve"> and </w:t>
      </w:r>
      <w:r w:rsidR="0026095D" w:rsidRPr="007B25AE">
        <w:rPr>
          <w:rFonts w:ascii="Baskerville" w:eastAsia="MS PMincho" w:hAnsi="Baskerville" w:cs="Arabic Typesetting"/>
        </w:rPr>
        <w:t xml:space="preserve">what </w:t>
      </w:r>
      <w:r w:rsidR="00A1205F" w:rsidRPr="007B25AE">
        <w:rPr>
          <w:rFonts w:ascii="Baskerville" w:eastAsia="MS PMincho" w:hAnsi="Baskerville" w:cs="Arabic Typesetting"/>
        </w:rPr>
        <w:t xml:space="preserve">the probable fix for </w:t>
      </w:r>
      <w:r w:rsidR="002F0FE2" w:rsidRPr="007B25AE">
        <w:rPr>
          <w:rFonts w:ascii="Baskerville" w:eastAsia="MS PMincho" w:hAnsi="Baskerville" w:cs="Arabic Typesetting"/>
        </w:rPr>
        <w:t>it</w:t>
      </w:r>
      <w:r w:rsidR="0026095D" w:rsidRPr="007B25AE">
        <w:rPr>
          <w:rFonts w:ascii="Baskerville" w:eastAsia="MS PMincho" w:hAnsi="Baskerville" w:cs="Arabic Typesetting"/>
        </w:rPr>
        <w:t xml:space="preserve"> might be</w:t>
      </w:r>
      <w:r w:rsidR="00A1205F" w:rsidRPr="007B25AE">
        <w:rPr>
          <w:rFonts w:ascii="Baskerville" w:eastAsia="MS PMincho" w:hAnsi="Baskerville" w:cs="Arabic Typesetting"/>
        </w:rPr>
        <w:t xml:space="preserve">, the researcher </w:t>
      </w:r>
      <w:r w:rsidR="0026095D" w:rsidRPr="007B25AE">
        <w:rPr>
          <w:rFonts w:ascii="Baskerville" w:eastAsia="MS PMincho" w:hAnsi="Baskerville" w:cs="Arabic Typesetting"/>
        </w:rPr>
        <w:t>has to answer the call to</w:t>
      </w:r>
      <w:r w:rsidR="002F0FE2" w:rsidRPr="007B25AE">
        <w:rPr>
          <w:rFonts w:ascii="Baskerville" w:eastAsia="MS PMincho" w:hAnsi="Baskerville" w:cs="Arabic Typesetting"/>
        </w:rPr>
        <w:t xml:space="preserve"> determine </w:t>
      </w:r>
      <w:r w:rsidR="00A1205F" w:rsidRPr="007B25AE">
        <w:rPr>
          <w:rFonts w:ascii="Baskerville" w:eastAsia="MS PMincho" w:hAnsi="Baskerville" w:cs="Arabic Typesetting"/>
        </w:rPr>
        <w:t xml:space="preserve">whether there is </w:t>
      </w:r>
      <w:r w:rsidR="00825DA1" w:rsidRPr="007B25AE">
        <w:rPr>
          <w:rFonts w:ascii="Baskerville" w:eastAsia="MS PMincho" w:hAnsi="Baskerville" w:cs="Arabic Typesetting"/>
        </w:rPr>
        <w:t xml:space="preserve">a large </w:t>
      </w:r>
      <w:r w:rsidR="0026095D" w:rsidRPr="007B25AE">
        <w:rPr>
          <w:rFonts w:ascii="Baskerville" w:eastAsia="MS PMincho" w:hAnsi="Baskerville" w:cs="Arabic Typesetting"/>
        </w:rPr>
        <w:t>enough</w:t>
      </w:r>
      <w:r w:rsidR="00A1205F" w:rsidRPr="007B25AE">
        <w:rPr>
          <w:rFonts w:ascii="Baskerville" w:eastAsia="MS PMincho" w:hAnsi="Baskerville" w:cs="Arabic Typesetting"/>
        </w:rPr>
        <w:t xml:space="preserve"> body of </w:t>
      </w:r>
      <w:r w:rsidR="002F0FE2" w:rsidRPr="007B25AE">
        <w:rPr>
          <w:rFonts w:ascii="Baskerville" w:eastAsia="MS PMincho" w:hAnsi="Baskerville" w:cs="Arabic Typesetting"/>
        </w:rPr>
        <w:t xml:space="preserve">expert opinions </w:t>
      </w:r>
      <w:r w:rsidR="002C0E8E" w:rsidRPr="007B25AE">
        <w:rPr>
          <w:rFonts w:ascii="Baskerville" w:eastAsia="MS PMincho" w:hAnsi="Baskerville" w:cs="Arabic Typesetting"/>
        </w:rPr>
        <w:t xml:space="preserve">on </w:t>
      </w:r>
      <w:r w:rsidR="0026095D" w:rsidRPr="007B25AE">
        <w:rPr>
          <w:rFonts w:ascii="Baskerville" w:eastAsia="MS PMincho" w:hAnsi="Baskerville" w:cs="Arabic Typesetting"/>
        </w:rPr>
        <w:t>th</w:t>
      </w:r>
      <w:r w:rsidR="002C0E8E" w:rsidRPr="007B25AE">
        <w:rPr>
          <w:rFonts w:ascii="Baskerville" w:eastAsia="MS PMincho" w:hAnsi="Baskerville" w:cs="Arabic Typesetting"/>
        </w:rPr>
        <w:t>e</w:t>
      </w:r>
      <w:r w:rsidR="0026095D" w:rsidRPr="007B25AE">
        <w:rPr>
          <w:rFonts w:ascii="Baskerville" w:eastAsia="MS PMincho" w:hAnsi="Baskerville" w:cs="Arabic Typesetting"/>
        </w:rPr>
        <w:t xml:space="preserve"> topical issues related </w:t>
      </w:r>
      <w:r w:rsidR="001653DA" w:rsidRPr="007B25AE">
        <w:rPr>
          <w:rFonts w:ascii="Baskerville" w:eastAsia="MS PMincho" w:hAnsi="Baskerville" w:cs="Arabic Typesetting"/>
        </w:rPr>
        <w:t>t</w:t>
      </w:r>
      <w:r w:rsidR="002F0FE2" w:rsidRPr="007B25AE">
        <w:rPr>
          <w:rFonts w:ascii="Baskerville" w:eastAsia="MS PMincho" w:hAnsi="Baskerville" w:cs="Arabic Typesetting"/>
        </w:rPr>
        <w:t>o the</w:t>
      </w:r>
      <w:r w:rsidR="001653DA" w:rsidRPr="007B25AE">
        <w:rPr>
          <w:rFonts w:ascii="Baskerville" w:eastAsia="MS PMincho" w:hAnsi="Baskerville" w:cs="Arabic Typesetting"/>
        </w:rPr>
        <w:t xml:space="preserve"> problem </w:t>
      </w:r>
      <w:r w:rsidR="00825DA1" w:rsidRPr="007B25AE">
        <w:rPr>
          <w:rFonts w:ascii="Baskerville" w:eastAsia="MS PMincho" w:hAnsi="Baskerville" w:cs="Arabic Typesetting"/>
        </w:rPr>
        <w:t xml:space="preserve">that gave rise to </w:t>
      </w:r>
      <w:r w:rsidR="001653DA" w:rsidRPr="007B25AE">
        <w:rPr>
          <w:rFonts w:ascii="Baskerville" w:eastAsia="MS PMincho" w:hAnsi="Baskerville" w:cs="Arabic Typesetting"/>
        </w:rPr>
        <w:t>the dissertation</w:t>
      </w:r>
      <w:r w:rsidR="002F0FE2" w:rsidRPr="007B25AE">
        <w:rPr>
          <w:rFonts w:ascii="Baskerville" w:eastAsia="MS PMincho" w:hAnsi="Baskerville" w:cs="Arabic Typesetting"/>
        </w:rPr>
        <w:t xml:space="preserve">. With that, the researcher will want to collect </w:t>
      </w:r>
      <w:r w:rsidR="00825DA1" w:rsidRPr="007B25AE">
        <w:rPr>
          <w:rFonts w:ascii="Baskerville" w:eastAsia="MS PMincho" w:hAnsi="Baskerville" w:cs="Arabic Typesetting"/>
        </w:rPr>
        <w:t xml:space="preserve">pertinent pieces from </w:t>
      </w:r>
      <w:r w:rsidR="002F0FE2" w:rsidRPr="007B25AE">
        <w:rPr>
          <w:rFonts w:ascii="Baskerville" w:eastAsia="MS PMincho" w:hAnsi="Baskerville" w:cs="Arabic Typesetting"/>
        </w:rPr>
        <w:t>th</w:t>
      </w:r>
      <w:r w:rsidR="001653DA" w:rsidRPr="007B25AE">
        <w:rPr>
          <w:rFonts w:ascii="Baskerville" w:eastAsia="MS PMincho" w:hAnsi="Baskerville" w:cs="Arabic Typesetting"/>
        </w:rPr>
        <w:t>at body of</w:t>
      </w:r>
      <w:r w:rsidR="002F0FE2" w:rsidRPr="007B25AE">
        <w:rPr>
          <w:rFonts w:ascii="Baskerville" w:eastAsia="MS PMincho" w:hAnsi="Baskerville" w:cs="Arabic Typesetting"/>
        </w:rPr>
        <w:t xml:space="preserve"> literature</w:t>
      </w:r>
      <w:r w:rsidR="00825DA1" w:rsidRPr="007B25AE">
        <w:rPr>
          <w:rFonts w:ascii="Baskerville" w:eastAsia="MS PMincho" w:hAnsi="Baskerville" w:cs="Arabic Typesetting"/>
        </w:rPr>
        <w:t>,</w:t>
      </w:r>
      <w:r w:rsidR="002F0FE2" w:rsidRPr="007B25AE">
        <w:rPr>
          <w:rFonts w:ascii="Baskerville" w:eastAsia="MS PMincho" w:hAnsi="Baskerville" w:cs="Arabic Typesetting"/>
        </w:rPr>
        <w:t xml:space="preserve"> with </w:t>
      </w:r>
      <w:r w:rsidR="001653DA" w:rsidRPr="007B25AE">
        <w:rPr>
          <w:rFonts w:ascii="Baskerville" w:eastAsia="MS PMincho" w:hAnsi="Baskerville" w:cs="Arabic Typesetting"/>
        </w:rPr>
        <w:t xml:space="preserve">all </w:t>
      </w:r>
      <w:r w:rsidR="00825DA1" w:rsidRPr="007B25AE">
        <w:rPr>
          <w:rFonts w:ascii="Baskerville" w:eastAsia="MS PMincho" w:hAnsi="Baskerville" w:cs="Arabic Typesetting"/>
        </w:rPr>
        <w:t>its</w:t>
      </w:r>
      <w:r w:rsidR="002F0FE2" w:rsidRPr="007B25AE">
        <w:rPr>
          <w:rFonts w:ascii="Baskerville" w:eastAsia="MS PMincho" w:hAnsi="Baskerville" w:cs="Arabic Typesetting"/>
        </w:rPr>
        <w:t xml:space="preserve"> </w:t>
      </w:r>
      <w:r w:rsidR="001653DA" w:rsidRPr="007B25AE">
        <w:rPr>
          <w:rFonts w:ascii="Baskerville" w:eastAsia="MS PMincho" w:hAnsi="Baskerville" w:cs="Arabic Typesetting"/>
        </w:rPr>
        <w:t xml:space="preserve">varied </w:t>
      </w:r>
      <w:r w:rsidR="002F0FE2" w:rsidRPr="007B25AE">
        <w:rPr>
          <w:rFonts w:ascii="Baskerville" w:eastAsia="MS PMincho" w:hAnsi="Baskerville" w:cs="Arabic Typesetting"/>
        </w:rPr>
        <w:t>expert opinion</w:t>
      </w:r>
      <w:r w:rsidR="001653DA" w:rsidRPr="007B25AE">
        <w:rPr>
          <w:rFonts w:ascii="Baskerville" w:eastAsia="MS PMincho" w:hAnsi="Baskerville" w:cs="Arabic Typesetting"/>
        </w:rPr>
        <w:t>s,</w:t>
      </w:r>
      <w:r w:rsidR="002F0FE2" w:rsidRPr="007B25AE">
        <w:rPr>
          <w:rFonts w:ascii="Baskerville" w:eastAsia="MS PMincho" w:hAnsi="Baskerville" w:cs="Arabic Typesetting"/>
        </w:rPr>
        <w:t xml:space="preserve"> and </w:t>
      </w:r>
      <w:r w:rsidR="00B460BE" w:rsidRPr="007B25AE">
        <w:rPr>
          <w:rFonts w:ascii="Baskerville" w:eastAsia="MS PMincho" w:hAnsi="Baskerville" w:cs="Arabic Typesetting"/>
        </w:rPr>
        <w:t xml:space="preserve">then, </w:t>
      </w:r>
      <w:r w:rsidR="002F0FE2" w:rsidRPr="007B25AE">
        <w:rPr>
          <w:rFonts w:ascii="Baskerville" w:eastAsia="MS PMincho" w:hAnsi="Baskerville" w:cs="Arabic Typesetting"/>
        </w:rPr>
        <w:t xml:space="preserve">review </w:t>
      </w:r>
      <w:r w:rsidR="0049622B" w:rsidRPr="007B25AE">
        <w:rPr>
          <w:rFonts w:ascii="Baskerville" w:eastAsia="MS PMincho" w:hAnsi="Baskerville" w:cs="Arabic Typesetting"/>
        </w:rPr>
        <w:t>them</w:t>
      </w:r>
      <w:r w:rsidR="002F0FE2" w:rsidRPr="007B25AE">
        <w:rPr>
          <w:rFonts w:ascii="Baskerville" w:eastAsia="MS PMincho" w:hAnsi="Baskerville" w:cs="Arabic Typesetting"/>
        </w:rPr>
        <w:t xml:space="preserve">.  </w:t>
      </w:r>
      <w:r w:rsidR="00A1205F" w:rsidRPr="007B25AE">
        <w:rPr>
          <w:rFonts w:ascii="Baskerville" w:eastAsia="MS PMincho" w:hAnsi="Baskerville" w:cs="Arabic Typesetting"/>
        </w:rPr>
        <w:t xml:space="preserve"> </w:t>
      </w:r>
      <w:r w:rsidR="00875E03" w:rsidRPr="007B25AE">
        <w:rPr>
          <w:rFonts w:ascii="Baskerville" w:eastAsia="MS PMincho" w:hAnsi="Baskerville" w:cs="Arabic Typesetting"/>
        </w:rPr>
        <w:t xml:space="preserve"> </w:t>
      </w:r>
      <w:r w:rsidR="004D5421" w:rsidRPr="007B25AE">
        <w:rPr>
          <w:rFonts w:ascii="Baskerville" w:eastAsia="MS PMincho" w:hAnsi="Baskerville" w:cs="Arabic Typesetting"/>
        </w:rPr>
        <w:t xml:space="preserve">     </w:t>
      </w:r>
      <w:r w:rsidR="00403264" w:rsidRPr="007B25AE">
        <w:rPr>
          <w:rFonts w:ascii="Baskerville" w:eastAsia="MS PMincho" w:hAnsi="Baskerville" w:cs="Arabic Typesetting"/>
        </w:rPr>
        <w:t xml:space="preserve">   </w:t>
      </w:r>
      <w:r w:rsidR="0047546F" w:rsidRPr="007B25AE">
        <w:rPr>
          <w:rFonts w:ascii="Baskerville" w:eastAsia="MS PMincho" w:hAnsi="Baskerville" w:cs="Arabic Typesetting"/>
        </w:rPr>
        <w:t xml:space="preserve"> </w:t>
      </w:r>
      <w:r w:rsidR="008C2B1F" w:rsidRPr="007B25AE">
        <w:rPr>
          <w:rFonts w:ascii="Baskerville" w:eastAsia="MS PMincho" w:hAnsi="Baskerville" w:cs="Arabic Typesetting"/>
        </w:rPr>
        <w:t xml:space="preserve"> </w:t>
      </w:r>
    </w:p>
    <w:p w14:paraId="1B1BC1B0" w14:textId="3FECBC76" w:rsidR="00B646E6" w:rsidRPr="007B25AE" w:rsidRDefault="00B646E6" w:rsidP="008C2B1F">
      <w:pPr>
        <w:spacing w:line="360" w:lineRule="auto"/>
        <w:rPr>
          <w:rFonts w:ascii="Baskerville" w:eastAsia="MS PMincho" w:hAnsi="Baskerville" w:cs="Arabic Typesetting"/>
        </w:rPr>
      </w:pPr>
      <w:r w:rsidRPr="007B25AE">
        <w:rPr>
          <w:rFonts w:ascii="Baskerville" w:eastAsia="MS PMincho" w:hAnsi="Baskerville" w:cs="Arabic Typesetting"/>
          <w:b/>
          <w:bCs/>
        </w:rPr>
        <w:t>2</w:t>
      </w:r>
      <w:r w:rsidRPr="007B25AE">
        <w:rPr>
          <w:rFonts w:ascii="Baskerville" w:eastAsia="MS PMincho" w:hAnsi="Baskerville" w:cs="Arabic Typesetting"/>
        </w:rPr>
        <w:t xml:space="preserve">. </w:t>
      </w:r>
      <w:r w:rsidR="008C2B1F" w:rsidRPr="007B25AE">
        <w:rPr>
          <w:rFonts w:ascii="Baskerville" w:eastAsia="MS PMincho" w:hAnsi="Baskerville" w:cs="Arabic Typesetting"/>
          <w:b/>
          <w:bCs/>
        </w:rPr>
        <w:t>Design Differentiation</w:t>
      </w:r>
      <w:r w:rsidR="008C2B1F" w:rsidRPr="007B25AE">
        <w:rPr>
          <w:rFonts w:ascii="Baskerville" w:eastAsia="MS PMincho" w:hAnsi="Baskerville" w:cs="Arabic Typesetting"/>
        </w:rPr>
        <w:t xml:space="preserve">. </w:t>
      </w:r>
      <w:r w:rsidRPr="007B25AE">
        <w:rPr>
          <w:rFonts w:ascii="Baskerville" w:eastAsia="MS PMincho" w:hAnsi="Baskerville" w:cs="Arabic Typesetting"/>
        </w:rPr>
        <w:t>Although the “experimental” research design appears to be more aptly suited to that type of research often conducted in the natural sciences, it is also used in the social sciences as well as, and in research done</w:t>
      </w:r>
      <w:r w:rsidR="00B460BE" w:rsidRPr="007B25AE">
        <w:rPr>
          <w:rFonts w:ascii="Baskerville" w:eastAsia="MS PMincho" w:hAnsi="Baskerville" w:cs="Arabic Typesetting"/>
        </w:rPr>
        <w:t>,</w:t>
      </w:r>
      <w:r w:rsidRPr="007B25AE">
        <w:rPr>
          <w:rFonts w:ascii="Baskerville" w:eastAsia="MS PMincho" w:hAnsi="Baskerville" w:cs="Arabic Typesetting"/>
        </w:rPr>
        <w:t xml:space="preserve"> in </w:t>
      </w:r>
      <w:r w:rsidR="0049622B" w:rsidRPr="007B25AE">
        <w:rPr>
          <w:rFonts w:ascii="Baskerville" w:eastAsia="MS PMincho" w:hAnsi="Baskerville" w:cs="Arabic Typesetting"/>
        </w:rPr>
        <w:t xml:space="preserve">other </w:t>
      </w:r>
      <w:r w:rsidR="00DF0DA9" w:rsidRPr="007B25AE">
        <w:rPr>
          <w:rFonts w:ascii="Baskerville" w:eastAsia="MS PMincho" w:hAnsi="Baskerville" w:cs="Arabic Typesetting"/>
        </w:rPr>
        <w:t xml:space="preserve">fields not within the frame of the natural </w:t>
      </w:r>
      <w:r w:rsidRPr="007B25AE">
        <w:rPr>
          <w:rFonts w:ascii="Baskerville" w:eastAsia="MS PMincho" w:hAnsi="Baskerville" w:cs="Arabic Typesetting"/>
        </w:rPr>
        <w:t>scien</w:t>
      </w:r>
      <w:r w:rsidR="00DF0DA9" w:rsidRPr="007B25AE">
        <w:rPr>
          <w:rFonts w:ascii="Baskerville" w:eastAsia="MS PMincho" w:hAnsi="Baskerville" w:cs="Arabic Typesetting"/>
        </w:rPr>
        <w:t>ces</w:t>
      </w:r>
      <w:r w:rsidRPr="007B25AE">
        <w:rPr>
          <w:rFonts w:ascii="Baskerville" w:eastAsia="MS PMincho" w:hAnsi="Baskerville" w:cs="Arabic Typesetting"/>
        </w:rPr>
        <w:t xml:space="preserve">. When we hear someone say the term, “quasi-experimental design,” we are inclined to think of it as a sort of experimental research design that does not quite measure up—a kind of pseudo experimental research design that does not possess the vital defining features of the traditional experimental </w:t>
      </w:r>
      <w:r w:rsidR="00DF0DA9" w:rsidRPr="007B25AE">
        <w:rPr>
          <w:rFonts w:ascii="Baskerville" w:eastAsia="MS PMincho" w:hAnsi="Baskerville" w:cs="Arabic Typesetting"/>
        </w:rPr>
        <w:t xml:space="preserve">research </w:t>
      </w:r>
      <w:r w:rsidRPr="007B25AE">
        <w:rPr>
          <w:rFonts w:ascii="Baskerville" w:eastAsia="MS PMincho" w:hAnsi="Baskerville" w:cs="Arabic Typesetting"/>
        </w:rPr>
        <w:t xml:space="preserve">design.  </w:t>
      </w:r>
    </w:p>
    <w:p w14:paraId="12E2386F" w14:textId="2C4A2278" w:rsidR="00B646E6" w:rsidRPr="007B25AE" w:rsidRDefault="00B460BE"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Gibbons (1997) writes that t</w:t>
      </w:r>
      <w:r w:rsidR="00B646E6" w:rsidRPr="007B25AE">
        <w:rPr>
          <w:rFonts w:ascii="Baskerville" w:eastAsia="MS PMincho" w:hAnsi="Baskerville" w:cs="Arabic Typesetting"/>
        </w:rPr>
        <w:t>he quasi-experimental research design is mostly used as a vehicle for interventional studies where the causal relationship between the independent and dependent variables is a result of the manipulation of the independent variable. Throughout th</w:t>
      </w:r>
      <w:r w:rsidR="00DF0DA9" w:rsidRPr="007B25AE">
        <w:rPr>
          <w:rFonts w:ascii="Baskerville" w:eastAsia="MS PMincho" w:hAnsi="Baskerville" w:cs="Arabic Typesetting"/>
        </w:rPr>
        <w:t>is</w:t>
      </w:r>
      <w:r w:rsidR="00B646E6" w:rsidRPr="007B25AE">
        <w:rPr>
          <w:rFonts w:ascii="Baskerville" w:eastAsia="MS PMincho" w:hAnsi="Baskerville" w:cs="Arabic Typesetting"/>
        </w:rPr>
        <w:t xml:space="preserve"> process, the variables are arranged into two or more groups in ways that are consistent with the experimental aspect </w:t>
      </w:r>
      <w:proofErr w:type="gramStart"/>
      <w:r w:rsidR="00B646E6" w:rsidRPr="007B25AE">
        <w:rPr>
          <w:rFonts w:ascii="Baskerville" w:eastAsia="MS PMincho" w:hAnsi="Baskerville" w:cs="Arabic Typesetting"/>
        </w:rPr>
        <w:t>in the nature of this</w:t>
      </w:r>
      <w:proofErr w:type="gramEnd"/>
      <w:r w:rsidR="00B646E6" w:rsidRPr="007B25AE">
        <w:rPr>
          <w:rFonts w:ascii="Baskerville" w:eastAsia="MS PMincho" w:hAnsi="Baskerville" w:cs="Arabic Typesetting"/>
        </w:rPr>
        <w:t xml:space="preserve"> </w:t>
      </w:r>
      <w:r w:rsidR="00DF0DA9" w:rsidRPr="007B25AE">
        <w:rPr>
          <w:rFonts w:ascii="Baskerville" w:eastAsia="MS PMincho" w:hAnsi="Baskerville" w:cs="Arabic Typesetting"/>
        </w:rPr>
        <w:t xml:space="preserve">research </w:t>
      </w:r>
      <w:r w:rsidR="00B646E6" w:rsidRPr="007B25AE">
        <w:rPr>
          <w:rFonts w:ascii="Baskerville" w:eastAsia="MS PMincho" w:hAnsi="Baskerville" w:cs="Arabic Typesetting"/>
        </w:rPr>
        <w:t xml:space="preserve">design. To that end, two groups of the variables are organized into a “treatment” group and a “non-treatment” (placebo) group, while “[t]he predictive outcome is the dependent variable” (Gibbons, 1997). </w:t>
      </w:r>
    </w:p>
    <w:p w14:paraId="0B9BB658" w14:textId="15D15AD5" w:rsidR="00B646E6" w:rsidRPr="007B25AE" w:rsidRDefault="00C27BE1"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Morgan (2000) tells that </w:t>
      </w:r>
      <w:proofErr w:type="gramStart"/>
      <w:r w:rsidRPr="007B25AE">
        <w:rPr>
          <w:rFonts w:ascii="Baskerville" w:eastAsia="MS PMincho" w:hAnsi="Baskerville" w:cs="Arabic Typesetting"/>
        </w:rPr>
        <w:t>d</w:t>
      </w:r>
      <w:r w:rsidR="00B646E6" w:rsidRPr="007B25AE">
        <w:rPr>
          <w:rFonts w:ascii="Baskerville" w:eastAsia="MS PMincho" w:hAnsi="Baskerville" w:cs="Arabic Typesetting"/>
        </w:rPr>
        <w:t>ue to the fact that</w:t>
      </w:r>
      <w:proofErr w:type="gramEnd"/>
      <w:r w:rsidR="00B646E6" w:rsidRPr="007B25AE">
        <w:rPr>
          <w:rFonts w:ascii="Baskerville" w:eastAsia="MS PMincho" w:hAnsi="Baskerville" w:cs="Arabic Typesetting"/>
        </w:rPr>
        <w:t xml:space="preserve"> participants are randomly selected </w:t>
      </w:r>
      <w:r w:rsidRPr="007B25AE">
        <w:rPr>
          <w:rFonts w:ascii="Baskerville" w:eastAsia="MS PMincho" w:hAnsi="Baskerville" w:cs="Arabic Typesetting"/>
        </w:rPr>
        <w:t>when using</w:t>
      </w:r>
      <w:r w:rsidR="00B646E6" w:rsidRPr="007B25AE">
        <w:rPr>
          <w:rFonts w:ascii="Baskerville" w:eastAsia="MS PMincho" w:hAnsi="Baskerville" w:cs="Arabic Typesetting"/>
        </w:rPr>
        <w:t xml:space="preserve"> the traditional “experimental design</w:t>
      </w:r>
      <w:r w:rsidR="00DF0DA9" w:rsidRPr="007B25AE">
        <w:rPr>
          <w:rFonts w:ascii="Baskerville" w:eastAsia="MS PMincho" w:hAnsi="Baskerville" w:cs="Arabic Typesetting"/>
        </w:rPr>
        <w:t>,</w:t>
      </w:r>
      <w:r w:rsidR="00B646E6" w:rsidRPr="007B25AE">
        <w:rPr>
          <w:rFonts w:ascii="Baskerville" w:eastAsia="MS PMincho" w:hAnsi="Baskerville" w:cs="Arabic Typesetting"/>
        </w:rPr>
        <w:t xml:space="preserve">” the chance of bias is reduced considerably. In that kind of research, both the placebo group and the treatment group are supposedly ideal representatives of the population. In contrast, those who are picked to participate in the “quasi-experimental study” are not randomly selected; they are selected </w:t>
      </w:r>
      <w:proofErr w:type="gramStart"/>
      <w:r w:rsidR="00B646E6" w:rsidRPr="007B25AE">
        <w:rPr>
          <w:rFonts w:ascii="Baskerville" w:eastAsia="MS PMincho" w:hAnsi="Baskerville" w:cs="Arabic Typesetting"/>
        </w:rPr>
        <w:t>on the basis of</w:t>
      </w:r>
      <w:proofErr w:type="gramEnd"/>
      <w:r w:rsidR="00B646E6" w:rsidRPr="007B25AE">
        <w:rPr>
          <w:rFonts w:ascii="Baskerville" w:eastAsia="MS PMincho" w:hAnsi="Baskerville" w:cs="Arabic Typesetting"/>
        </w:rPr>
        <w:t xml:space="preserve"> predetermined criteria and qualifications. As a result, in this kind of experimental design, where some participants are given the treatment and others</w:t>
      </w:r>
      <w:r w:rsidRPr="007B25AE">
        <w:rPr>
          <w:rFonts w:ascii="Baskerville" w:eastAsia="MS PMincho" w:hAnsi="Baskerville" w:cs="Arabic Typesetting"/>
        </w:rPr>
        <w:t>,</w:t>
      </w:r>
      <w:r w:rsidR="00B646E6" w:rsidRPr="007B25AE">
        <w:rPr>
          <w:rFonts w:ascii="Baskerville" w:eastAsia="MS PMincho" w:hAnsi="Baskerville" w:cs="Arabic Typesetting"/>
        </w:rPr>
        <w:t xml:space="preserve"> the placebo, both groups of participants sometimes wind up not belonging to the targeted population, at all (Morgan, 2000). </w:t>
      </w:r>
    </w:p>
    <w:p w14:paraId="6FAF1466" w14:textId="28E7ADFA" w:rsidR="00B646E6" w:rsidRPr="007B25AE" w:rsidRDefault="00B646E6" w:rsidP="00457080">
      <w:pPr>
        <w:spacing w:line="360" w:lineRule="auto"/>
        <w:ind w:firstLine="720"/>
        <w:rPr>
          <w:rFonts w:ascii="Baskerville" w:eastAsia="MS PMincho" w:hAnsi="Baskerville" w:cs="Arabic Typesetting"/>
          <w:color w:val="FF0000"/>
        </w:rPr>
      </w:pPr>
      <w:r w:rsidRPr="007B25AE">
        <w:rPr>
          <w:rFonts w:ascii="Baskerville" w:eastAsia="MS PMincho" w:hAnsi="Baskerville" w:cs="Arabic Typesetting"/>
        </w:rPr>
        <w:t xml:space="preserve">In one respect, the quasi-experimental design, unlike the traditional </w:t>
      </w:r>
      <w:r w:rsidR="0019140D" w:rsidRPr="007B25AE">
        <w:rPr>
          <w:rFonts w:ascii="Baskerville" w:eastAsia="MS PMincho" w:hAnsi="Baskerville" w:cs="Arabic Typesetting"/>
        </w:rPr>
        <w:t>experimental design</w:t>
      </w:r>
      <w:r w:rsidRPr="007B25AE">
        <w:rPr>
          <w:rFonts w:ascii="Baskerville" w:eastAsia="MS PMincho" w:hAnsi="Baskerville" w:cs="Arabic Typesetting"/>
        </w:rPr>
        <w:t xml:space="preserve">, is advantageous because it includes “pre and post-test” components. Further, in studies that </w:t>
      </w:r>
      <w:r w:rsidR="008F7F4E" w:rsidRPr="007B25AE">
        <w:rPr>
          <w:rFonts w:ascii="Baskerville" w:eastAsia="MS PMincho" w:hAnsi="Baskerville" w:cs="Arabic Typesetting"/>
        </w:rPr>
        <w:t>can only be</w:t>
      </w:r>
      <w:r w:rsidRPr="007B25AE">
        <w:rPr>
          <w:rFonts w:ascii="Baskerville" w:eastAsia="MS PMincho" w:hAnsi="Baskerville" w:cs="Arabic Typesetting"/>
        </w:rPr>
        <w:t xml:space="preserve"> conducted through some type of experiment, but </w:t>
      </w:r>
      <w:r w:rsidR="00B24985" w:rsidRPr="007B25AE">
        <w:rPr>
          <w:rFonts w:ascii="Baskerville" w:eastAsia="MS PMincho" w:hAnsi="Baskerville" w:cs="Arabic Typesetting"/>
        </w:rPr>
        <w:t xml:space="preserve">that require that </w:t>
      </w:r>
      <w:r w:rsidR="008F7F4E" w:rsidRPr="007B25AE">
        <w:rPr>
          <w:rFonts w:ascii="Baskerville" w:eastAsia="MS PMincho" w:hAnsi="Baskerville" w:cs="Arabic Typesetting"/>
        </w:rPr>
        <w:t xml:space="preserve">the </w:t>
      </w:r>
      <w:r w:rsidRPr="007B25AE">
        <w:rPr>
          <w:rFonts w:ascii="Baskerville" w:eastAsia="MS PMincho" w:hAnsi="Baskerville" w:cs="Arabic Typesetting"/>
        </w:rPr>
        <w:t xml:space="preserve">participants </w:t>
      </w:r>
      <w:r w:rsidR="008F7F4E" w:rsidRPr="007B25AE">
        <w:rPr>
          <w:rFonts w:ascii="Baskerville" w:eastAsia="MS PMincho" w:hAnsi="Baskerville" w:cs="Arabic Typesetting"/>
        </w:rPr>
        <w:t xml:space="preserve">be screened, a </w:t>
      </w:r>
      <w:r w:rsidRPr="007B25AE">
        <w:rPr>
          <w:rFonts w:ascii="Baskerville" w:eastAsia="MS PMincho" w:hAnsi="Baskerville" w:cs="Arabic Typesetting"/>
        </w:rPr>
        <w:t>qualify</w:t>
      </w:r>
      <w:r w:rsidR="008F7F4E" w:rsidRPr="007B25AE">
        <w:rPr>
          <w:rFonts w:ascii="Baskerville" w:eastAsia="MS PMincho" w:hAnsi="Baskerville" w:cs="Arabic Typesetting"/>
        </w:rPr>
        <w:t>ing test</w:t>
      </w:r>
      <w:r w:rsidRPr="007B25AE">
        <w:rPr>
          <w:rFonts w:ascii="Baskerville" w:eastAsia="MS PMincho" w:hAnsi="Baskerville" w:cs="Arabic Typesetting"/>
        </w:rPr>
        <w:t xml:space="preserve"> </w:t>
      </w:r>
      <w:r w:rsidR="008F7F4E" w:rsidRPr="007B25AE">
        <w:rPr>
          <w:rFonts w:ascii="Baskerville" w:eastAsia="MS PMincho" w:hAnsi="Baskerville" w:cs="Arabic Typesetting"/>
        </w:rPr>
        <w:t xml:space="preserve">might be needed to </w:t>
      </w:r>
      <w:r w:rsidRPr="007B25AE">
        <w:rPr>
          <w:rFonts w:ascii="Baskerville" w:eastAsia="MS PMincho" w:hAnsi="Baskerville" w:cs="Arabic Typesetting"/>
        </w:rPr>
        <w:t>certif</w:t>
      </w:r>
      <w:r w:rsidR="008F7F4E" w:rsidRPr="007B25AE">
        <w:rPr>
          <w:rFonts w:ascii="Baskerville" w:eastAsia="MS PMincho" w:hAnsi="Baskerville" w:cs="Arabic Typesetting"/>
        </w:rPr>
        <w:t>y</w:t>
      </w:r>
      <w:r w:rsidRPr="007B25AE">
        <w:rPr>
          <w:rFonts w:ascii="Baskerville" w:eastAsia="MS PMincho" w:hAnsi="Baskerville" w:cs="Arabic Typesetting"/>
        </w:rPr>
        <w:t xml:space="preserve"> th</w:t>
      </w:r>
      <w:r w:rsidR="0019140D" w:rsidRPr="007B25AE">
        <w:rPr>
          <w:rFonts w:ascii="Baskerville" w:eastAsia="MS PMincho" w:hAnsi="Baskerville" w:cs="Arabic Typesetting"/>
        </w:rPr>
        <w:t>at the</w:t>
      </w:r>
      <w:r w:rsidR="008F7F4E" w:rsidRPr="007B25AE">
        <w:rPr>
          <w:rFonts w:ascii="Baskerville" w:eastAsia="MS PMincho" w:hAnsi="Baskerville" w:cs="Arabic Typesetting"/>
        </w:rPr>
        <w:t xml:space="preserve"> participants</w:t>
      </w:r>
      <w:r w:rsidRPr="007B25AE">
        <w:rPr>
          <w:rFonts w:ascii="Baskerville" w:eastAsia="MS PMincho" w:hAnsi="Baskerville" w:cs="Arabic Typesetting"/>
        </w:rPr>
        <w:t xml:space="preserve"> hav</w:t>
      </w:r>
      <w:r w:rsidR="0019140D" w:rsidRPr="007B25AE">
        <w:rPr>
          <w:rFonts w:ascii="Baskerville" w:eastAsia="MS PMincho" w:hAnsi="Baskerville" w:cs="Arabic Typesetting"/>
        </w:rPr>
        <w:t>e</w:t>
      </w:r>
      <w:r w:rsidRPr="007B25AE">
        <w:rPr>
          <w:rFonts w:ascii="Baskerville" w:eastAsia="MS PMincho" w:hAnsi="Baskerville" w:cs="Arabic Typesetting"/>
        </w:rPr>
        <w:t xml:space="preserve"> met </w:t>
      </w:r>
      <w:r w:rsidR="008F7F4E" w:rsidRPr="007B25AE">
        <w:rPr>
          <w:rFonts w:ascii="Baskerville" w:eastAsia="MS PMincho" w:hAnsi="Baskerville" w:cs="Arabic Typesetting"/>
        </w:rPr>
        <w:t>the</w:t>
      </w:r>
      <w:r w:rsidRPr="007B25AE">
        <w:rPr>
          <w:rFonts w:ascii="Baskerville" w:eastAsia="MS PMincho" w:hAnsi="Baskerville" w:cs="Arabic Typesetting"/>
        </w:rPr>
        <w:t xml:space="preserve"> prescribed conditions. In this situation, the quasi-experimental design is</w:t>
      </w:r>
      <w:r w:rsidR="0019140D" w:rsidRPr="007B25AE">
        <w:rPr>
          <w:rFonts w:ascii="Baskerville" w:eastAsia="MS PMincho" w:hAnsi="Baskerville" w:cs="Arabic Typesetting"/>
        </w:rPr>
        <w:t xml:space="preserve"> </w:t>
      </w:r>
      <w:r w:rsidRPr="007B25AE">
        <w:rPr>
          <w:rFonts w:ascii="Baskerville" w:eastAsia="MS PMincho" w:hAnsi="Baskerville" w:cs="Arabic Typesetting"/>
        </w:rPr>
        <w:t>ideal</w:t>
      </w:r>
      <w:r w:rsidR="008F7F4E" w:rsidRPr="007B25AE">
        <w:rPr>
          <w:rFonts w:ascii="Baskerville" w:eastAsia="MS PMincho" w:hAnsi="Baskerville" w:cs="Arabic Typesetting"/>
        </w:rPr>
        <w:t xml:space="preserve"> (Morgan,</w:t>
      </w:r>
      <w:r w:rsidR="008F7F4E" w:rsidRPr="007B25AE">
        <w:rPr>
          <w:rFonts w:ascii="Baskerville" w:eastAsia="MS PMincho" w:hAnsi="Baskerville" w:cs="Arabic Typesetting"/>
          <w:color w:val="FF0000"/>
        </w:rPr>
        <w:t xml:space="preserve"> </w:t>
      </w:r>
      <w:r w:rsidR="008F7F4E" w:rsidRPr="007B25AE">
        <w:rPr>
          <w:rFonts w:ascii="Baskerville" w:eastAsia="MS PMincho" w:hAnsi="Baskerville" w:cs="Arabic Typesetting"/>
          <w:color w:val="000000" w:themeColor="text1"/>
        </w:rPr>
        <w:t>2000</w:t>
      </w:r>
      <w:r w:rsidR="008F7F4E" w:rsidRPr="007B25AE">
        <w:rPr>
          <w:rFonts w:ascii="Baskerville" w:eastAsia="MS PMincho" w:hAnsi="Baskerville" w:cs="Arabic Typesetting"/>
        </w:rPr>
        <w:t>).</w:t>
      </w:r>
      <w:r w:rsidRPr="007B25AE">
        <w:rPr>
          <w:rFonts w:ascii="Baskerville" w:eastAsia="MS PMincho" w:hAnsi="Baskerville" w:cs="Arabic Typesetting"/>
        </w:rPr>
        <w:t xml:space="preserve"> </w:t>
      </w:r>
    </w:p>
    <w:p w14:paraId="2AAE835E" w14:textId="479EF2C7" w:rsidR="00B646E6" w:rsidRPr="007B25AE" w:rsidRDefault="008F7F4E"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The</w:t>
      </w:r>
      <w:r w:rsidR="00B646E6" w:rsidRPr="007B25AE">
        <w:rPr>
          <w:rFonts w:ascii="Baskerville" w:eastAsia="MS PMincho" w:hAnsi="Baskerville" w:cs="Arabic Typesetting"/>
        </w:rPr>
        <w:t xml:space="preserve"> trial</w:t>
      </w:r>
      <w:r w:rsidR="00D26B3E" w:rsidRPr="007B25AE">
        <w:rPr>
          <w:rFonts w:ascii="Baskerville" w:eastAsia="MS PMincho" w:hAnsi="Baskerville" w:cs="Arabic Typesetting"/>
        </w:rPr>
        <w:t xml:space="preserve"> of a case</w:t>
      </w:r>
      <w:r w:rsidR="00B646E6" w:rsidRPr="007B25AE">
        <w:rPr>
          <w:rFonts w:ascii="Baskerville" w:eastAsia="MS PMincho" w:hAnsi="Baskerville" w:cs="Arabic Typesetting"/>
        </w:rPr>
        <w:t xml:space="preserve"> in a criminal </w:t>
      </w:r>
      <w:r w:rsidR="00D26B3E" w:rsidRPr="007B25AE">
        <w:rPr>
          <w:rFonts w:ascii="Baskerville" w:eastAsia="MS PMincho" w:hAnsi="Baskerville" w:cs="Arabic Typesetting"/>
        </w:rPr>
        <w:t>court</w:t>
      </w:r>
      <w:r w:rsidR="00B646E6" w:rsidRPr="007B25AE">
        <w:rPr>
          <w:rFonts w:ascii="Baskerville" w:eastAsia="MS PMincho" w:hAnsi="Baskerville" w:cs="Arabic Typesetting"/>
        </w:rPr>
        <w:t xml:space="preserve"> is a perfect example of this. In a criminal court case, the would-be participants (the potential jurors) are, first, picked because they meet the basic qualification as peers of the accused, living in, and around, the same community as he or she who happens to be on trial. The would-be participants, having met th</w:t>
      </w:r>
      <w:r w:rsidR="00DF0DA9" w:rsidRPr="007B25AE">
        <w:rPr>
          <w:rFonts w:ascii="Baskerville" w:eastAsia="MS PMincho" w:hAnsi="Baskerville" w:cs="Arabic Typesetting"/>
        </w:rPr>
        <w:t>os</w:t>
      </w:r>
      <w:r w:rsidR="00B646E6" w:rsidRPr="007B25AE">
        <w:rPr>
          <w:rFonts w:ascii="Baskerville" w:eastAsia="MS PMincho" w:hAnsi="Baskerville" w:cs="Arabic Typesetting"/>
        </w:rPr>
        <w:t xml:space="preserve">e conditions in the first phase of the qualifying process, are given the “pre-test” (Vader) which helps the court (the researcher) to determine whether these participants qualify, in the end, to participate (to become jurors).  Once selected as participants (as jurors), the package of evidence (the independent variable(s)), is delivered (administered) to the jury for them to unwrap. The prosecutor’s presentation of the evidence (the independent variables—the treatment) is administered to the group (the jury). Following that, the defense, then, administers the counter narrative (the placebo) to the same participants (the jury). </w:t>
      </w:r>
    </w:p>
    <w:p w14:paraId="03F27FCC" w14:textId="77777777" w:rsidR="00B646E6" w:rsidRPr="007B25AE" w:rsidRDefault="00B646E6"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Technically, the job of the defense, in delivering the counter-narrative (the placebo), is to sow seeds of doubt in the minds of the participants (the minds of the jurors) as to whether the prosecutor’s story (the set of independent variables) is, wholly or partially, sound enough for the participants (the jury) to be able to effect a verdict (the dependent variable) that is measurable in terms of the percentage of jurors who acquiesce. In most states, the verdict in criminal cases require a 100% agreement among the twelve jurors.</w:t>
      </w:r>
    </w:p>
    <w:p w14:paraId="091D7600" w14:textId="77777777" w:rsidR="00B646E6" w:rsidRPr="007B25AE" w:rsidRDefault="00B646E6"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In a typical criminal court trial, however, only a single group of participants (the jury) is administered both the “treatment” and the “placebo”. That fact does not make such research designs any less a “quasi-experiment”. Instead, it just makes it one of the several types of quasi-experiments that exists with variation. </w:t>
      </w:r>
    </w:p>
    <w:p w14:paraId="4A449D04" w14:textId="77777777" w:rsidR="00B646E6" w:rsidRPr="007B25AE" w:rsidRDefault="00B646E6"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When the court (the researcher) imposes legal parameters on what is to be considered during the deliberation, as well as initiates the deliberation, itself, the court is, in effect, administering a “post-test” to the participants (the jurors).  Then, by so deliberating (taking the test), based on both the prosecutor’s and the defense’ narrative and counter-narrative (the treatment, viz., independent variables), respectively, each of the participants’ (the jurors) reaction to the treatment is to reach a verdict (the dependent variable) upon which the prescribed percentage of jurors agree. </w:t>
      </w:r>
    </w:p>
    <w:p w14:paraId="16FA977F" w14:textId="6CA6A271" w:rsidR="00B646E6" w:rsidRPr="007B25AE" w:rsidRDefault="00B646E6" w:rsidP="00066C61">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As one would expect, the “experimental” and “quasi-experimental” research designs are not the only research designs that may be </w:t>
      </w:r>
      <w:r w:rsidR="00B24985" w:rsidRPr="007B25AE">
        <w:rPr>
          <w:rFonts w:ascii="Baskerville" w:eastAsia="MS PMincho" w:hAnsi="Baskerville" w:cs="Arabic Typesetting"/>
        </w:rPr>
        <w:t>chosen from</w:t>
      </w:r>
      <w:r w:rsidRPr="007B25AE">
        <w:rPr>
          <w:rFonts w:ascii="Baskerville" w:eastAsia="MS PMincho" w:hAnsi="Baskerville" w:cs="Arabic Typesetting"/>
        </w:rPr>
        <w:t xml:space="preserve"> a </w:t>
      </w:r>
      <w:r w:rsidR="00D26B3E" w:rsidRPr="007B25AE">
        <w:rPr>
          <w:rFonts w:ascii="Baskerville" w:eastAsia="MS PMincho" w:hAnsi="Baskerville" w:cs="Arabic Typesetting"/>
        </w:rPr>
        <w:t xml:space="preserve">least nine or ten </w:t>
      </w:r>
      <w:r w:rsidRPr="007B25AE">
        <w:rPr>
          <w:rFonts w:ascii="Baskerville" w:eastAsia="MS PMincho" w:hAnsi="Baskerville" w:cs="Arabic Typesetting"/>
        </w:rPr>
        <w:t xml:space="preserve">different types. </w:t>
      </w:r>
      <w:r w:rsidR="00D26B3E" w:rsidRPr="007B25AE">
        <w:rPr>
          <w:rFonts w:ascii="Baskerville" w:eastAsia="MS PMincho" w:hAnsi="Baskerville" w:cs="Arabic Typesetting"/>
        </w:rPr>
        <w:t xml:space="preserve"> The correlational research design is yet another of the more popular types</w:t>
      </w:r>
      <w:r w:rsidR="00B767F8" w:rsidRPr="007B25AE">
        <w:rPr>
          <w:rFonts w:ascii="Baskerville" w:eastAsia="MS PMincho" w:hAnsi="Baskerville" w:cs="Arabic Typesetting"/>
        </w:rPr>
        <w:t xml:space="preserve"> of the research designs</w:t>
      </w:r>
      <w:r w:rsidR="00D26B3E" w:rsidRPr="007B25AE">
        <w:rPr>
          <w:rFonts w:ascii="Baskerville" w:eastAsia="MS PMincho" w:hAnsi="Baskerville" w:cs="Arabic Typesetting"/>
        </w:rPr>
        <w:t>.</w:t>
      </w:r>
      <w:r w:rsidR="00B767F8" w:rsidRPr="007B25AE">
        <w:rPr>
          <w:rFonts w:ascii="Baskerville" w:eastAsia="MS PMincho" w:hAnsi="Baskerville" w:cs="Arabic Typesetting"/>
        </w:rPr>
        <w:t xml:space="preserve"> I</w:t>
      </w:r>
      <w:r w:rsidRPr="007B25AE">
        <w:rPr>
          <w:rFonts w:ascii="Baskerville" w:eastAsia="MS PMincho" w:hAnsi="Baskerville" w:cs="Arabic Typesetting"/>
        </w:rPr>
        <w:t xml:space="preserve">t is almost certain that no one would question the claim that the “correlational” research design is utilized across disciplines, even more </w:t>
      </w:r>
      <w:r w:rsidR="0019140D" w:rsidRPr="007B25AE">
        <w:rPr>
          <w:rFonts w:ascii="Baskerville" w:eastAsia="MS PMincho" w:hAnsi="Baskerville" w:cs="Arabic Typesetting"/>
        </w:rPr>
        <w:t xml:space="preserve">so </w:t>
      </w:r>
      <w:r w:rsidRPr="007B25AE">
        <w:rPr>
          <w:rFonts w:ascii="Baskerville" w:eastAsia="MS PMincho" w:hAnsi="Baskerville" w:cs="Arabic Typesetting"/>
        </w:rPr>
        <w:t xml:space="preserve">than either of the two research designs </w:t>
      </w:r>
      <w:r w:rsidR="0019140D" w:rsidRPr="007B25AE">
        <w:rPr>
          <w:rFonts w:ascii="Baskerville" w:eastAsia="MS PMincho" w:hAnsi="Baskerville" w:cs="Arabic Typesetting"/>
        </w:rPr>
        <w:t xml:space="preserve">mentioned </w:t>
      </w:r>
      <w:r w:rsidRPr="007B25AE">
        <w:rPr>
          <w:rFonts w:ascii="Baskerville" w:eastAsia="MS PMincho" w:hAnsi="Baskerville" w:cs="Arabic Typesetting"/>
        </w:rPr>
        <w:t>above</w:t>
      </w:r>
      <w:r w:rsidR="00DE0108" w:rsidRPr="007B25AE">
        <w:rPr>
          <w:rFonts w:ascii="Baskerville" w:eastAsia="MS PMincho" w:hAnsi="Baskerville" w:cs="Arabic Typesetting"/>
        </w:rPr>
        <w:t xml:space="preserve"> (Continued in Section #3 below)</w:t>
      </w:r>
      <w:r w:rsidRPr="007B25AE">
        <w:rPr>
          <w:rFonts w:ascii="Baskerville" w:eastAsia="MS PMincho" w:hAnsi="Baskerville" w:cs="Arabic Typesetting"/>
        </w:rPr>
        <w:t xml:space="preserve">.     </w:t>
      </w:r>
    </w:p>
    <w:p w14:paraId="26929424" w14:textId="1027D066" w:rsidR="00B646E6" w:rsidRPr="007B25AE" w:rsidRDefault="00B646E6" w:rsidP="007215A6">
      <w:pPr>
        <w:spacing w:line="360" w:lineRule="auto"/>
        <w:rPr>
          <w:rFonts w:ascii="Baskerville" w:eastAsia="MS PMincho" w:hAnsi="Baskerville" w:cs="Arabic Typesetting"/>
        </w:rPr>
      </w:pPr>
      <w:r w:rsidRPr="007B25AE">
        <w:rPr>
          <w:rFonts w:ascii="Baskerville" w:eastAsia="MS PMincho" w:hAnsi="Baskerville" w:cs="Arabic Typesetting"/>
          <w:b/>
          <w:bCs/>
        </w:rPr>
        <w:t>3</w:t>
      </w:r>
      <w:r w:rsidRPr="007B25AE">
        <w:rPr>
          <w:rFonts w:ascii="Baskerville" w:eastAsia="MS PMincho" w:hAnsi="Baskerville" w:cs="Arabic Typesetting"/>
        </w:rPr>
        <w:t>.</w:t>
      </w:r>
      <w:r w:rsidR="007215A6" w:rsidRPr="007B25AE">
        <w:rPr>
          <w:rFonts w:ascii="Baskerville" w:eastAsia="MS PMincho" w:hAnsi="Baskerville" w:cs="Arabic Typesetting"/>
        </w:rPr>
        <w:t xml:space="preserve"> </w:t>
      </w:r>
      <w:r w:rsidR="007215A6" w:rsidRPr="007B25AE">
        <w:rPr>
          <w:rFonts w:ascii="Baskerville" w:eastAsia="MS PMincho" w:hAnsi="Baskerville" w:cs="Arabic Typesetting"/>
          <w:b/>
          <w:bCs/>
        </w:rPr>
        <w:t>Valid Instrument</w:t>
      </w:r>
      <w:r w:rsidR="007215A6" w:rsidRPr="007B25AE">
        <w:rPr>
          <w:rFonts w:ascii="Baskerville" w:eastAsia="MS PMincho" w:hAnsi="Baskerville" w:cs="Arabic Typesetting"/>
        </w:rPr>
        <w:t xml:space="preserve">. </w:t>
      </w:r>
      <w:r w:rsidRPr="007B25AE">
        <w:rPr>
          <w:rFonts w:ascii="Baskerville" w:eastAsia="MS PMincho" w:hAnsi="Baskerville" w:cs="Arabic Typesetting"/>
        </w:rPr>
        <w:t>Before one can select a valid instrument and “[p]</w:t>
      </w:r>
      <w:proofErr w:type="spellStart"/>
      <w:r w:rsidRPr="007B25AE">
        <w:rPr>
          <w:rFonts w:ascii="Baskerville" w:eastAsia="MS PMincho" w:hAnsi="Baskerville" w:cs="Arabic Typesetting"/>
        </w:rPr>
        <w:t>rovide</w:t>
      </w:r>
      <w:proofErr w:type="spellEnd"/>
      <w:r w:rsidRPr="007B25AE">
        <w:rPr>
          <w:rFonts w:ascii="Baskerville" w:eastAsia="MS PMincho" w:hAnsi="Baskerville" w:cs="Arabic Typesetting"/>
        </w:rPr>
        <w:t xml:space="preserve"> examples of how. . .[ its] validity and reliability impact research outcomes” (</w:t>
      </w:r>
      <w:proofErr w:type="spellStart"/>
      <w:r w:rsidRPr="007B25AE">
        <w:rPr>
          <w:rFonts w:ascii="Baskerville" w:eastAsia="MS PMincho" w:hAnsi="Baskerville" w:cs="Arabic Typesetting"/>
        </w:rPr>
        <w:t>Philipi</w:t>
      </w:r>
      <w:proofErr w:type="spellEnd"/>
      <w:r w:rsidRPr="007B25AE">
        <w:rPr>
          <w:rFonts w:ascii="Baskerville" w:eastAsia="MS PMincho" w:hAnsi="Baskerville" w:cs="Arabic Typesetting"/>
        </w:rPr>
        <w:t xml:space="preserve">, 2020), one should, first, answer the question of, “What is meant by a valid instrument?” According to Christian Phillipi, there is </w:t>
      </w:r>
      <w:proofErr w:type="gramStart"/>
      <w:r w:rsidRPr="007B25AE">
        <w:rPr>
          <w:rFonts w:ascii="Baskerville" w:eastAsia="MS PMincho" w:hAnsi="Baskerville" w:cs="Arabic Typesetting"/>
        </w:rPr>
        <w:t>a number of</w:t>
      </w:r>
      <w:proofErr w:type="gramEnd"/>
      <w:r w:rsidRPr="007B25AE">
        <w:rPr>
          <w:rFonts w:ascii="Baskerville" w:eastAsia="MS PMincho" w:hAnsi="Baskerville" w:cs="Arabic Typesetting"/>
        </w:rPr>
        <w:t xml:space="preserve"> different reasons why researchers casually toss around the adjective “valid” in their effort to certify the effectiveness of one research instrument over the next. He says that since Kelley’s coinage of the term, “valid instrument,” it has become that common expression within the researcher’s vernacular that describes either the standard research instruments or any of a myriad of research instruments that has gained validity primarily because of its effectiveness in a particular piece of research.  Yet, the common consensus clearly supports the philosophy that, while validity or invalidity of an instrument is the way of describing the aptness of the instrument to the specific piece of research at hand, it always comes down to whether the researcher’s use of a particular instrument “has not only research consequences, but also policy implications” (</w:t>
      </w:r>
      <w:proofErr w:type="spellStart"/>
      <w:r w:rsidRPr="007B25AE">
        <w:rPr>
          <w:rFonts w:ascii="Baskerville" w:eastAsia="MS PMincho" w:hAnsi="Baskerville" w:cs="Arabic Typesetting"/>
        </w:rPr>
        <w:t>Angner</w:t>
      </w:r>
      <w:proofErr w:type="spellEnd"/>
      <w:r w:rsidRPr="007B25AE">
        <w:rPr>
          <w:rFonts w:ascii="Baskerville" w:eastAsia="MS PMincho" w:hAnsi="Baskerville" w:cs="Arabic Typesetting"/>
        </w:rPr>
        <w:t xml:space="preserve"> 2011</w:t>
      </w:r>
      <w:r w:rsidR="00BB5856" w:rsidRPr="007B25AE">
        <w:rPr>
          <w:rFonts w:ascii="Baskerville" w:eastAsia="MS PMincho" w:hAnsi="Baskerville" w:cs="Arabic Typesetting"/>
        </w:rPr>
        <w:t>b</w:t>
      </w:r>
      <w:r w:rsidRPr="007B25AE">
        <w:rPr>
          <w:rFonts w:ascii="Baskerville" w:eastAsia="MS PMincho" w:hAnsi="Baskerville" w:cs="Arabic Typesetting"/>
        </w:rPr>
        <w:t>). Among other things, “Causation—and its close kin, correlation—have also been used to define validity” (Borsboom</w:t>
      </w:r>
      <w:r w:rsidR="00BB5856" w:rsidRPr="007B25AE">
        <w:rPr>
          <w:rFonts w:ascii="Baskerville" w:eastAsia="MS PMincho" w:hAnsi="Baskerville" w:cs="Arabic Typesetting"/>
        </w:rPr>
        <w:t>,</w:t>
      </w:r>
      <w:r w:rsidRPr="007B25AE">
        <w:rPr>
          <w:rFonts w:ascii="Baskerville" w:eastAsia="MS PMincho" w:hAnsi="Baskerville" w:cs="Arabic Typesetting"/>
        </w:rPr>
        <w:t xml:space="preserve"> 2005; Borsboom et al</w:t>
      </w:r>
      <w:r w:rsidR="00BB5856" w:rsidRPr="007B25AE">
        <w:rPr>
          <w:rFonts w:ascii="Baskerville" w:eastAsia="MS PMincho" w:hAnsi="Baskerville" w:cs="Arabic Typesetting"/>
        </w:rPr>
        <w:t>,</w:t>
      </w:r>
      <w:r w:rsidRPr="007B25AE">
        <w:rPr>
          <w:rFonts w:ascii="Baskerville" w:eastAsia="MS PMincho" w:hAnsi="Baskerville" w:cs="Arabic Typesetting"/>
        </w:rPr>
        <w:t xml:space="preserve"> 2004). </w:t>
      </w:r>
    </w:p>
    <w:p w14:paraId="6049FAF9" w14:textId="77777777" w:rsidR="00B646E6" w:rsidRPr="007B25AE" w:rsidRDefault="00B646E6"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Likewise, </w:t>
      </w:r>
      <w:proofErr w:type="gramStart"/>
      <w:r w:rsidRPr="007B25AE">
        <w:rPr>
          <w:rFonts w:ascii="Baskerville" w:eastAsia="MS PMincho" w:hAnsi="Baskerville" w:cs="Arabic Typesetting"/>
        </w:rPr>
        <w:t>in order for</w:t>
      </w:r>
      <w:proofErr w:type="gramEnd"/>
      <w:r w:rsidRPr="007B25AE">
        <w:rPr>
          <w:rFonts w:ascii="Baskerville" w:eastAsia="MS PMincho" w:hAnsi="Baskerville" w:cs="Arabic Typesetting"/>
        </w:rPr>
        <w:t xml:space="preserve"> one to find and describe a validated instrument that could be used to measure dependent variables, it is also necessary to know what a “dependent variable” is. Kendra Cherry (2024) explains that a dependent variable is the measure representing the change that has occurred in the participant because of something done to him or her. In the same vein, the thing done to, or administered to the participant is the “independent variable”.  And so, mathematically speaking, the independent and the dependent variables are locked together not only as a “relation”—in a “one to one correspondence”—but as a “function”.   </w:t>
      </w:r>
    </w:p>
    <w:p w14:paraId="112E10C1" w14:textId="621291B8" w:rsidR="00B646E6" w:rsidRPr="007B25AE" w:rsidRDefault="00B646E6"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In the fictional study, introduced in Statistics III, unlike that in this assignment, “Religiosity” is paired broadly with “Social Behaviors” in a “functional” relation between independent variable and dependent variable, respectively. In this relationship, it does make sense that the extent o</w:t>
      </w:r>
      <w:r w:rsidR="00DE0108" w:rsidRPr="007B25AE">
        <w:rPr>
          <w:rFonts w:ascii="Baskerville" w:eastAsia="MS PMincho" w:hAnsi="Baskerville" w:cs="Arabic Typesetting"/>
        </w:rPr>
        <w:t>f</w:t>
      </w:r>
      <w:r w:rsidRPr="007B25AE">
        <w:rPr>
          <w:rFonts w:ascii="Baskerville" w:eastAsia="MS PMincho" w:hAnsi="Baskerville" w:cs="Arabic Typesetting"/>
        </w:rPr>
        <w:t xml:space="preserve"> one’s religiosity would </w:t>
      </w:r>
      <w:proofErr w:type="gramStart"/>
      <w:r w:rsidRPr="007B25AE">
        <w:rPr>
          <w:rFonts w:ascii="Baskerville" w:eastAsia="MS PMincho" w:hAnsi="Baskerville" w:cs="Arabic Typesetting"/>
        </w:rPr>
        <w:t>have an</w:t>
      </w:r>
      <w:r w:rsidR="00BB5856" w:rsidRPr="007B25AE">
        <w:rPr>
          <w:rFonts w:ascii="Baskerville" w:eastAsia="MS PMincho" w:hAnsi="Baskerville" w:cs="Arabic Typesetting"/>
        </w:rPr>
        <w:t xml:space="preserve"> </w:t>
      </w:r>
      <w:r w:rsidRPr="007B25AE">
        <w:rPr>
          <w:rFonts w:ascii="Baskerville" w:eastAsia="MS PMincho" w:hAnsi="Baskerville" w:cs="Arabic Typesetting"/>
        </w:rPr>
        <w:t>effect on</w:t>
      </w:r>
      <w:proofErr w:type="gramEnd"/>
      <w:r w:rsidRPr="007B25AE">
        <w:rPr>
          <w:rFonts w:ascii="Baskerville" w:eastAsia="MS PMincho" w:hAnsi="Baskerville" w:cs="Arabic Typesetting"/>
        </w:rPr>
        <w:t xml:space="preserve"> one’s “Social Justice Attitude” score as well as one’s “Social Cohesion” score because they are both forms of Social Behaviors.  Clearly, both Social Justice Attitudes and Social Cohesion are dependent variables, splintered off the primary dependent variable—Social Behaviors.   </w:t>
      </w:r>
    </w:p>
    <w:p w14:paraId="2F457DFA" w14:textId="77777777" w:rsidR="00B646E6" w:rsidRPr="007B25AE" w:rsidRDefault="00B646E6"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Within the Fictional Study, the researcher’s obvious object should be to determine the extent to which a person’s religiosity “affects” his or her social behaviors. With that in mind, the researcher would want to find out what the strength of the causal relationship between the independent variable (x) and the dependent variable (y) is. To do that, the researcher would need to find out whether there is any correlation between “Religiosity” and “Social Justice Attitudes” and then, “Religiosity” and “Social Cohesiveness”.  By that fact, the valid instrument best suited to this would certainly have to be Pearson r.</w:t>
      </w:r>
    </w:p>
    <w:p w14:paraId="4C1EE8D2" w14:textId="27709D2F" w:rsidR="00BF4CBA" w:rsidRPr="007B25AE" w:rsidRDefault="00B646E6"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In using the Pearson Product Moment as the validated instrument, the “correlation coefficient” for the first pairing of the independent and dependent variables turns out to be </w:t>
      </w:r>
      <w:proofErr w:type="gramStart"/>
      <w:r w:rsidRPr="007B25AE">
        <w:rPr>
          <w:rFonts w:ascii="Baskerville" w:eastAsia="MS PMincho" w:hAnsi="Baskerville" w:cs="Arabic Typesetting"/>
        </w:rPr>
        <w:t>fairly high</w:t>
      </w:r>
      <w:proofErr w:type="gramEnd"/>
      <w:r w:rsidRPr="007B25AE">
        <w:rPr>
          <w:rFonts w:ascii="Baskerville" w:eastAsia="MS PMincho" w:hAnsi="Baskerville" w:cs="Arabic Typesetting"/>
        </w:rPr>
        <w:t xml:space="preserve"> in respect to social science research at r = 0.76393. Meanwhile, the second pairing is r = 0.7568. </w:t>
      </w:r>
    </w:p>
    <w:p w14:paraId="725B7E9B" w14:textId="6E9E407A" w:rsidR="00557FDD" w:rsidRPr="007B25AE" w:rsidRDefault="00BF4CBA" w:rsidP="001D55A6">
      <w:pPr>
        <w:spacing w:line="360" w:lineRule="auto"/>
        <w:rPr>
          <w:rFonts w:ascii="Baskerville" w:eastAsia="MS PMincho" w:hAnsi="Baskerville" w:cs="Arabic Typesetting"/>
        </w:rPr>
      </w:pPr>
      <w:r w:rsidRPr="007B25AE">
        <w:rPr>
          <w:rFonts w:ascii="Baskerville" w:eastAsia="MS PMincho" w:hAnsi="Baskerville" w:cs="Arabic Typesetting"/>
          <w:b/>
          <w:bCs/>
        </w:rPr>
        <w:t>4</w:t>
      </w:r>
      <w:r w:rsidRPr="007B25AE">
        <w:rPr>
          <w:rFonts w:ascii="Baskerville" w:eastAsia="MS PMincho" w:hAnsi="Baskerville" w:cs="Arabic Typesetting"/>
        </w:rPr>
        <w:t>.</w:t>
      </w:r>
      <w:r w:rsidR="007215A6" w:rsidRPr="007B25AE">
        <w:rPr>
          <w:rFonts w:ascii="Baskerville" w:eastAsia="MS PMincho" w:hAnsi="Baskerville" w:cs="Arabic Typesetting"/>
        </w:rPr>
        <w:t xml:space="preserve"> </w:t>
      </w:r>
      <w:r w:rsidR="007215A6" w:rsidRPr="007B25AE">
        <w:rPr>
          <w:rFonts w:ascii="Baskerville" w:eastAsia="MS PMincho" w:hAnsi="Baskerville" w:cs="Arabic Typesetting"/>
          <w:b/>
          <w:bCs/>
        </w:rPr>
        <w:t>Hypothesis Formulation</w:t>
      </w:r>
      <w:r w:rsidR="007215A6" w:rsidRPr="007B25AE">
        <w:rPr>
          <w:rFonts w:ascii="Baskerville" w:eastAsia="MS PMincho" w:hAnsi="Baskerville" w:cs="Arabic Typesetting"/>
        </w:rPr>
        <w:t>.</w:t>
      </w:r>
      <w:r w:rsidR="00460A28" w:rsidRPr="007B25AE">
        <w:rPr>
          <w:rFonts w:ascii="Baskerville" w:eastAsia="MS PMincho" w:hAnsi="Baskerville" w:cs="Arabic Typesetting"/>
        </w:rPr>
        <w:t xml:space="preserve"> </w:t>
      </w:r>
      <w:r w:rsidR="00625436" w:rsidRPr="007B25AE">
        <w:rPr>
          <w:rFonts w:ascii="Baskerville" w:eastAsia="MS PMincho" w:hAnsi="Baskerville" w:cs="Arabic Typesetting"/>
        </w:rPr>
        <w:t xml:space="preserve"> </w:t>
      </w:r>
      <w:r w:rsidR="001701CC" w:rsidRPr="007B25AE">
        <w:rPr>
          <w:rFonts w:ascii="Baskerville" w:eastAsia="MS PMincho" w:hAnsi="Baskerville" w:cs="Arabic Typesetting"/>
        </w:rPr>
        <w:t>In an unauthored paper published by uca.edu. (2013)</w:t>
      </w:r>
      <w:r w:rsidR="00FF455E" w:rsidRPr="007B25AE">
        <w:rPr>
          <w:rFonts w:ascii="Baskerville" w:eastAsia="MS PMincho" w:hAnsi="Baskerville" w:cs="Arabic Typesetting"/>
        </w:rPr>
        <w:t>,</w:t>
      </w:r>
      <w:r w:rsidR="001701CC" w:rsidRPr="007B25AE">
        <w:rPr>
          <w:rFonts w:ascii="Baskerville" w:eastAsia="MS PMincho" w:hAnsi="Baskerville" w:cs="Arabic Typesetting"/>
        </w:rPr>
        <w:t xml:space="preserve"> the point is made that the </w:t>
      </w:r>
      <w:proofErr w:type="gramStart"/>
      <w:r w:rsidR="001701CC" w:rsidRPr="007B25AE">
        <w:rPr>
          <w:rFonts w:ascii="Baskerville" w:eastAsia="MS PMincho" w:hAnsi="Baskerville" w:cs="Arabic Typesetting"/>
        </w:rPr>
        <w:t>essential</w:t>
      </w:r>
      <w:r w:rsidR="00C96075" w:rsidRPr="007B25AE">
        <w:rPr>
          <w:rFonts w:ascii="Baskerville" w:eastAsia="MS PMincho" w:hAnsi="Baskerville" w:cs="Arabic Typesetting"/>
        </w:rPr>
        <w:t>s</w:t>
      </w:r>
      <w:proofErr w:type="gramEnd"/>
      <w:r w:rsidR="001701CC" w:rsidRPr="007B25AE">
        <w:rPr>
          <w:rFonts w:ascii="Baskerville" w:eastAsia="MS PMincho" w:hAnsi="Baskerville" w:cs="Arabic Typesetting"/>
        </w:rPr>
        <w:t xml:space="preserve"> of a good hypothesis </w:t>
      </w:r>
      <w:proofErr w:type="gramStart"/>
      <w:r w:rsidR="001701CC" w:rsidRPr="007B25AE">
        <w:rPr>
          <w:rFonts w:ascii="Baskerville" w:eastAsia="MS PMincho" w:hAnsi="Baskerville" w:cs="Arabic Typesetting"/>
        </w:rPr>
        <w:t>boils</w:t>
      </w:r>
      <w:proofErr w:type="gramEnd"/>
      <w:r w:rsidR="001701CC" w:rsidRPr="007B25AE">
        <w:rPr>
          <w:rFonts w:ascii="Baskerville" w:eastAsia="MS PMincho" w:hAnsi="Baskerville" w:cs="Arabic Typesetting"/>
        </w:rPr>
        <w:t xml:space="preserve"> down to a distinct “rationale. . . and a clear description of the relationship between the variables of interest . . . based on existing information” (p. 5).  </w:t>
      </w:r>
      <w:r w:rsidR="00441AAA" w:rsidRPr="007B25AE">
        <w:rPr>
          <w:rFonts w:ascii="Baskerville" w:eastAsia="MS PMincho" w:hAnsi="Baskerville" w:cs="Arabic Typesetting"/>
        </w:rPr>
        <w:t>The r</w:t>
      </w:r>
      <w:r w:rsidR="00B00AB5" w:rsidRPr="007B25AE">
        <w:rPr>
          <w:rFonts w:ascii="Baskerville" w:eastAsia="MS PMincho" w:hAnsi="Baskerville" w:cs="Arabic Typesetting"/>
        </w:rPr>
        <w:t>esearcher</w:t>
      </w:r>
      <w:r w:rsidR="00FE0168" w:rsidRPr="007B25AE">
        <w:rPr>
          <w:rFonts w:ascii="Baskerville" w:eastAsia="MS PMincho" w:hAnsi="Baskerville" w:cs="Arabic Typesetting"/>
        </w:rPr>
        <w:t>,</w:t>
      </w:r>
      <w:r w:rsidR="00E305EE" w:rsidRPr="007B25AE">
        <w:rPr>
          <w:rFonts w:ascii="Baskerville" w:eastAsia="MS PMincho" w:hAnsi="Baskerville" w:cs="Arabic Typesetting"/>
        </w:rPr>
        <w:t xml:space="preserve"> </w:t>
      </w:r>
      <w:r w:rsidR="00CC777A" w:rsidRPr="007B25AE">
        <w:rPr>
          <w:rFonts w:ascii="Baskerville" w:eastAsia="MS PMincho" w:hAnsi="Baskerville" w:cs="Arabic Typesetting"/>
        </w:rPr>
        <w:t>Amay</w:t>
      </w:r>
      <w:r w:rsidR="00E305EE" w:rsidRPr="007B25AE">
        <w:rPr>
          <w:rFonts w:ascii="Baskerville" w:eastAsia="MS PMincho" w:hAnsi="Baskerville" w:cs="Arabic Typesetting"/>
        </w:rPr>
        <w:t>a McDonald (2023)</w:t>
      </w:r>
      <w:r w:rsidR="00167BC0" w:rsidRPr="007B25AE">
        <w:rPr>
          <w:rFonts w:ascii="Baskerville" w:eastAsia="MS PMincho" w:hAnsi="Baskerville" w:cs="Arabic Typesetting"/>
        </w:rPr>
        <w:t xml:space="preserve"> </w:t>
      </w:r>
      <w:r w:rsidR="00E305EE" w:rsidRPr="007B25AE">
        <w:rPr>
          <w:rFonts w:ascii="Baskerville" w:eastAsia="MS PMincho" w:hAnsi="Baskerville" w:cs="Arabic Typesetting"/>
        </w:rPr>
        <w:t>pose</w:t>
      </w:r>
      <w:r w:rsidR="00240C4E" w:rsidRPr="007B25AE">
        <w:rPr>
          <w:rFonts w:ascii="Baskerville" w:eastAsia="MS PMincho" w:hAnsi="Baskerville" w:cs="Arabic Typesetting"/>
        </w:rPr>
        <w:t>d</w:t>
      </w:r>
      <w:r w:rsidR="00E305EE" w:rsidRPr="007B25AE">
        <w:rPr>
          <w:rFonts w:ascii="Baskerville" w:eastAsia="MS PMincho" w:hAnsi="Baskerville" w:cs="Arabic Typesetting"/>
        </w:rPr>
        <w:t xml:space="preserve"> the question</w:t>
      </w:r>
      <w:r w:rsidR="00534CED" w:rsidRPr="007B25AE">
        <w:rPr>
          <w:rFonts w:ascii="Baskerville" w:eastAsia="MS PMincho" w:hAnsi="Baskerville" w:cs="Arabic Typesetting"/>
        </w:rPr>
        <w:t xml:space="preserve"> o</w:t>
      </w:r>
      <w:r w:rsidR="00441AAA" w:rsidRPr="007B25AE">
        <w:rPr>
          <w:rFonts w:ascii="Baskerville" w:eastAsia="MS PMincho" w:hAnsi="Baskerville" w:cs="Arabic Typesetting"/>
        </w:rPr>
        <w:t>f</w:t>
      </w:r>
      <w:r w:rsidR="00E305EE" w:rsidRPr="007B25AE">
        <w:rPr>
          <w:rFonts w:ascii="Baskerville" w:eastAsia="MS PMincho" w:hAnsi="Baskerville" w:cs="Arabic Typesetting"/>
        </w:rPr>
        <w:t xml:space="preserve"> “Why are so few Black men teachers in New York City</w:t>
      </w:r>
      <w:r w:rsidR="00F379D4" w:rsidRPr="007B25AE">
        <w:rPr>
          <w:rFonts w:ascii="Baskerville" w:eastAsia="MS PMincho" w:hAnsi="Baskerville" w:cs="Arabic Typesetting"/>
        </w:rPr>
        <w:t xml:space="preserve"> public school</w:t>
      </w:r>
      <w:r w:rsidR="00E305EE" w:rsidRPr="007B25AE">
        <w:rPr>
          <w:rFonts w:ascii="Baskerville" w:eastAsia="MS PMincho" w:hAnsi="Baskerville" w:cs="Arabic Typesetting"/>
        </w:rPr>
        <w:t>s”</w:t>
      </w:r>
      <w:r w:rsidR="00BB2846" w:rsidRPr="007B25AE">
        <w:rPr>
          <w:rFonts w:ascii="Baskerville" w:eastAsia="MS PMincho" w:hAnsi="Baskerville" w:cs="Arabic Typesetting"/>
        </w:rPr>
        <w:t xml:space="preserve"> (McDonald, 2023)?</w:t>
      </w:r>
      <w:r w:rsidR="00AE2C5B" w:rsidRPr="007B25AE">
        <w:rPr>
          <w:rFonts w:ascii="Baskerville" w:eastAsia="MS PMincho" w:hAnsi="Baskerville" w:cs="Arabic Typesetting"/>
        </w:rPr>
        <w:t xml:space="preserve"> </w:t>
      </w:r>
      <w:r w:rsidR="004049A7" w:rsidRPr="007B25AE">
        <w:rPr>
          <w:rFonts w:ascii="Baskerville" w:eastAsia="MS PMincho" w:hAnsi="Baskerville" w:cs="Arabic Typesetting"/>
        </w:rPr>
        <w:t>Upon</w:t>
      </w:r>
      <w:r w:rsidR="000314CC" w:rsidRPr="007B25AE">
        <w:rPr>
          <w:rFonts w:ascii="Baskerville" w:eastAsia="MS PMincho" w:hAnsi="Baskerville" w:cs="Arabic Typesetting"/>
        </w:rPr>
        <w:t xml:space="preserve"> </w:t>
      </w:r>
      <w:r w:rsidR="00B127D5" w:rsidRPr="007B25AE">
        <w:rPr>
          <w:rFonts w:ascii="Baskerville" w:eastAsia="MS PMincho" w:hAnsi="Baskerville" w:cs="Arabic Typesetting"/>
        </w:rPr>
        <w:t xml:space="preserve">that, </w:t>
      </w:r>
      <w:r w:rsidR="003C6F6B" w:rsidRPr="007B25AE">
        <w:rPr>
          <w:rFonts w:ascii="Baskerville" w:eastAsia="MS PMincho" w:hAnsi="Baskerville" w:cs="Arabic Typesetting"/>
        </w:rPr>
        <w:t xml:space="preserve">it </w:t>
      </w:r>
      <w:r w:rsidR="00AE2C5B" w:rsidRPr="007B25AE">
        <w:rPr>
          <w:rFonts w:ascii="Baskerville" w:eastAsia="MS PMincho" w:hAnsi="Baskerville" w:cs="Arabic Typesetting"/>
        </w:rPr>
        <w:t>i</w:t>
      </w:r>
      <w:r w:rsidR="003C6F6B" w:rsidRPr="007B25AE">
        <w:rPr>
          <w:rFonts w:ascii="Baskerville" w:eastAsia="MS PMincho" w:hAnsi="Baskerville" w:cs="Arabic Typesetting"/>
        </w:rPr>
        <w:t>s</w:t>
      </w:r>
      <w:r w:rsidR="005B08CD" w:rsidRPr="007B25AE">
        <w:rPr>
          <w:rFonts w:ascii="Baskerville" w:eastAsia="MS PMincho" w:hAnsi="Baskerville" w:cs="Arabic Typesetting"/>
        </w:rPr>
        <w:t xml:space="preserve"> </w:t>
      </w:r>
      <w:r w:rsidR="003C6F6B" w:rsidRPr="007B25AE">
        <w:rPr>
          <w:rFonts w:ascii="Baskerville" w:eastAsia="MS PMincho" w:hAnsi="Baskerville" w:cs="Arabic Typesetting"/>
        </w:rPr>
        <w:t>reasonable to</w:t>
      </w:r>
      <w:r w:rsidR="005B08CD" w:rsidRPr="007B25AE">
        <w:rPr>
          <w:rFonts w:ascii="Baskerville" w:eastAsia="MS PMincho" w:hAnsi="Baskerville" w:cs="Arabic Typesetting"/>
        </w:rPr>
        <w:t xml:space="preserve"> </w:t>
      </w:r>
      <w:r w:rsidR="00487966" w:rsidRPr="007B25AE">
        <w:rPr>
          <w:rFonts w:ascii="Baskerville" w:eastAsia="MS PMincho" w:hAnsi="Baskerville" w:cs="Arabic Typesetting"/>
        </w:rPr>
        <w:t>conclude</w:t>
      </w:r>
      <w:r w:rsidR="005B08CD" w:rsidRPr="007B25AE">
        <w:rPr>
          <w:rFonts w:ascii="Baskerville" w:eastAsia="MS PMincho" w:hAnsi="Baskerville" w:cs="Arabic Typesetting"/>
        </w:rPr>
        <w:t xml:space="preserve"> that</w:t>
      </w:r>
      <w:r w:rsidR="00F82229" w:rsidRPr="007B25AE">
        <w:rPr>
          <w:rFonts w:ascii="Baskerville" w:eastAsia="MS PMincho" w:hAnsi="Baskerville" w:cs="Arabic Typesetting"/>
        </w:rPr>
        <w:t xml:space="preserve"> such concern over the fact that</w:t>
      </w:r>
      <w:r w:rsidR="00FE0168" w:rsidRPr="007B25AE">
        <w:rPr>
          <w:rFonts w:ascii="Baskerville" w:eastAsia="MS PMincho" w:hAnsi="Baskerville" w:cs="Arabic Typesetting"/>
        </w:rPr>
        <w:t xml:space="preserve"> there is</w:t>
      </w:r>
      <w:r w:rsidR="003C6F6B" w:rsidRPr="007B25AE">
        <w:rPr>
          <w:rFonts w:ascii="Baskerville" w:eastAsia="MS PMincho" w:hAnsi="Baskerville" w:cs="Arabic Typesetting"/>
        </w:rPr>
        <w:t xml:space="preserve"> </w:t>
      </w:r>
      <w:r w:rsidR="00FE0168" w:rsidRPr="007B25AE">
        <w:rPr>
          <w:rFonts w:ascii="Baskerville" w:eastAsia="MS PMincho" w:hAnsi="Baskerville" w:cs="Arabic Typesetting"/>
        </w:rPr>
        <w:t xml:space="preserve">just a </w:t>
      </w:r>
      <w:r w:rsidR="00A84897" w:rsidRPr="007B25AE">
        <w:rPr>
          <w:rFonts w:ascii="Baskerville" w:eastAsia="MS PMincho" w:hAnsi="Baskerville" w:cs="Arabic Typesetting"/>
        </w:rPr>
        <w:t>d</w:t>
      </w:r>
      <w:r w:rsidR="004E65E7" w:rsidRPr="007B25AE">
        <w:rPr>
          <w:rFonts w:ascii="Baskerville" w:eastAsia="MS PMincho" w:hAnsi="Baskerville" w:cs="Arabic Typesetting"/>
        </w:rPr>
        <w:t>earth</w:t>
      </w:r>
      <w:r w:rsidR="00883BDE" w:rsidRPr="007B25AE">
        <w:rPr>
          <w:rFonts w:ascii="Baskerville" w:eastAsia="MS PMincho" w:hAnsi="Baskerville" w:cs="Arabic Typesetting"/>
        </w:rPr>
        <w:t xml:space="preserve"> of </w:t>
      </w:r>
      <w:r w:rsidR="00F7442E" w:rsidRPr="007B25AE">
        <w:rPr>
          <w:rFonts w:ascii="Baskerville" w:eastAsia="MS PMincho" w:hAnsi="Baskerville" w:cs="Arabic Typesetting"/>
        </w:rPr>
        <w:t xml:space="preserve">male </w:t>
      </w:r>
      <w:r w:rsidR="00883BDE" w:rsidRPr="007B25AE">
        <w:rPr>
          <w:rFonts w:ascii="Baskerville" w:eastAsia="MS PMincho" w:hAnsi="Baskerville" w:cs="Arabic Typesetting"/>
        </w:rPr>
        <w:t xml:space="preserve">teachers of African descent </w:t>
      </w:r>
      <w:r w:rsidR="00AE2C5B" w:rsidRPr="007B25AE">
        <w:rPr>
          <w:rFonts w:ascii="Baskerville" w:eastAsia="MS PMincho" w:hAnsi="Baskerville" w:cs="Arabic Typesetting"/>
        </w:rPr>
        <w:t>in</w:t>
      </w:r>
      <w:r w:rsidR="00883BDE" w:rsidRPr="007B25AE">
        <w:rPr>
          <w:rFonts w:ascii="Baskerville" w:eastAsia="MS PMincho" w:hAnsi="Baskerville" w:cs="Arabic Typesetting"/>
        </w:rPr>
        <w:t xml:space="preserve"> New Y</w:t>
      </w:r>
      <w:r w:rsidR="00B127D5" w:rsidRPr="007B25AE">
        <w:rPr>
          <w:rFonts w:ascii="Baskerville" w:eastAsia="MS PMincho" w:hAnsi="Baskerville" w:cs="Arabic Typesetting"/>
        </w:rPr>
        <w:t>ork City public school</w:t>
      </w:r>
      <w:r w:rsidR="004B5299" w:rsidRPr="007B25AE">
        <w:rPr>
          <w:rFonts w:ascii="Baskerville" w:eastAsia="MS PMincho" w:hAnsi="Baskerville" w:cs="Arabic Typesetting"/>
        </w:rPr>
        <w:t>s</w:t>
      </w:r>
      <w:r w:rsidR="00A84897" w:rsidRPr="007B25AE">
        <w:rPr>
          <w:rFonts w:ascii="Baskerville" w:eastAsia="MS PMincho" w:hAnsi="Baskerville" w:cs="Arabic Typesetting"/>
        </w:rPr>
        <w:t xml:space="preserve"> </w:t>
      </w:r>
      <w:r w:rsidR="00BC6401" w:rsidRPr="007B25AE">
        <w:rPr>
          <w:rFonts w:ascii="Baskerville" w:eastAsia="MS PMincho" w:hAnsi="Baskerville" w:cs="Arabic Typesetting"/>
        </w:rPr>
        <w:t>i</w:t>
      </w:r>
      <w:r w:rsidR="005B08CD" w:rsidRPr="007B25AE">
        <w:rPr>
          <w:rFonts w:ascii="Baskerville" w:eastAsia="MS PMincho" w:hAnsi="Baskerville" w:cs="Arabic Typesetting"/>
        </w:rPr>
        <w:t>s</w:t>
      </w:r>
      <w:r w:rsidR="00487966" w:rsidRPr="007B25AE">
        <w:rPr>
          <w:rFonts w:ascii="Baskerville" w:eastAsia="MS PMincho" w:hAnsi="Baskerville" w:cs="Arabic Typesetting"/>
        </w:rPr>
        <w:t xml:space="preserve"> </w:t>
      </w:r>
      <w:r w:rsidR="00F82229" w:rsidRPr="007B25AE">
        <w:rPr>
          <w:rFonts w:ascii="Baskerville" w:eastAsia="MS PMincho" w:hAnsi="Baskerville" w:cs="Arabic Typesetting"/>
        </w:rPr>
        <w:t xml:space="preserve">indicative </w:t>
      </w:r>
      <w:r w:rsidR="00252BB7" w:rsidRPr="007B25AE">
        <w:rPr>
          <w:rFonts w:ascii="Baskerville" w:eastAsia="MS PMincho" w:hAnsi="Baskerville" w:cs="Arabic Typesetting"/>
        </w:rPr>
        <w:t xml:space="preserve">of the notion </w:t>
      </w:r>
      <w:r w:rsidR="00487966" w:rsidRPr="007B25AE">
        <w:rPr>
          <w:rFonts w:ascii="Baskerville" w:eastAsia="MS PMincho" w:hAnsi="Baskerville" w:cs="Arabic Typesetting"/>
        </w:rPr>
        <w:t xml:space="preserve">that </w:t>
      </w:r>
      <w:r w:rsidR="004049A7" w:rsidRPr="007B25AE">
        <w:rPr>
          <w:rFonts w:ascii="Baskerville" w:eastAsia="MS PMincho" w:hAnsi="Baskerville" w:cs="Arabic Typesetting"/>
        </w:rPr>
        <w:t>the</w:t>
      </w:r>
      <w:r w:rsidR="00747D9E" w:rsidRPr="007B25AE">
        <w:rPr>
          <w:rFonts w:ascii="Baskerville" w:eastAsia="MS PMincho" w:hAnsi="Baskerville" w:cs="Arabic Typesetting"/>
        </w:rPr>
        <w:t xml:space="preserve"> shortage</w:t>
      </w:r>
      <w:r w:rsidR="004049A7" w:rsidRPr="007B25AE">
        <w:rPr>
          <w:rFonts w:ascii="Baskerville" w:eastAsia="MS PMincho" w:hAnsi="Baskerville" w:cs="Arabic Typesetting"/>
        </w:rPr>
        <w:t xml:space="preserve"> of teachers from this</w:t>
      </w:r>
      <w:r w:rsidR="00747D9E" w:rsidRPr="007B25AE">
        <w:rPr>
          <w:rFonts w:ascii="Baskerville" w:eastAsia="MS PMincho" w:hAnsi="Baskerville" w:cs="Arabic Typesetting"/>
        </w:rPr>
        <w:t xml:space="preserve"> </w:t>
      </w:r>
      <w:r w:rsidR="00570470" w:rsidRPr="007B25AE">
        <w:rPr>
          <w:rFonts w:ascii="Baskerville" w:eastAsia="MS PMincho" w:hAnsi="Baskerville" w:cs="Arabic Typesetting"/>
        </w:rPr>
        <w:t xml:space="preserve">particular </w:t>
      </w:r>
      <w:r w:rsidR="004049A7" w:rsidRPr="007B25AE">
        <w:rPr>
          <w:rFonts w:ascii="Baskerville" w:eastAsia="MS PMincho" w:hAnsi="Baskerville" w:cs="Arabic Typesetting"/>
        </w:rPr>
        <w:t>demography</w:t>
      </w:r>
      <w:r w:rsidR="00487966" w:rsidRPr="007B25AE">
        <w:rPr>
          <w:rFonts w:ascii="Baskerville" w:eastAsia="MS PMincho" w:hAnsi="Baskerville" w:cs="Arabic Typesetting"/>
        </w:rPr>
        <w:t xml:space="preserve"> </w:t>
      </w:r>
      <w:r w:rsidR="00570470" w:rsidRPr="007B25AE">
        <w:rPr>
          <w:rFonts w:ascii="Baskerville" w:eastAsia="MS PMincho" w:hAnsi="Baskerville" w:cs="Arabic Typesetting"/>
        </w:rPr>
        <w:t xml:space="preserve">(Black male teachers) </w:t>
      </w:r>
      <w:r w:rsidR="005F0C5E" w:rsidRPr="007B25AE">
        <w:rPr>
          <w:rFonts w:ascii="Baskerville" w:eastAsia="MS PMincho" w:hAnsi="Baskerville" w:cs="Arabic Typesetting"/>
        </w:rPr>
        <w:t>will inevitably</w:t>
      </w:r>
      <w:r w:rsidR="00FE0168" w:rsidRPr="007B25AE">
        <w:rPr>
          <w:rFonts w:ascii="Baskerville" w:eastAsia="MS PMincho" w:hAnsi="Baskerville" w:cs="Arabic Typesetting"/>
        </w:rPr>
        <w:t xml:space="preserve"> </w:t>
      </w:r>
      <w:r w:rsidR="005F0C5E" w:rsidRPr="007B25AE">
        <w:rPr>
          <w:rFonts w:ascii="Baskerville" w:eastAsia="MS PMincho" w:hAnsi="Baskerville" w:cs="Arabic Typesetting"/>
        </w:rPr>
        <w:t>impede</w:t>
      </w:r>
      <w:r w:rsidR="00FE0168" w:rsidRPr="007B25AE">
        <w:rPr>
          <w:rFonts w:ascii="Baskerville" w:eastAsia="MS PMincho" w:hAnsi="Baskerville" w:cs="Arabic Typesetting"/>
        </w:rPr>
        <w:t xml:space="preserve"> </w:t>
      </w:r>
      <w:r w:rsidR="005F0C5E" w:rsidRPr="007B25AE">
        <w:rPr>
          <w:rFonts w:ascii="Baskerville" w:eastAsia="MS PMincho" w:hAnsi="Baskerville" w:cs="Arabic Typesetting"/>
        </w:rPr>
        <w:t xml:space="preserve">the </w:t>
      </w:r>
      <w:r w:rsidR="00FE0168" w:rsidRPr="007B25AE">
        <w:rPr>
          <w:rFonts w:ascii="Baskerville" w:eastAsia="MS PMincho" w:hAnsi="Baskerville" w:cs="Arabic Typesetting"/>
        </w:rPr>
        <w:t xml:space="preserve">flow of education through </w:t>
      </w:r>
      <w:r w:rsidR="00EC2382" w:rsidRPr="007B25AE">
        <w:rPr>
          <w:rFonts w:ascii="Baskerville" w:eastAsia="MS PMincho" w:hAnsi="Baskerville" w:cs="Arabic Typesetting"/>
        </w:rPr>
        <w:t xml:space="preserve">the </w:t>
      </w:r>
      <w:r w:rsidR="00F82229" w:rsidRPr="007B25AE">
        <w:rPr>
          <w:rFonts w:ascii="Baskerville" w:eastAsia="MS PMincho" w:hAnsi="Baskerville" w:cs="Arabic Typesetting"/>
        </w:rPr>
        <w:t>education</w:t>
      </w:r>
      <w:r w:rsidR="00BC6401" w:rsidRPr="007B25AE">
        <w:rPr>
          <w:rFonts w:ascii="Baskerville" w:eastAsia="MS PMincho" w:hAnsi="Baskerville" w:cs="Arabic Typesetting"/>
        </w:rPr>
        <w:t>-</w:t>
      </w:r>
      <w:r w:rsidR="00EC2382" w:rsidRPr="007B25AE">
        <w:rPr>
          <w:rFonts w:ascii="Baskerville" w:eastAsia="MS PMincho" w:hAnsi="Baskerville" w:cs="Arabic Typesetting"/>
        </w:rPr>
        <w:t>delivery</w:t>
      </w:r>
      <w:r w:rsidR="00AE2C5B" w:rsidRPr="007B25AE">
        <w:rPr>
          <w:rFonts w:ascii="Baskerville" w:eastAsia="MS PMincho" w:hAnsi="Baskerville" w:cs="Arabic Typesetting"/>
        </w:rPr>
        <w:t xml:space="preserve"> pipeline</w:t>
      </w:r>
      <w:r w:rsidR="00747D9E" w:rsidRPr="007B25AE">
        <w:rPr>
          <w:rFonts w:ascii="Baskerville" w:eastAsia="MS PMincho" w:hAnsi="Baskerville" w:cs="Arabic Typesetting"/>
        </w:rPr>
        <w:t xml:space="preserve"> to </w:t>
      </w:r>
      <w:r w:rsidR="00570470" w:rsidRPr="007B25AE">
        <w:rPr>
          <w:rFonts w:ascii="Baskerville" w:eastAsia="MS PMincho" w:hAnsi="Baskerville" w:cs="Arabic Typesetting"/>
        </w:rPr>
        <w:t xml:space="preserve">students of </w:t>
      </w:r>
      <w:r w:rsidR="005F0C5E" w:rsidRPr="007B25AE">
        <w:rPr>
          <w:rFonts w:ascii="Baskerville" w:eastAsia="MS PMincho" w:hAnsi="Baskerville" w:cs="Arabic Typesetting"/>
        </w:rPr>
        <w:t xml:space="preserve">the </w:t>
      </w:r>
      <w:r w:rsidR="00570470" w:rsidRPr="007B25AE">
        <w:rPr>
          <w:rFonts w:ascii="Baskerville" w:eastAsia="MS PMincho" w:hAnsi="Baskerville" w:cs="Arabic Typesetting"/>
        </w:rPr>
        <w:t xml:space="preserve">demography—Black male </w:t>
      </w:r>
      <w:r w:rsidR="00747D9E" w:rsidRPr="007B25AE">
        <w:rPr>
          <w:rFonts w:ascii="Baskerville" w:eastAsia="MS PMincho" w:hAnsi="Baskerville" w:cs="Arabic Typesetting"/>
        </w:rPr>
        <w:t>students</w:t>
      </w:r>
      <w:r w:rsidR="00240C4E" w:rsidRPr="007B25AE">
        <w:rPr>
          <w:rFonts w:ascii="Baskerville" w:eastAsia="MS PMincho" w:hAnsi="Baskerville" w:cs="Arabic Typesetting"/>
        </w:rPr>
        <w:t xml:space="preserve"> </w:t>
      </w:r>
      <w:r w:rsidR="00296C9D" w:rsidRPr="007B25AE">
        <w:rPr>
          <w:rFonts w:ascii="Baskerville" w:eastAsia="MS PMincho" w:hAnsi="Baskerville" w:cs="Arabic Typesetting"/>
        </w:rPr>
        <w:t>(“See Our Truth,”(2017.)</w:t>
      </w:r>
      <w:r w:rsidR="00570470" w:rsidRPr="007B25AE">
        <w:rPr>
          <w:rFonts w:ascii="Baskerville" w:eastAsia="MS PMincho" w:hAnsi="Baskerville" w:cs="Arabic Typesetting"/>
        </w:rPr>
        <w:t>.</w:t>
      </w:r>
      <w:r w:rsidR="00296C9D" w:rsidRPr="007B25AE">
        <w:rPr>
          <w:rFonts w:ascii="Baskerville" w:eastAsia="MS PMincho" w:hAnsi="Baskerville" w:cs="Arabic Typesetting"/>
        </w:rPr>
        <w:t xml:space="preserve"> </w:t>
      </w:r>
      <w:r w:rsidR="00861A2E" w:rsidRPr="007B25AE">
        <w:rPr>
          <w:rFonts w:ascii="Baskerville" w:eastAsia="MS PMincho" w:hAnsi="Baskerville" w:cs="Arabic Typesetting"/>
        </w:rPr>
        <w:t xml:space="preserve"> </w:t>
      </w:r>
    </w:p>
    <w:p w14:paraId="480A1D9A" w14:textId="009106F6" w:rsidR="00DD3386" w:rsidRPr="007B25AE" w:rsidRDefault="00DD3386" w:rsidP="00E305EE">
      <w:pPr>
        <w:spacing w:line="360" w:lineRule="auto"/>
        <w:rPr>
          <w:rFonts w:ascii="Baskerville" w:eastAsia="MS PMincho" w:hAnsi="Baskerville" w:cs="Arabic Typesetting"/>
        </w:rPr>
      </w:pPr>
      <w:r w:rsidRPr="007B25AE">
        <w:rPr>
          <w:rFonts w:ascii="Baskerville" w:eastAsia="MS PMincho" w:hAnsi="Baskerville" w:cs="Arabic Typesetting"/>
        </w:rPr>
        <w:tab/>
        <w:t>The uca.edu</w:t>
      </w:r>
      <w:r w:rsidR="00CC1F16" w:rsidRPr="007B25AE">
        <w:rPr>
          <w:rFonts w:ascii="Baskerville" w:eastAsia="MS PMincho" w:hAnsi="Baskerville" w:cs="Arabic Typesetting"/>
        </w:rPr>
        <w:t xml:space="preserve"> paper </w:t>
      </w:r>
      <w:r w:rsidR="0050175A" w:rsidRPr="007B25AE">
        <w:rPr>
          <w:rFonts w:ascii="Baskerville" w:eastAsia="MS PMincho" w:hAnsi="Baskerville" w:cs="Arabic Typesetting"/>
        </w:rPr>
        <w:t xml:space="preserve">(2013) </w:t>
      </w:r>
      <w:r w:rsidR="00570470" w:rsidRPr="007B25AE">
        <w:rPr>
          <w:rFonts w:ascii="Baskerville" w:eastAsia="MS PMincho" w:hAnsi="Baskerville" w:cs="Arabic Typesetting"/>
        </w:rPr>
        <w:t xml:space="preserve">further </w:t>
      </w:r>
      <w:r w:rsidR="00CC1F16" w:rsidRPr="007B25AE">
        <w:rPr>
          <w:rFonts w:ascii="Baskerville" w:eastAsia="MS PMincho" w:hAnsi="Baskerville" w:cs="Arabic Typesetting"/>
        </w:rPr>
        <w:t xml:space="preserve">suggests </w:t>
      </w:r>
      <w:r w:rsidR="004049A7" w:rsidRPr="007B25AE">
        <w:rPr>
          <w:rFonts w:ascii="Baskerville" w:eastAsia="MS PMincho" w:hAnsi="Baskerville" w:cs="Arabic Typesetting"/>
        </w:rPr>
        <w:t>that there are at least two</w:t>
      </w:r>
      <w:r w:rsidR="00CC1F16" w:rsidRPr="007B25AE">
        <w:rPr>
          <w:rFonts w:ascii="Baskerville" w:eastAsia="MS PMincho" w:hAnsi="Baskerville" w:cs="Arabic Typesetting"/>
        </w:rPr>
        <w:t xml:space="preserve"> examples of effective hypotheses</w:t>
      </w:r>
      <w:r w:rsidR="00747D9E" w:rsidRPr="007B25AE">
        <w:rPr>
          <w:rFonts w:ascii="Baskerville" w:eastAsia="MS PMincho" w:hAnsi="Baskerville" w:cs="Arabic Typesetting"/>
        </w:rPr>
        <w:t xml:space="preserve"> writing</w:t>
      </w:r>
      <w:r w:rsidR="00CC1F16" w:rsidRPr="007B25AE">
        <w:rPr>
          <w:rFonts w:ascii="Baskerville" w:eastAsia="MS PMincho" w:hAnsi="Baskerville" w:cs="Arabic Typesetting"/>
        </w:rPr>
        <w:t xml:space="preserve">. </w:t>
      </w:r>
      <w:r w:rsidR="004049A7" w:rsidRPr="007B25AE">
        <w:rPr>
          <w:rFonts w:ascii="Baskerville" w:eastAsia="MS PMincho" w:hAnsi="Baskerville" w:cs="Arabic Typesetting"/>
        </w:rPr>
        <w:t xml:space="preserve"> One </w:t>
      </w:r>
      <w:r w:rsidR="00F74D1C" w:rsidRPr="007B25AE">
        <w:rPr>
          <w:rFonts w:ascii="Baskerville" w:eastAsia="MS PMincho" w:hAnsi="Baskerville" w:cs="Arabic Typesetting"/>
        </w:rPr>
        <w:t>type</w:t>
      </w:r>
      <w:r w:rsidR="004049A7" w:rsidRPr="007B25AE">
        <w:rPr>
          <w:rFonts w:ascii="Baskerville" w:eastAsia="MS PMincho" w:hAnsi="Baskerville" w:cs="Arabic Typesetting"/>
        </w:rPr>
        <w:t xml:space="preserve"> of hypothes</w:t>
      </w:r>
      <w:r w:rsidR="00F74D1C" w:rsidRPr="007B25AE">
        <w:rPr>
          <w:rFonts w:ascii="Baskerville" w:eastAsia="MS PMincho" w:hAnsi="Baskerville" w:cs="Arabic Typesetting"/>
        </w:rPr>
        <w:t>e</w:t>
      </w:r>
      <w:r w:rsidR="004049A7" w:rsidRPr="007B25AE">
        <w:rPr>
          <w:rFonts w:ascii="Baskerville" w:eastAsia="MS PMincho" w:hAnsi="Baskerville" w:cs="Arabic Typesetting"/>
        </w:rPr>
        <w:t xml:space="preserve">s </w:t>
      </w:r>
      <w:r w:rsidR="00F74D1C" w:rsidRPr="007B25AE">
        <w:rPr>
          <w:rFonts w:ascii="Baskerville" w:eastAsia="MS PMincho" w:hAnsi="Baskerville" w:cs="Arabic Typesetting"/>
        </w:rPr>
        <w:t xml:space="preserve">the paper describes </w:t>
      </w:r>
      <w:r w:rsidR="00CC1F16" w:rsidRPr="007B25AE">
        <w:rPr>
          <w:rFonts w:ascii="Baskerville" w:eastAsia="MS PMincho" w:hAnsi="Baskerville" w:cs="Arabic Typesetting"/>
        </w:rPr>
        <w:t xml:space="preserve">is </w:t>
      </w:r>
      <w:r w:rsidR="00F74D1C" w:rsidRPr="007B25AE">
        <w:rPr>
          <w:rFonts w:ascii="Baskerville" w:eastAsia="MS PMincho" w:hAnsi="Baskerville" w:cs="Arabic Typesetting"/>
        </w:rPr>
        <w:t>what I characterize as an</w:t>
      </w:r>
      <w:r w:rsidR="00CC1F16" w:rsidRPr="007B25AE">
        <w:rPr>
          <w:rFonts w:ascii="Baskerville" w:eastAsia="MS PMincho" w:hAnsi="Baskerville" w:cs="Arabic Typesetting"/>
        </w:rPr>
        <w:t xml:space="preserve"> </w:t>
      </w:r>
      <w:r w:rsidR="00570470" w:rsidRPr="007B25AE">
        <w:rPr>
          <w:rFonts w:ascii="Baskerville" w:eastAsia="MS PMincho" w:hAnsi="Baskerville" w:cs="Arabic Typesetting"/>
        </w:rPr>
        <w:t>“</w:t>
      </w:r>
      <w:r w:rsidR="00CC1F16" w:rsidRPr="007B25AE">
        <w:rPr>
          <w:rFonts w:ascii="Baskerville" w:eastAsia="MS PMincho" w:hAnsi="Baskerville" w:cs="Arabic Typesetting"/>
        </w:rPr>
        <w:t>implication</w:t>
      </w:r>
      <w:r w:rsidR="00570470" w:rsidRPr="007B25AE">
        <w:rPr>
          <w:rFonts w:ascii="Baskerville" w:eastAsia="MS PMincho" w:hAnsi="Baskerville" w:cs="Arabic Typesetting"/>
        </w:rPr>
        <w:t>.”</w:t>
      </w:r>
      <w:r w:rsidR="004049A7" w:rsidRPr="007B25AE">
        <w:rPr>
          <w:rFonts w:ascii="Baskerville" w:eastAsia="MS PMincho" w:hAnsi="Baskerville" w:cs="Arabic Typesetting"/>
        </w:rPr>
        <w:t xml:space="preserve"> </w:t>
      </w:r>
      <w:r w:rsidR="00F74D1C" w:rsidRPr="007B25AE">
        <w:rPr>
          <w:rFonts w:ascii="Baskerville" w:eastAsia="MS PMincho" w:hAnsi="Baskerville" w:cs="Arabic Typesetting"/>
        </w:rPr>
        <w:t>The</w:t>
      </w:r>
      <w:r w:rsidR="00157161" w:rsidRPr="007B25AE">
        <w:rPr>
          <w:rFonts w:ascii="Baskerville" w:eastAsia="MS PMincho" w:hAnsi="Baskerville" w:cs="Arabic Typesetting"/>
        </w:rPr>
        <w:t xml:space="preserve"> example of th</w:t>
      </w:r>
      <w:r w:rsidR="00570470" w:rsidRPr="007B25AE">
        <w:rPr>
          <w:rFonts w:ascii="Baskerville" w:eastAsia="MS PMincho" w:hAnsi="Baskerville" w:cs="Arabic Typesetting"/>
        </w:rPr>
        <w:t>e “implication,”</w:t>
      </w:r>
      <w:r w:rsidR="00157161" w:rsidRPr="007B25AE">
        <w:rPr>
          <w:rFonts w:ascii="Baskerville" w:eastAsia="MS PMincho" w:hAnsi="Baskerville" w:cs="Arabic Typesetting"/>
        </w:rPr>
        <w:t xml:space="preserve"> </w:t>
      </w:r>
      <w:r w:rsidR="00F74D1C" w:rsidRPr="007B25AE">
        <w:rPr>
          <w:rFonts w:ascii="Baskerville" w:eastAsia="MS PMincho" w:hAnsi="Baskerville" w:cs="Arabic Typesetting"/>
        </w:rPr>
        <w:t xml:space="preserve">presented </w:t>
      </w:r>
      <w:r w:rsidR="00157161" w:rsidRPr="007B25AE">
        <w:rPr>
          <w:rFonts w:ascii="Baskerville" w:eastAsia="MS PMincho" w:hAnsi="Baskerville" w:cs="Arabic Typesetting"/>
        </w:rPr>
        <w:t xml:space="preserve">in the </w:t>
      </w:r>
      <w:r w:rsidR="00F74D1C" w:rsidRPr="007B25AE">
        <w:rPr>
          <w:rFonts w:ascii="Baskerville" w:eastAsia="MS PMincho" w:hAnsi="Baskerville" w:cs="Arabic Typesetting"/>
        </w:rPr>
        <w:t xml:space="preserve">uca.edu </w:t>
      </w:r>
      <w:r w:rsidR="00157161" w:rsidRPr="007B25AE">
        <w:rPr>
          <w:rFonts w:ascii="Baskerville" w:eastAsia="MS PMincho" w:hAnsi="Baskerville" w:cs="Arabic Typesetting"/>
        </w:rPr>
        <w:t>paper</w:t>
      </w:r>
      <w:r w:rsidR="00570470" w:rsidRPr="007B25AE">
        <w:rPr>
          <w:rFonts w:ascii="Baskerville" w:eastAsia="MS PMincho" w:hAnsi="Baskerville" w:cs="Arabic Typesetting"/>
        </w:rPr>
        <w:t>,</w:t>
      </w:r>
      <w:r w:rsidR="00157161" w:rsidRPr="007B25AE">
        <w:rPr>
          <w:rFonts w:ascii="Baskerville" w:eastAsia="MS PMincho" w:hAnsi="Baskerville" w:cs="Arabic Typesetting"/>
        </w:rPr>
        <w:t xml:space="preserve"> is,</w:t>
      </w:r>
      <w:r w:rsidR="00CC1F16" w:rsidRPr="007B25AE">
        <w:rPr>
          <w:rFonts w:ascii="Baskerville" w:eastAsia="MS PMincho" w:hAnsi="Baskerville" w:cs="Arabic Typesetting"/>
        </w:rPr>
        <w:t xml:space="preserve"> “If a student drops her books in a crowded student center on campus, then the student will be less likely to receive help than if only a few people are in the student center.” </w:t>
      </w:r>
      <w:r w:rsidR="00570470" w:rsidRPr="007B25AE">
        <w:rPr>
          <w:rFonts w:ascii="Baskerville" w:eastAsia="MS PMincho" w:hAnsi="Baskerville" w:cs="Arabic Typesetting"/>
        </w:rPr>
        <w:t xml:space="preserve"> The other form,</w:t>
      </w:r>
      <w:r w:rsidR="00CC1F16" w:rsidRPr="007B25AE">
        <w:rPr>
          <w:rFonts w:ascii="Baskerville" w:eastAsia="MS PMincho" w:hAnsi="Baskerville" w:cs="Arabic Typesetting"/>
        </w:rPr>
        <w:t xml:space="preserve"> </w:t>
      </w:r>
      <w:r w:rsidR="00F74D1C" w:rsidRPr="007B25AE">
        <w:rPr>
          <w:rFonts w:ascii="Baskerville" w:eastAsia="MS PMincho" w:hAnsi="Baskerville" w:cs="Arabic Typesetting"/>
        </w:rPr>
        <w:t xml:space="preserve">obtained </w:t>
      </w:r>
      <w:r w:rsidR="00CC1F16" w:rsidRPr="007B25AE">
        <w:rPr>
          <w:rFonts w:ascii="Baskerville" w:eastAsia="MS PMincho" w:hAnsi="Baskerville" w:cs="Arabic Typesetting"/>
        </w:rPr>
        <w:t>from the same source</w:t>
      </w:r>
      <w:r w:rsidR="00570470" w:rsidRPr="007B25AE">
        <w:rPr>
          <w:rFonts w:ascii="Baskerville" w:eastAsia="MS PMincho" w:hAnsi="Baskerville" w:cs="Arabic Typesetting"/>
        </w:rPr>
        <w:t>,</w:t>
      </w:r>
      <w:r w:rsidR="00D114E2" w:rsidRPr="007B25AE">
        <w:rPr>
          <w:rFonts w:ascii="Baskerville" w:eastAsia="MS PMincho" w:hAnsi="Baskerville" w:cs="Arabic Typesetting"/>
        </w:rPr>
        <w:t xml:space="preserve"> states</w:t>
      </w:r>
      <w:r w:rsidR="00157161" w:rsidRPr="007B25AE">
        <w:rPr>
          <w:rFonts w:ascii="Baskerville" w:eastAsia="MS PMincho" w:hAnsi="Baskerville" w:cs="Arabic Typesetting"/>
        </w:rPr>
        <w:t xml:space="preserve"> that</w:t>
      </w:r>
      <w:r w:rsidR="00CC1F16" w:rsidRPr="007B25AE">
        <w:rPr>
          <w:rFonts w:ascii="Baskerville" w:eastAsia="MS PMincho" w:hAnsi="Baskerville" w:cs="Arabic Typesetting"/>
        </w:rPr>
        <w:t xml:space="preserve">, </w:t>
      </w:r>
      <w:r w:rsidR="00D114E2" w:rsidRPr="007B25AE">
        <w:rPr>
          <w:rFonts w:ascii="Baskerville" w:eastAsia="MS PMincho" w:hAnsi="Baskerville" w:cs="Arabic Typesetting"/>
        </w:rPr>
        <w:t>“In the case of murder, mock jury will be more likely to convict a black defendant than a white defendant”</w:t>
      </w:r>
      <w:r w:rsidR="00682DB6" w:rsidRPr="007B25AE">
        <w:rPr>
          <w:rFonts w:ascii="Baskerville" w:eastAsia="MS PMincho" w:hAnsi="Baskerville" w:cs="Arabic Typesetting"/>
        </w:rPr>
        <w:t xml:space="preserve"> (uca.edu).</w:t>
      </w:r>
      <w:r w:rsidR="00971BF1" w:rsidRPr="007B25AE">
        <w:rPr>
          <w:rFonts w:ascii="Baskerville" w:eastAsia="MS PMincho" w:hAnsi="Baskerville" w:cs="Arabic Typesetting"/>
        </w:rPr>
        <w:t xml:space="preserve"> </w:t>
      </w:r>
      <w:r w:rsidR="00D114E2" w:rsidRPr="007B25AE">
        <w:rPr>
          <w:rFonts w:ascii="Baskerville" w:eastAsia="MS PMincho" w:hAnsi="Baskerville" w:cs="Arabic Typesetting"/>
        </w:rPr>
        <w:t xml:space="preserve"> </w:t>
      </w:r>
    </w:p>
    <w:p w14:paraId="3BC295A0" w14:textId="5E1AD15C" w:rsidR="00F455F9" w:rsidRPr="007B25AE" w:rsidRDefault="00BC6401" w:rsidP="009F2AC2">
      <w:pPr>
        <w:spacing w:line="360" w:lineRule="auto"/>
        <w:ind w:firstLine="720"/>
        <w:rPr>
          <w:rFonts w:ascii="Baskerville" w:eastAsia="MS PMincho" w:hAnsi="Baskerville" w:cs="Arabic Typesetting"/>
        </w:rPr>
      </w:pPr>
      <w:r w:rsidRPr="007B25AE">
        <w:rPr>
          <w:rFonts w:ascii="Baskerville" w:eastAsia="MS PMincho" w:hAnsi="Baskerville" w:cs="Arabic Typesetting"/>
        </w:rPr>
        <w:t>Notably, t</w:t>
      </w:r>
      <w:r w:rsidR="008C5579" w:rsidRPr="007B25AE">
        <w:rPr>
          <w:rFonts w:ascii="Baskerville" w:eastAsia="MS PMincho" w:hAnsi="Baskerville" w:cs="Arabic Typesetting"/>
        </w:rPr>
        <w:t>h</w:t>
      </w:r>
      <w:r w:rsidR="006B05C6" w:rsidRPr="007B25AE">
        <w:rPr>
          <w:rFonts w:ascii="Baskerville" w:eastAsia="MS PMincho" w:hAnsi="Baskerville" w:cs="Arabic Typesetting"/>
        </w:rPr>
        <w:t>e</w:t>
      </w:r>
      <w:r w:rsidR="008C5579" w:rsidRPr="007B25AE">
        <w:rPr>
          <w:rFonts w:ascii="Baskerville" w:eastAsia="MS PMincho" w:hAnsi="Baskerville" w:cs="Arabic Typesetting"/>
        </w:rPr>
        <w:t xml:space="preserve"> first </w:t>
      </w:r>
      <w:r w:rsidR="00EF599B" w:rsidRPr="007B25AE">
        <w:rPr>
          <w:rFonts w:ascii="Baskerville" w:eastAsia="MS PMincho" w:hAnsi="Baskerville" w:cs="Arabic Typesetting"/>
        </w:rPr>
        <w:t>(H</w:t>
      </w:r>
      <w:r w:rsidR="00EF599B" w:rsidRPr="007B25AE">
        <w:rPr>
          <w:rFonts w:ascii="Baskerville" w:eastAsia="MS PMincho" w:hAnsi="Baskerville" w:cs="Arabic Typesetting"/>
          <w:vertAlign w:val="subscript"/>
        </w:rPr>
        <w:t>1</w:t>
      </w:r>
      <w:r w:rsidR="00EF599B" w:rsidRPr="007B25AE">
        <w:rPr>
          <w:rFonts w:ascii="Baskerville" w:eastAsia="MS PMincho" w:hAnsi="Baskerville" w:cs="Arabic Typesetting"/>
        </w:rPr>
        <w:t xml:space="preserve">) </w:t>
      </w:r>
      <w:r w:rsidR="005B7E1A" w:rsidRPr="007B25AE">
        <w:rPr>
          <w:rFonts w:ascii="Baskerville" w:eastAsia="MS PMincho" w:hAnsi="Baskerville" w:cs="Arabic Typesetting"/>
        </w:rPr>
        <w:t xml:space="preserve">of these two </w:t>
      </w:r>
      <w:r w:rsidR="0049228F" w:rsidRPr="007B25AE">
        <w:rPr>
          <w:rFonts w:ascii="Baskerville" w:eastAsia="MS PMincho" w:hAnsi="Baskerville" w:cs="Arabic Typesetting"/>
        </w:rPr>
        <w:t>hypothes</w:t>
      </w:r>
      <w:r w:rsidR="00326E56" w:rsidRPr="007B25AE">
        <w:rPr>
          <w:rFonts w:ascii="Baskerville" w:eastAsia="MS PMincho" w:hAnsi="Baskerville" w:cs="Arabic Typesetting"/>
        </w:rPr>
        <w:t>e</w:t>
      </w:r>
      <w:r w:rsidR="0049228F" w:rsidRPr="007B25AE">
        <w:rPr>
          <w:rFonts w:ascii="Baskerville" w:eastAsia="MS PMincho" w:hAnsi="Baskerville" w:cs="Arabic Typesetting"/>
        </w:rPr>
        <w:t xml:space="preserve">s </w:t>
      </w:r>
      <w:r w:rsidR="008C5579" w:rsidRPr="007B25AE">
        <w:rPr>
          <w:rFonts w:ascii="Baskerville" w:eastAsia="MS PMincho" w:hAnsi="Baskerville" w:cs="Arabic Typesetting"/>
        </w:rPr>
        <w:t xml:space="preserve">is written </w:t>
      </w:r>
      <w:r w:rsidR="0080555C" w:rsidRPr="007B25AE">
        <w:rPr>
          <w:rFonts w:ascii="Baskerville" w:eastAsia="MS PMincho" w:hAnsi="Baskerville" w:cs="Arabic Typesetting"/>
        </w:rPr>
        <w:t xml:space="preserve">in the </w:t>
      </w:r>
      <w:r w:rsidR="00E51C1F" w:rsidRPr="007B25AE">
        <w:rPr>
          <w:rFonts w:ascii="Baskerville" w:eastAsia="MS PMincho" w:hAnsi="Baskerville" w:cs="Arabic Typesetting"/>
        </w:rPr>
        <w:t>“</w:t>
      </w:r>
      <w:r w:rsidR="00375EB0" w:rsidRPr="007B25AE">
        <w:rPr>
          <w:rFonts w:ascii="Baskerville" w:eastAsia="MS PMincho" w:hAnsi="Baskerville" w:cs="Arabic Typesetting"/>
        </w:rPr>
        <w:t>subjunctive mood</w:t>
      </w:r>
      <w:r w:rsidR="0080555C" w:rsidRPr="007B25AE">
        <w:rPr>
          <w:rFonts w:ascii="Baskerville" w:eastAsia="MS PMincho" w:hAnsi="Baskerville" w:cs="Arabic Typesetting"/>
        </w:rPr>
        <w:t>” and the second</w:t>
      </w:r>
      <w:r w:rsidR="00EF599B" w:rsidRPr="007B25AE">
        <w:rPr>
          <w:rFonts w:ascii="Baskerville" w:eastAsia="MS PMincho" w:hAnsi="Baskerville" w:cs="Arabic Typesetting"/>
        </w:rPr>
        <w:t xml:space="preserve"> (H</w:t>
      </w:r>
      <w:r w:rsidR="00EF599B" w:rsidRPr="007B25AE">
        <w:rPr>
          <w:rFonts w:ascii="Baskerville" w:eastAsia="MS PMincho" w:hAnsi="Baskerville" w:cs="Arabic Typesetting"/>
          <w:vertAlign w:val="subscript"/>
        </w:rPr>
        <w:t>2</w:t>
      </w:r>
      <w:r w:rsidR="00EF599B" w:rsidRPr="007B25AE">
        <w:rPr>
          <w:rFonts w:ascii="Baskerville" w:eastAsia="MS PMincho" w:hAnsi="Baskerville" w:cs="Arabic Typesetting"/>
        </w:rPr>
        <w:t>)</w:t>
      </w:r>
      <w:r w:rsidR="00326E56" w:rsidRPr="007B25AE">
        <w:rPr>
          <w:rFonts w:ascii="Baskerville" w:eastAsia="MS PMincho" w:hAnsi="Baskerville" w:cs="Arabic Typesetting"/>
        </w:rPr>
        <w:t>,</w:t>
      </w:r>
      <w:r w:rsidR="0080555C" w:rsidRPr="007B25AE">
        <w:rPr>
          <w:rFonts w:ascii="Baskerville" w:eastAsia="MS PMincho" w:hAnsi="Baskerville" w:cs="Arabic Typesetting"/>
        </w:rPr>
        <w:t xml:space="preserve"> </w:t>
      </w:r>
      <w:r w:rsidR="008C5579" w:rsidRPr="007B25AE">
        <w:rPr>
          <w:rFonts w:ascii="Baskerville" w:eastAsia="MS PMincho" w:hAnsi="Baskerville" w:cs="Arabic Typesetting"/>
        </w:rPr>
        <w:t>in the</w:t>
      </w:r>
      <w:r w:rsidR="009F2A48" w:rsidRPr="007B25AE">
        <w:rPr>
          <w:rFonts w:ascii="Baskerville" w:eastAsia="MS PMincho" w:hAnsi="Baskerville" w:cs="Arabic Typesetting"/>
        </w:rPr>
        <w:t xml:space="preserve"> “</w:t>
      </w:r>
      <w:r w:rsidR="00375EB0" w:rsidRPr="007B25AE">
        <w:rPr>
          <w:rFonts w:ascii="Baskerville" w:eastAsia="MS PMincho" w:hAnsi="Baskerville" w:cs="Arabic Typesetting"/>
        </w:rPr>
        <w:t>indicative mood</w:t>
      </w:r>
      <w:r w:rsidR="00A90048" w:rsidRPr="007B25AE">
        <w:rPr>
          <w:rFonts w:ascii="Baskerville" w:eastAsia="MS PMincho" w:hAnsi="Baskerville" w:cs="Arabic Typesetting"/>
        </w:rPr>
        <w:t>.</w:t>
      </w:r>
      <w:r w:rsidR="009A6FFE" w:rsidRPr="007B25AE">
        <w:rPr>
          <w:rFonts w:ascii="Baskerville" w:eastAsia="MS PMincho" w:hAnsi="Baskerville" w:cs="Arabic Typesetting"/>
        </w:rPr>
        <w:t>”</w:t>
      </w:r>
      <w:r w:rsidR="002722F9" w:rsidRPr="007B25AE">
        <w:rPr>
          <w:rFonts w:ascii="Baskerville" w:eastAsia="MS PMincho" w:hAnsi="Baskerville" w:cs="Arabic Typesetting"/>
        </w:rPr>
        <w:t xml:space="preserve"> </w:t>
      </w:r>
      <w:r w:rsidR="00326E56" w:rsidRPr="007B25AE">
        <w:rPr>
          <w:rFonts w:ascii="Baskerville" w:eastAsia="MS PMincho" w:hAnsi="Baskerville" w:cs="Arabic Typesetting"/>
        </w:rPr>
        <w:t>It maybe</w:t>
      </w:r>
      <w:r w:rsidR="00AA63CE" w:rsidRPr="007B25AE">
        <w:rPr>
          <w:rFonts w:ascii="Baskerville" w:eastAsia="MS PMincho" w:hAnsi="Baskerville" w:cs="Arabic Typesetting"/>
        </w:rPr>
        <w:t xml:space="preserve"> </w:t>
      </w:r>
      <w:r w:rsidR="00326E56" w:rsidRPr="007B25AE">
        <w:rPr>
          <w:rFonts w:ascii="Baskerville" w:eastAsia="MS PMincho" w:hAnsi="Baskerville" w:cs="Arabic Typesetting"/>
        </w:rPr>
        <w:t xml:space="preserve">that </w:t>
      </w:r>
      <w:r w:rsidR="00AA63CE" w:rsidRPr="007B25AE">
        <w:rPr>
          <w:rFonts w:ascii="Baskerville" w:eastAsia="MS PMincho" w:hAnsi="Baskerville" w:cs="Arabic Typesetting"/>
        </w:rPr>
        <w:t xml:space="preserve">the most direct way of explaining </w:t>
      </w:r>
      <w:r w:rsidR="00224D2B" w:rsidRPr="007B25AE">
        <w:rPr>
          <w:rFonts w:ascii="Baskerville" w:eastAsia="MS PMincho" w:hAnsi="Baskerville" w:cs="Arabic Typesetting"/>
        </w:rPr>
        <w:t>how the</w:t>
      </w:r>
      <w:r w:rsidR="00AA63CE" w:rsidRPr="007B25AE">
        <w:rPr>
          <w:rFonts w:ascii="Baskerville" w:eastAsia="MS PMincho" w:hAnsi="Baskerville" w:cs="Arabic Typesetting"/>
        </w:rPr>
        <w:t xml:space="preserve"> “indicative mood” </w:t>
      </w:r>
      <w:r w:rsidR="005B7E1A" w:rsidRPr="007B25AE">
        <w:rPr>
          <w:rFonts w:ascii="Baskerville" w:eastAsia="MS PMincho" w:hAnsi="Baskerville" w:cs="Arabic Typesetting"/>
        </w:rPr>
        <w:t>work</w:t>
      </w:r>
      <w:r w:rsidR="00224D2B" w:rsidRPr="007B25AE">
        <w:rPr>
          <w:rFonts w:ascii="Baskerville" w:eastAsia="MS PMincho" w:hAnsi="Baskerville" w:cs="Arabic Typesetting"/>
        </w:rPr>
        <w:t>s</w:t>
      </w:r>
      <w:r w:rsidR="00AA63CE" w:rsidRPr="007B25AE">
        <w:rPr>
          <w:rFonts w:ascii="Baskerville" w:eastAsia="MS PMincho" w:hAnsi="Baskerville" w:cs="Arabic Typesetting"/>
        </w:rPr>
        <w:t xml:space="preserve"> is to say simply that it is </w:t>
      </w:r>
      <w:r w:rsidR="006B05C6" w:rsidRPr="007B25AE">
        <w:rPr>
          <w:rFonts w:ascii="Baskerville" w:eastAsia="MS PMincho" w:hAnsi="Baskerville" w:cs="Arabic Typesetting"/>
        </w:rPr>
        <w:t>a</w:t>
      </w:r>
      <w:r w:rsidR="00AA63CE" w:rsidRPr="007B25AE">
        <w:rPr>
          <w:rFonts w:ascii="Baskerville" w:eastAsia="MS PMincho" w:hAnsi="Baskerville" w:cs="Arabic Typesetting"/>
        </w:rPr>
        <w:t xml:space="preserve"> </w:t>
      </w:r>
      <w:r w:rsidR="006B05C6" w:rsidRPr="007B25AE">
        <w:rPr>
          <w:rFonts w:ascii="Baskerville" w:eastAsia="MS PMincho" w:hAnsi="Baskerville" w:cs="Arabic Typesetting"/>
        </w:rPr>
        <w:t>straight</w:t>
      </w:r>
      <w:r w:rsidR="00D37785" w:rsidRPr="007B25AE">
        <w:rPr>
          <w:rFonts w:ascii="Baskerville" w:eastAsia="MS PMincho" w:hAnsi="Baskerville" w:cs="Arabic Typesetting"/>
        </w:rPr>
        <w:t>-</w:t>
      </w:r>
      <w:r w:rsidR="006B05C6" w:rsidRPr="007B25AE">
        <w:rPr>
          <w:rFonts w:ascii="Baskerville" w:eastAsia="MS PMincho" w:hAnsi="Baskerville" w:cs="Arabic Typesetting"/>
        </w:rPr>
        <w:t xml:space="preserve">forward </w:t>
      </w:r>
      <w:r w:rsidR="00AA63CE" w:rsidRPr="007B25AE">
        <w:rPr>
          <w:rFonts w:ascii="Baskerville" w:eastAsia="MS PMincho" w:hAnsi="Baskerville" w:cs="Arabic Typesetting"/>
        </w:rPr>
        <w:t>expression of an opinion</w:t>
      </w:r>
      <w:r w:rsidR="00DB2C55" w:rsidRPr="007B25AE">
        <w:rPr>
          <w:rFonts w:ascii="Baskerville" w:eastAsia="MS PMincho" w:hAnsi="Baskerville" w:cs="Arabic Typesetting"/>
        </w:rPr>
        <w:t xml:space="preserve"> </w:t>
      </w:r>
      <w:r w:rsidR="005B7E1A" w:rsidRPr="007B25AE">
        <w:rPr>
          <w:rFonts w:ascii="Baskerville" w:eastAsia="MS PMincho" w:hAnsi="Baskerville" w:cs="Arabic Typesetting"/>
        </w:rPr>
        <w:t>or theory</w:t>
      </w:r>
      <w:r w:rsidR="00AA63CE" w:rsidRPr="007B25AE">
        <w:rPr>
          <w:rFonts w:ascii="Baskerville" w:eastAsia="MS PMincho" w:hAnsi="Baskerville" w:cs="Arabic Typesetting"/>
        </w:rPr>
        <w:t xml:space="preserve">. </w:t>
      </w:r>
      <w:r w:rsidR="006B05C6" w:rsidRPr="007B25AE">
        <w:rPr>
          <w:rFonts w:ascii="Baskerville" w:eastAsia="MS PMincho" w:hAnsi="Baskerville" w:cs="Arabic Typesetting"/>
        </w:rPr>
        <w:t xml:space="preserve"> </w:t>
      </w:r>
      <w:r w:rsidR="00F455F9" w:rsidRPr="007B25AE">
        <w:rPr>
          <w:rFonts w:ascii="Baskerville" w:eastAsia="MS PMincho" w:hAnsi="Baskerville" w:cs="Arabic Typesetting"/>
        </w:rPr>
        <w:t xml:space="preserve">The paper took the </w:t>
      </w:r>
      <w:r w:rsidR="0029144A" w:rsidRPr="007B25AE">
        <w:rPr>
          <w:rFonts w:ascii="Baskerville" w:eastAsia="MS PMincho" w:hAnsi="Baskerville" w:cs="Arabic Typesetting"/>
        </w:rPr>
        <w:t>effort</w:t>
      </w:r>
      <w:r w:rsidR="00F455F9" w:rsidRPr="007B25AE">
        <w:rPr>
          <w:rFonts w:ascii="Baskerville" w:eastAsia="MS PMincho" w:hAnsi="Baskerville" w:cs="Arabic Typesetting"/>
        </w:rPr>
        <w:t xml:space="preserve"> to differentiate between a good hypothesis and a bad </w:t>
      </w:r>
      <w:r w:rsidR="00F74D1C" w:rsidRPr="007B25AE">
        <w:rPr>
          <w:rFonts w:ascii="Baskerville" w:eastAsia="MS PMincho" w:hAnsi="Baskerville" w:cs="Arabic Typesetting"/>
        </w:rPr>
        <w:t>one</w:t>
      </w:r>
      <w:r w:rsidR="00F455F9" w:rsidRPr="007B25AE">
        <w:rPr>
          <w:rFonts w:ascii="Baskerville" w:eastAsia="MS PMincho" w:hAnsi="Baskerville" w:cs="Arabic Typesetting"/>
        </w:rPr>
        <w:t xml:space="preserve">. </w:t>
      </w:r>
      <w:proofErr w:type="gramStart"/>
      <w:r w:rsidR="00F455F9" w:rsidRPr="007B25AE">
        <w:rPr>
          <w:rFonts w:ascii="Baskerville" w:eastAsia="MS PMincho" w:hAnsi="Baskerville" w:cs="Arabic Typesetting"/>
        </w:rPr>
        <w:t>Both of the</w:t>
      </w:r>
      <w:r w:rsidR="00110F53" w:rsidRPr="007B25AE">
        <w:rPr>
          <w:rFonts w:ascii="Baskerville" w:eastAsia="MS PMincho" w:hAnsi="Baskerville" w:cs="Arabic Typesetting"/>
        </w:rPr>
        <w:t>se</w:t>
      </w:r>
      <w:proofErr w:type="gramEnd"/>
      <w:r w:rsidR="0029144A" w:rsidRPr="007B25AE">
        <w:rPr>
          <w:rFonts w:ascii="Baskerville" w:eastAsia="MS PMincho" w:hAnsi="Baskerville" w:cs="Arabic Typesetting"/>
        </w:rPr>
        <w:t xml:space="preserve"> examples</w:t>
      </w:r>
      <w:r w:rsidR="00110F53" w:rsidRPr="007B25AE">
        <w:rPr>
          <w:rFonts w:ascii="Baskerville" w:eastAsia="MS PMincho" w:hAnsi="Baskerville" w:cs="Arabic Typesetting"/>
        </w:rPr>
        <w:t>,</w:t>
      </w:r>
      <w:r w:rsidR="00F455F9" w:rsidRPr="007B25AE">
        <w:rPr>
          <w:rFonts w:ascii="Baskerville" w:eastAsia="MS PMincho" w:hAnsi="Baskerville" w:cs="Arabic Typesetting"/>
        </w:rPr>
        <w:t xml:space="preserve"> taken from </w:t>
      </w:r>
      <w:r w:rsidR="00110F53" w:rsidRPr="007B25AE">
        <w:rPr>
          <w:rFonts w:ascii="Baskerville" w:eastAsia="MS PMincho" w:hAnsi="Baskerville" w:cs="Arabic Typesetting"/>
        </w:rPr>
        <w:t>a</w:t>
      </w:r>
      <w:r w:rsidR="00F455F9" w:rsidRPr="007B25AE">
        <w:rPr>
          <w:rFonts w:ascii="Baskerville" w:eastAsia="MS PMincho" w:hAnsi="Baskerville" w:cs="Arabic Typesetting"/>
        </w:rPr>
        <w:t xml:space="preserve"> list of “good” hypotheses presented in the uca.edu paper</w:t>
      </w:r>
      <w:r w:rsidR="00110F53" w:rsidRPr="007B25AE">
        <w:rPr>
          <w:rFonts w:ascii="Baskerville" w:eastAsia="MS PMincho" w:hAnsi="Baskerville" w:cs="Arabic Typesetting"/>
        </w:rPr>
        <w:t xml:space="preserve">, although </w:t>
      </w:r>
      <w:r w:rsidR="0029144A" w:rsidRPr="007B25AE">
        <w:rPr>
          <w:rFonts w:ascii="Baskerville" w:eastAsia="MS PMincho" w:hAnsi="Baskerville" w:cs="Arabic Typesetting"/>
        </w:rPr>
        <w:t>in</w:t>
      </w:r>
      <w:r w:rsidR="00110F53" w:rsidRPr="007B25AE">
        <w:rPr>
          <w:rFonts w:ascii="Baskerville" w:eastAsia="MS PMincho" w:hAnsi="Baskerville" w:cs="Arabic Typesetting"/>
        </w:rPr>
        <w:t xml:space="preserve"> two different grammatical forms,</w:t>
      </w:r>
      <w:r w:rsidR="007D06E7" w:rsidRPr="007B25AE">
        <w:rPr>
          <w:rFonts w:ascii="Baskerville" w:eastAsia="MS PMincho" w:hAnsi="Baskerville" w:cs="Arabic Typesetting"/>
        </w:rPr>
        <w:t xml:space="preserve"> </w:t>
      </w:r>
      <w:r w:rsidR="00A90048" w:rsidRPr="007B25AE">
        <w:rPr>
          <w:rFonts w:ascii="Baskerville" w:eastAsia="MS PMincho" w:hAnsi="Baskerville" w:cs="Arabic Typesetting"/>
        </w:rPr>
        <w:t>bear all the</w:t>
      </w:r>
      <w:r w:rsidR="002C2E7A" w:rsidRPr="007B25AE">
        <w:rPr>
          <w:rFonts w:ascii="Baskerville" w:eastAsia="MS PMincho" w:hAnsi="Baskerville" w:cs="Arabic Typesetting"/>
        </w:rPr>
        <w:t xml:space="preserve"> </w:t>
      </w:r>
      <w:r w:rsidR="00496FA1" w:rsidRPr="007B25AE">
        <w:rPr>
          <w:rFonts w:ascii="Baskerville" w:eastAsia="MS PMincho" w:hAnsi="Baskerville" w:cs="Arabic Typesetting"/>
        </w:rPr>
        <w:t xml:space="preserve">essential </w:t>
      </w:r>
      <w:r w:rsidR="00570470" w:rsidRPr="007B25AE">
        <w:rPr>
          <w:rFonts w:ascii="Baskerville" w:eastAsia="MS PMincho" w:hAnsi="Baskerville" w:cs="Arabic Typesetting"/>
        </w:rPr>
        <w:t>qualitie</w:t>
      </w:r>
      <w:r w:rsidR="00A90048" w:rsidRPr="007B25AE">
        <w:rPr>
          <w:rFonts w:ascii="Baskerville" w:eastAsia="MS PMincho" w:hAnsi="Baskerville" w:cs="Arabic Typesetting"/>
        </w:rPr>
        <w:t>s of</w:t>
      </w:r>
      <w:r w:rsidR="00496FA1" w:rsidRPr="007B25AE">
        <w:rPr>
          <w:rFonts w:ascii="Baskerville" w:eastAsia="MS PMincho" w:hAnsi="Baskerville" w:cs="Arabic Typesetting"/>
        </w:rPr>
        <w:t xml:space="preserve"> </w:t>
      </w:r>
      <w:r w:rsidR="00E001B4" w:rsidRPr="007B25AE">
        <w:rPr>
          <w:rFonts w:ascii="Baskerville" w:eastAsia="MS PMincho" w:hAnsi="Baskerville" w:cs="Arabic Typesetting"/>
        </w:rPr>
        <w:t>good</w:t>
      </w:r>
      <w:r w:rsidR="00A90048" w:rsidRPr="007B25AE">
        <w:rPr>
          <w:rFonts w:ascii="Baskerville" w:eastAsia="MS PMincho" w:hAnsi="Baskerville" w:cs="Arabic Typesetting"/>
        </w:rPr>
        <w:t xml:space="preserve"> hypothes</w:t>
      </w:r>
      <w:r w:rsidR="0029144A" w:rsidRPr="007B25AE">
        <w:rPr>
          <w:rFonts w:ascii="Baskerville" w:eastAsia="MS PMincho" w:hAnsi="Baskerville" w:cs="Arabic Typesetting"/>
        </w:rPr>
        <w:t>e</w:t>
      </w:r>
      <w:r w:rsidR="00A90048" w:rsidRPr="007B25AE">
        <w:rPr>
          <w:rFonts w:ascii="Baskerville" w:eastAsia="MS PMincho" w:hAnsi="Baskerville" w:cs="Arabic Typesetting"/>
        </w:rPr>
        <w:t>s</w:t>
      </w:r>
      <w:r w:rsidR="00F455F9" w:rsidRPr="007B25AE">
        <w:rPr>
          <w:rFonts w:ascii="Baskerville" w:eastAsia="MS PMincho" w:hAnsi="Baskerville" w:cs="Arabic Typesetting"/>
        </w:rPr>
        <w:t>.</w:t>
      </w:r>
      <w:r w:rsidR="00D32CBF" w:rsidRPr="007B25AE">
        <w:rPr>
          <w:rFonts w:ascii="Baskerville" w:eastAsia="MS PMincho" w:hAnsi="Baskerville" w:cs="Arabic Typesetting"/>
        </w:rPr>
        <w:t xml:space="preserve"> </w:t>
      </w:r>
    </w:p>
    <w:p w14:paraId="5A15941C" w14:textId="1351E722" w:rsidR="009F2AC2" w:rsidRPr="007B25AE" w:rsidRDefault="0029144A" w:rsidP="009F2AC2">
      <w:pPr>
        <w:spacing w:line="360" w:lineRule="auto"/>
        <w:ind w:firstLine="720"/>
        <w:rPr>
          <w:rFonts w:ascii="Baskerville" w:eastAsia="MS PMincho" w:hAnsi="Baskerville" w:cs="Arabic Typesetting"/>
        </w:rPr>
      </w:pPr>
      <w:r w:rsidRPr="007B25AE">
        <w:rPr>
          <w:rFonts w:ascii="Baskerville" w:eastAsia="MS PMincho" w:hAnsi="Baskerville" w:cs="Arabic Typesetting"/>
        </w:rPr>
        <w:t>The paper says that a</w:t>
      </w:r>
      <w:r w:rsidR="005D5487" w:rsidRPr="007B25AE">
        <w:rPr>
          <w:rFonts w:ascii="Baskerville" w:eastAsia="MS PMincho" w:hAnsi="Baskerville" w:cs="Arabic Typesetting"/>
        </w:rPr>
        <w:t>mong</w:t>
      </w:r>
      <w:r w:rsidR="00F455F9" w:rsidRPr="007B25AE">
        <w:rPr>
          <w:rFonts w:ascii="Baskerville" w:eastAsia="MS PMincho" w:hAnsi="Baskerville" w:cs="Arabic Typesetting"/>
        </w:rPr>
        <w:t xml:space="preserve"> the </w:t>
      </w:r>
      <w:r w:rsidR="005D5487" w:rsidRPr="007B25AE">
        <w:rPr>
          <w:rFonts w:ascii="Baskerville" w:eastAsia="MS PMincho" w:hAnsi="Baskerville" w:cs="Arabic Typesetting"/>
        </w:rPr>
        <w:t>essential</w:t>
      </w:r>
      <w:r w:rsidR="00D32CBF" w:rsidRPr="007B25AE">
        <w:rPr>
          <w:rFonts w:ascii="Baskerville" w:eastAsia="MS PMincho" w:hAnsi="Baskerville" w:cs="Arabic Typesetting"/>
        </w:rPr>
        <w:t xml:space="preserve"> “</w:t>
      </w:r>
      <w:r w:rsidR="005D5487" w:rsidRPr="007B25AE">
        <w:rPr>
          <w:rFonts w:ascii="Baskerville" w:eastAsia="MS PMincho" w:hAnsi="Baskerville" w:cs="Arabic Typesetting"/>
        </w:rPr>
        <w:t>qualitie</w:t>
      </w:r>
      <w:r w:rsidR="00E001B4" w:rsidRPr="007B25AE">
        <w:rPr>
          <w:rFonts w:ascii="Baskerville" w:eastAsia="MS PMincho" w:hAnsi="Baskerville" w:cs="Arabic Typesetting"/>
        </w:rPr>
        <w:t>s</w:t>
      </w:r>
      <w:r w:rsidR="00D32CBF" w:rsidRPr="007B25AE">
        <w:rPr>
          <w:rFonts w:ascii="Baskerville" w:eastAsia="MS PMincho" w:hAnsi="Baskerville" w:cs="Arabic Typesetting"/>
        </w:rPr>
        <w:t>”</w:t>
      </w:r>
      <w:r w:rsidR="002C2E7A" w:rsidRPr="007B25AE">
        <w:rPr>
          <w:rFonts w:ascii="Baskerville" w:eastAsia="MS PMincho" w:hAnsi="Baskerville" w:cs="Arabic Typesetting"/>
        </w:rPr>
        <w:t xml:space="preserve"> </w:t>
      </w:r>
      <w:r w:rsidR="005D5487" w:rsidRPr="007B25AE">
        <w:rPr>
          <w:rFonts w:ascii="Baskerville" w:eastAsia="MS PMincho" w:hAnsi="Baskerville" w:cs="Arabic Typesetting"/>
        </w:rPr>
        <w:t xml:space="preserve">that should be present in a good hypothesis </w:t>
      </w:r>
      <w:r w:rsidR="00496FA1" w:rsidRPr="007B25AE">
        <w:rPr>
          <w:rFonts w:ascii="Baskerville" w:eastAsia="MS PMincho" w:hAnsi="Baskerville" w:cs="Arabic Typesetting"/>
        </w:rPr>
        <w:t>are</w:t>
      </w:r>
      <w:r w:rsidR="005D5487" w:rsidRPr="007B25AE">
        <w:rPr>
          <w:rFonts w:ascii="Baskerville" w:eastAsia="MS PMincho" w:hAnsi="Baskerville" w:cs="Arabic Typesetting"/>
        </w:rPr>
        <w:t xml:space="preserve"> its possession of the two main types of variables</w:t>
      </w:r>
      <w:r w:rsidR="00496FA1" w:rsidRPr="007B25AE">
        <w:rPr>
          <w:rFonts w:ascii="Baskerville" w:eastAsia="MS PMincho" w:hAnsi="Baskerville" w:cs="Arabic Typesetting"/>
        </w:rPr>
        <w:t>, a “functional</w:t>
      </w:r>
      <w:r w:rsidR="002C2E7A" w:rsidRPr="007B25AE">
        <w:rPr>
          <w:rFonts w:ascii="Baskerville" w:eastAsia="MS PMincho" w:hAnsi="Baskerville" w:cs="Arabic Typesetting"/>
        </w:rPr>
        <w:t xml:space="preserve"> relationship</w:t>
      </w:r>
      <w:r w:rsidR="00496FA1" w:rsidRPr="007B25AE">
        <w:rPr>
          <w:rFonts w:ascii="Baskerville" w:eastAsia="MS PMincho" w:hAnsi="Baskerville" w:cs="Arabic Typesetting"/>
        </w:rPr>
        <w:t>”</w:t>
      </w:r>
      <w:r w:rsidR="002C2E7A" w:rsidRPr="007B25AE">
        <w:rPr>
          <w:rFonts w:ascii="Baskerville" w:eastAsia="MS PMincho" w:hAnsi="Baskerville" w:cs="Arabic Typesetting"/>
        </w:rPr>
        <w:t xml:space="preserve"> between </w:t>
      </w:r>
      <w:r w:rsidR="006E03F0" w:rsidRPr="007B25AE">
        <w:rPr>
          <w:rFonts w:ascii="Baskerville" w:eastAsia="MS PMincho" w:hAnsi="Baskerville" w:cs="Arabic Typesetting"/>
        </w:rPr>
        <w:t>t</w:t>
      </w:r>
      <w:r w:rsidR="007D06E7" w:rsidRPr="007B25AE">
        <w:rPr>
          <w:rFonts w:ascii="Baskerville" w:eastAsia="MS PMincho" w:hAnsi="Baskerville" w:cs="Arabic Typesetting"/>
        </w:rPr>
        <w:t>hem</w:t>
      </w:r>
      <w:r w:rsidR="00496FA1" w:rsidRPr="007B25AE">
        <w:rPr>
          <w:rFonts w:ascii="Baskerville" w:eastAsia="MS PMincho" w:hAnsi="Baskerville" w:cs="Arabic Typesetting"/>
        </w:rPr>
        <w:t>, and the sense that the hypothesis</w:t>
      </w:r>
      <w:proofErr w:type="gramStart"/>
      <w:r w:rsidR="00496FA1" w:rsidRPr="007B25AE">
        <w:rPr>
          <w:rFonts w:ascii="Baskerville" w:eastAsia="MS PMincho" w:hAnsi="Baskerville" w:cs="Arabic Typesetting"/>
        </w:rPr>
        <w:t>, as a whole, is</w:t>
      </w:r>
      <w:proofErr w:type="gramEnd"/>
      <w:r w:rsidR="00496FA1" w:rsidRPr="007B25AE">
        <w:rPr>
          <w:rFonts w:ascii="Baskerville" w:eastAsia="MS PMincho" w:hAnsi="Baskerville" w:cs="Arabic Typesetting"/>
        </w:rPr>
        <w:t xml:space="preserve"> making a prediction</w:t>
      </w:r>
      <w:r w:rsidRPr="007B25AE">
        <w:rPr>
          <w:rFonts w:ascii="Baskerville" w:eastAsia="MS PMincho" w:hAnsi="Baskerville" w:cs="Arabic Typesetting"/>
        </w:rPr>
        <w:t xml:space="preserve"> (uca.edu).</w:t>
      </w:r>
      <w:r w:rsidR="002C2E7A" w:rsidRPr="007B25AE">
        <w:rPr>
          <w:rFonts w:ascii="Baskerville" w:eastAsia="MS PMincho" w:hAnsi="Baskerville" w:cs="Arabic Typesetting"/>
        </w:rPr>
        <w:t xml:space="preserve"> </w:t>
      </w:r>
      <w:r w:rsidR="00496FA1" w:rsidRPr="007B25AE">
        <w:rPr>
          <w:rFonts w:ascii="Baskerville" w:eastAsia="MS PMincho" w:hAnsi="Baskerville" w:cs="Arabic Typesetting"/>
        </w:rPr>
        <w:t xml:space="preserve">Although </w:t>
      </w:r>
      <w:proofErr w:type="gramStart"/>
      <w:r w:rsidR="00496FA1" w:rsidRPr="007B25AE">
        <w:rPr>
          <w:rFonts w:ascii="Baskerville" w:eastAsia="MS PMincho" w:hAnsi="Baskerville" w:cs="Arabic Typesetting"/>
        </w:rPr>
        <w:t>both of the hypothe</w:t>
      </w:r>
      <w:r w:rsidR="00EF599B" w:rsidRPr="007B25AE">
        <w:rPr>
          <w:rFonts w:ascii="Baskerville" w:eastAsia="MS PMincho" w:hAnsi="Baskerville" w:cs="Arabic Typesetting"/>
        </w:rPr>
        <w:t>ses</w:t>
      </w:r>
      <w:proofErr w:type="gramEnd"/>
      <w:r w:rsidR="00EF599B" w:rsidRPr="007B25AE">
        <w:rPr>
          <w:rFonts w:ascii="Baskerville" w:eastAsia="MS PMincho" w:hAnsi="Baskerville" w:cs="Arabic Typesetting"/>
        </w:rPr>
        <w:t xml:space="preserve"> appear to possess the</w:t>
      </w:r>
      <w:r w:rsidRPr="007B25AE">
        <w:rPr>
          <w:rFonts w:ascii="Baskerville" w:eastAsia="MS PMincho" w:hAnsi="Baskerville" w:cs="Arabic Typesetting"/>
        </w:rPr>
        <w:t xml:space="preserve"> </w:t>
      </w:r>
      <w:r w:rsidR="00EF599B" w:rsidRPr="007B25AE">
        <w:rPr>
          <w:rFonts w:ascii="Baskerville" w:eastAsia="MS PMincho" w:hAnsi="Baskerville" w:cs="Arabic Typesetting"/>
        </w:rPr>
        <w:t>e</w:t>
      </w:r>
      <w:r w:rsidRPr="007B25AE">
        <w:rPr>
          <w:rFonts w:ascii="Baskerville" w:eastAsia="MS PMincho" w:hAnsi="Baskerville" w:cs="Arabic Typesetting"/>
        </w:rPr>
        <w:t>ssential</w:t>
      </w:r>
      <w:r w:rsidR="00EF599B" w:rsidRPr="007B25AE">
        <w:rPr>
          <w:rFonts w:ascii="Baskerville" w:eastAsia="MS PMincho" w:hAnsi="Baskerville" w:cs="Arabic Typesetting"/>
        </w:rPr>
        <w:t xml:space="preserve"> qualities,</w:t>
      </w:r>
      <w:r w:rsidR="00E563EB" w:rsidRPr="007B25AE">
        <w:rPr>
          <w:rFonts w:ascii="Baskerville" w:eastAsia="MS PMincho" w:hAnsi="Baskerville" w:cs="Arabic Typesetting"/>
        </w:rPr>
        <w:t xml:space="preserve"> the second hypothesis (H</w:t>
      </w:r>
      <w:r w:rsidR="00E563EB" w:rsidRPr="007B25AE">
        <w:rPr>
          <w:rFonts w:ascii="Baskerville" w:eastAsia="MS PMincho" w:hAnsi="Baskerville" w:cs="Arabic Typesetting"/>
          <w:vertAlign w:val="subscript"/>
        </w:rPr>
        <w:t>2</w:t>
      </w:r>
      <w:r w:rsidR="00E563EB" w:rsidRPr="007B25AE">
        <w:rPr>
          <w:rFonts w:ascii="Baskerville" w:eastAsia="MS PMincho" w:hAnsi="Baskerville" w:cs="Arabic Typesetting"/>
        </w:rPr>
        <w:t>)</w:t>
      </w:r>
      <w:r w:rsidR="006B05C6" w:rsidRPr="007B25AE">
        <w:rPr>
          <w:rFonts w:ascii="Baskerville" w:eastAsia="MS PMincho" w:hAnsi="Baskerville" w:cs="Arabic Typesetting"/>
        </w:rPr>
        <w:t xml:space="preserve">, </w:t>
      </w:r>
      <w:r w:rsidR="00E563EB" w:rsidRPr="007B25AE">
        <w:rPr>
          <w:rFonts w:ascii="Baskerville" w:eastAsia="MS PMincho" w:hAnsi="Baskerville" w:cs="Arabic Typesetting"/>
        </w:rPr>
        <w:t>unlike the first</w:t>
      </w:r>
      <w:r w:rsidR="00EF599B" w:rsidRPr="007B25AE">
        <w:rPr>
          <w:rFonts w:ascii="Baskerville" w:eastAsia="MS PMincho" w:hAnsi="Baskerville" w:cs="Arabic Typesetting"/>
        </w:rPr>
        <w:t xml:space="preserve"> (H</w:t>
      </w:r>
      <w:r w:rsidR="00EF599B" w:rsidRPr="007B25AE">
        <w:rPr>
          <w:rFonts w:ascii="Baskerville" w:eastAsia="MS PMincho" w:hAnsi="Baskerville" w:cs="Arabic Typesetting"/>
          <w:vertAlign w:val="subscript"/>
        </w:rPr>
        <w:t>1</w:t>
      </w:r>
      <w:r w:rsidR="00EF599B" w:rsidRPr="007B25AE">
        <w:rPr>
          <w:rFonts w:ascii="Baskerville" w:eastAsia="MS PMincho" w:hAnsi="Baskerville" w:cs="Arabic Typesetting"/>
        </w:rPr>
        <w:t>)</w:t>
      </w:r>
      <w:r w:rsidR="00E563EB" w:rsidRPr="007B25AE">
        <w:rPr>
          <w:rFonts w:ascii="Baskerville" w:eastAsia="MS PMincho" w:hAnsi="Baskerville" w:cs="Arabic Typesetting"/>
        </w:rPr>
        <w:t xml:space="preserve">, </w:t>
      </w:r>
      <w:r w:rsidR="006B05C6" w:rsidRPr="007B25AE">
        <w:rPr>
          <w:rFonts w:ascii="Baskerville" w:eastAsia="MS PMincho" w:hAnsi="Baskerville" w:cs="Arabic Typesetting"/>
        </w:rPr>
        <w:t>doe</w:t>
      </w:r>
      <w:r w:rsidR="00D32CBF" w:rsidRPr="007B25AE">
        <w:rPr>
          <w:rFonts w:ascii="Baskerville" w:eastAsia="MS PMincho" w:hAnsi="Baskerville" w:cs="Arabic Typesetting"/>
        </w:rPr>
        <w:t xml:space="preserve">s not </w:t>
      </w:r>
      <w:r w:rsidR="00EF599B" w:rsidRPr="007B25AE">
        <w:rPr>
          <w:rFonts w:ascii="Baskerville" w:eastAsia="MS PMincho" w:hAnsi="Baskerville" w:cs="Arabic Typesetting"/>
        </w:rPr>
        <w:t xml:space="preserve">seem to </w:t>
      </w:r>
      <w:r w:rsidR="002472A4" w:rsidRPr="007B25AE">
        <w:rPr>
          <w:rFonts w:ascii="Baskerville" w:eastAsia="MS PMincho" w:hAnsi="Baskerville" w:cs="Arabic Typesetting"/>
        </w:rPr>
        <w:t xml:space="preserve">immediately </w:t>
      </w:r>
      <w:r w:rsidRPr="007B25AE">
        <w:rPr>
          <w:rFonts w:ascii="Baskerville" w:eastAsia="MS PMincho" w:hAnsi="Baskerville" w:cs="Arabic Typesetting"/>
        </w:rPr>
        <w:t>grab</w:t>
      </w:r>
      <w:r w:rsidR="002472A4" w:rsidRPr="007B25AE">
        <w:rPr>
          <w:rFonts w:ascii="Baskerville" w:eastAsia="MS PMincho" w:hAnsi="Baskerville" w:cs="Arabic Typesetting"/>
        </w:rPr>
        <w:t xml:space="preserve"> </w:t>
      </w:r>
      <w:r w:rsidRPr="007B25AE">
        <w:rPr>
          <w:rFonts w:ascii="Baskerville" w:eastAsia="MS PMincho" w:hAnsi="Baskerville" w:cs="Arabic Typesetting"/>
        </w:rPr>
        <w:t xml:space="preserve">the reader </w:t>
      </w:r>
      <w:r w:rsidR="00CC6DEF" w:rsidRPr="007B25AE">
        <w:rPr>
          <w:rFonts w:ascii="Baskerville" w:eastAsia="MS PMincho" w:hAnsi="Baskerville" w:cs="Arabic Typesetting"/>
        </w:rPr>
        <w:t>as</w:t>
      </w:r>
      <w:r w:rsidR="005B7E1A" w:rsidRPr="007B25AE">
        <w:rPr>
          <w:rFonts w:ascii="Baskerville" w:eastAsia="MS PMincho" w:hAnsi="Baskerville" w:cs="Arabic Typesetting"/>
        </w:rPr>
        <w:t xml:space="preserve"> a </w:t>
      </w:r>
      <w:r w:rsidR="00E563EB" w:rsidRPr="007B25AE">
        <w:rPr>
          <w:rFonts w:ascii="Baskerville" w:eastAsia="MS PMincho" w:hAnsi="Baskerville" w:cs="Arabic Typesetting"/>
        </w:rPr>
        <w:t>predi</w:t>
      </w:r>
      <w:r w:rsidR="005B7E1A" w:rsidRPr="007B25AE">
        <w:rPr>
          <w:rFonts w:ascii="Baskerville" w:eastAsia="MS PMincho" w:hAnsi="Baskerville" w:cs="Arabic Typesetting"/>
        </w:rPr>
        <w:t>ction</w:t>
      </w:r>
      <w:r w:rsidR="002472A4" w:rsidRPr="007B25AE">
        <w:rPr>
          <w:rFonts w:ascii="Baskerville" w:eastAsia="MS PMincho" w:hAnsi="Baskerville" w:cs="Arabic Typesetting"/>
        </w:rPr>
        <w:t xml:space="preserve"> </w:t>
      </w:r>
      <w:r w:rsidR="005B72F1" w:rsidRPr="007B25AE">
        <w:rPr>
          <w:rFonts w:ascii="Baskerville" w:eastAsia="MS PMincho" w:hAnsi="Baskerville" w:cs="Arabic Typesetting"/>
        </w:rPr>
        <w:t>in the way that</w:t>
      </w:r>
      <w:r w:rsidR="005F52B1" w:rsidRPr="007B25AE">
        <w:rPr>
          <w:rFonts w:ascii="Baskerville" w:eastAsia="MS PMincho" w:hAnsi="Baskerville" w:cs="Arabic Typesetting"/>
        </w:rPr>
        <w:t xml:space="preserve"> the </w:t>
      </w:r>
      <w:r w:rsidR="003100A2" w:rsidRPr="007B25AE">
        <w:rPr>
          <w:rFonts w:ascii="Baskerville" w:eastAsia="MS PMincho" w:hAnsi="Baskerville" w:cs="Arabic Typesetting"/>
        </w:rPr>
        <w:t>first,</w:t>
      </w:r>
      <w:r w:rsidR="00224D2B" w:rsidRPr="007B25AE">
        <w:rPr>
          <w:rFonts w:ascii="Baskerville" w:eastAsia="MS PMincho" w:hAnsi="Baskerville" w:cs="Arabic Typesetting"/>
        </w:rPr>
        <w:t xml:space="preserve"> </w:t>
      </w:r>
      <w:r w:rsidR="005F52B1" w:rsidRPr="007B25AE">
        <w:rPr>
          <w:rFonts w:ascii="Baskerville" w:eastAsia="MS PMincho" w:hAnsi="Baskerville" w:cs="Arabic Typesetting"/>
        </w:rPr>
        <w:t>written</w:t>
      </w:r>
      <w:r w:rsidR="00DB2C55" w:rsidRPr="007B25AE">
        <w:rPr>
          <w:rFonts w:ascii="Baskerville" w:eastAsia="MS PMincho" w:hAnsi="Baskerville" w:cs="Arabic Typesetting"/>
        </w:rPr>
        <w:t xml:space="preserve"> </w:t>
      </w:r>
      <w:r w:rsidR="00052ADA" w:rsidRPr="007B25AE">
        <w:rPr>
          <w:rFonts w:ascii="Baskerville" w:eastAsia="MS PMincho" w:hAnsi="Baskerville" w:cs="Arabic Typesetting"/>
        </w:rPr>
        <w:t xml:space="preserve">in the </w:t>
      </w:r>
      <w:r w:rsidR="00DB2C55" w:rsidRPr="007B25AE">
        <w:rPr>
          <w:rFonts w:ascii="Baskerville" w:eastAsia="MS PMincho" w:hAnsi="Baskerville" w:cs="Arabic Typesetting"/>
        </w:rPr>
        <w:t>“</w:t>
      </w:r>
      <w:r w:rsidR="00052ADA" w:rsidRPr="007B25AE">
        <w:rPr>
          <w:rFonts w:ascii="Baskerville" w:eastAsia="MS PMincho" w:hAnsi="Baskerville" w:cs="Arabic Typesetting"/>
        </w:rPr>
        <w:t>subjunctive mood</w:t>
      </w:r>
      <w:r w:rsidR="003100A2" w:rsidRPr="007B25AE">
        <w:rPr>
          <w:rFonts w:ascii="Baskerville" w:eastAsia="MS PMincho" w:hAnsi="Baskerville" w:cs="Arabic Typesetting"/>
        </w:rPr>
        <w:t>,</w:t>
      </w:r>
      <w:r w:rsidR="00DB2C55" w:rsidRPr="007B25AE">
        <w:rPr>
          <w:rFonts w:ascii="Baskerville" w:eastAsia="MS PMincho" w:hAnsi="Baskerville" w:cs="Arabic Typesetting"/>
        </w:rPr>
        <w:t>”</w:t>
      </w:r>
      <w:r w:rsidR="005B72F1" w:rsidRPr="007B25AE">
        <w:rPr>
          <w:rFonts w:ascii="Baskerville" w:eastAsia="MS PMincho" w:hAnsi="Baskerville" w:cs="Arabic Typesetting"/>
        </w:rPr>
        <w:t xml:space="preserve"> does.</w:t>
      </w:r>
      <w:r w:rsidR="002C2E7A" w:rsidRPr="007B25AE">
        <w:rPr>
          <w:rFonts w:ascii="Baskerville" w:eastAsia="MS PMincho" w:hAnsi="Baskerville" w:cs="Arabic Typesetting"/>
        </w:rPr>
        <w:t xml:space="preserve"> </w:t>
      </w:r>
      <w:r w:rsidR="00326E56" w:rsidRPr="007B25AE">
        <w:rPr>
          <w:rFonts w:ascii="Baskerville" w:eastAsia="MS PMincho" w:hAnsi="Baskerville" w:cs="Arabic Typesetting"/>
        </w:rPr>
        <w:t xml:space="preserve"> </w:t>
      </w:r>
    </w:p>
    <w:p w14:paraId="5CF0920B" w14:textId="78B5ED2A" w:rsidR="00650E31" w:rsidRPr="007B25AE" w:rsidRDefault="00416CFC" w:rsidP="00416CFC">
      <w:pPr>
        <w:spacing w:line="360" w:lineRule="auto"/>
        <w:ind w:firstLine="720"/>
        <w:rPr>
          <w:rFonts w:ascii="Baskerville" w:eastAsia="MS PMincho" w:hAnsi="Baskerville" w:cs="Arabic Typesetting"/>
        </w:rPr>
      </w:pPr>
      <w:r w:rsidRPr="007B25AE">
        <w:rPr>
          <w:rFonts w:ascii="Baskerville" w:eastAsia="MS PMincho" w:hAnsi="Baskerville" w:cs="Arabic Typesetting"/>
        </w:rPr>
        <w:t>The first (H</w:t>
      </w:r>
      <w:r w:rsidRPr="007B25AE">
        <w:rPr>
          <w:rFonts w:ascii="Baskerville" w:eastAsia="MS PMincho" w:hAnsi="Baskerville" w:cs="Arabic Typesetting"/>
          <w:vertAlign w:val="subscript"/>
        </w:rPr>
        <w:t>1</w:t>
      </w:r>
      <w:r w:rsidRPr="007B25AE">
        <w:rPr>
          <w:rFonts w:ascii="Baskerville" w:eastAsia="MS PMincho" w:hAnsi="Baskerville" w:cs="Arabic Typesetting"/>
        </w:rPr>
        <w:t xml:space="preserve">) of the two hypotheses, taken verbatim from uca.edu, as written in the “subjunctive mood,” is conspicuously presented in a form that immediately strikes you as a prediction </w:t>
      </w:r>
      <w:r w:rsidR="00650E31" w:rsidRPr="007B25AE">
        <w:rPr>
          <w:rFonts w:ascii="Baskerville" w:eastAsia="MS PMincho" w:hAnsi="Baskerville" w:cs="Arabic Typesetting"/>
        </w:rPr>
        <w:t>coming out of</w:t>
      </w:r>
      <w:r w:rsidRPr="007B25AE">
        <w:rPr>
          <w:rFonts w:ascii="Baskerville" w:eastAsia="MS PMincho" w:hAnsi="Baskerville" w:cs="Arabic Typesetting"/>
        </w:rPr>
        <w:t xml:space="preserve"> the effect </w:t>
      </w:r>
      <w:r w:rsidR="00650E31" w:rsidRPr="007B25AE">
        <w:rPr>
          <w:rFonts w:ascii="Baskerville" w:eastAsia="MS PMincho" w:hAnsi="Baskerville" w:cs="Arabic Typesetting"/>
        </w:rPr>
        <w:t xml:space="preserve">an independent </w:t>
      </w:r>
      <w:r w:rsidRPr="007B25AE">
        <w:rPr>
          <w:rFonts w:ascii="Baskerville" w:eastAsia="MS PMincho" w:hAnsi="Baskerville" w:cs="Arabic Typesetting"/>
        </w:rPr>
        <w:t xml:space="preserve">variable </w:t>
      </w:r>
      <w:r w:rsidR="00650E31" w:rsidRPr="007B25AE">
        <w:rPr>
          <w:rFonts w:ascii="Baskerville" w:eastAsia="MS PMincho" w:hAnsi="Baskerville" w:cs="Arabic Typesetting"/>
        </w:rPr>
        <w:t xml:space="preserve">is having </w:t>
      </w:r>
      <w:r w:rsidRPr="007B25AE">
        <w:rPr>
          <w:rFonts w:ascii="Baskerville" w:eastAsia="MS PMincho" w:hAnsi="Baskerville" w:cs="Arabic Typesetting"/>
        </w:rPr>
        <w:t xml:space="preserve">on </w:t>
      </w:r>
      <w:r w:rsidR="00650E31" w:rsidRPr="007B25AE">
        <w:rPr>
          <w:rFonts w:ascii="Baskerville" w:eastAsia="MS PMincho" w:hAnsi="Baskerville" w:cs="Arabic Typesetting"/>
        </w:rPr>
        <w:t>a depend variable</w:t>
      </w:r>
      <w:r w:rsidRPr="007B25AE">
        <w:rPr>
          <w:rFonts w:ascii="Baskerville" w:eastAsia="MS PMincho" w:hAnsi="Baskerville" w:cs="Arabic Typesetting"/>
        </w:rPr>
        <w:t>. And, as such, the use of the “If. . . then</w:t>
      </w:r>
      <w:r w:rsidR="000B2E87" w:rsidRPr="007B25AE">
        <w:rPr>
          <w:rFonts w:ascii="Baskerville" w:eastAsia="MS PMincho" w:hAnsi="Baskerville" w:cs="Arabic Typesetting"/>
        </w:rPr>
        <w:t>-</w:t>
      </w:r>
      <w:r w:rsidRPr="007B25AE">
        <w:rPr>
          <w:rFonts w:ascii="Baskerville" w:eastAsia="MS PMincho" w:hAnsi="Baskerville" w:cs="Arabic Typesetting"/>
        </w:rPr>
        <w:t>construction</w:t>
      </w:r>
      <w:r w:rsidR="000B2E87" w:rsidRPr="007B25AE">
        <w:rPr>
          <w:rFonts w:ascii="Baskerville" w:eastAsia="MS PMincho" w:hAnsi="Baskerville" w:cs="Arabic Typesetting"/>
        </w:rPr>
        <w:t>”</w:t>
      </w:r>
      <w:r w:rsidRPr="007B25AE">
        <w:rPr>
          <w:rFonts w:ascii="Baskerville" w:eastAsia="MS PMincho" w:hAnsi="Baskerville" w:cs="Arabic Typesetting"/>
        </w:rPr>
        <w:t xml:space="preserve"> unveils an instant recognizable causal relationship which projects, at once, a more lucid image of the relationship between the variables than that in </w:t>
      </w:r>
      <w:r w:rsidR="00650E31" w:rsidRPr="007B25AE">
        <w:rPr>
          <w:rFonts w:ascii="Baskerville" w:eastAsia="MS PMincho" w:hAnsi="Baskerville" w:cs="Arabic Typesetting"/>
        </w:rPr>
        <w:t xml:space="preserve">the </w:t>
      </w:r>
      <w:r w:rsidRPr="007B25AE">
        <w:rPr>
          <w:rFonts w:ascii="Baskerville" w:eastAsia="MS PMincho" w:hAnsi="Baskerville" w:cs="Arabic Typesetting"/>
        </w:rPr>
        <w:t>hypothesis (H</w:t>
      </w:r>
      <w:r w:rsidRPr="007B25AE">
        <w:rPr>
          <w:rFonts w:ascii="Baskerville" w:eastAsia="MS PMincho" w:hAnsi="Baskerville" w:cs="Arabic Typesetting"/>
          <w:vertAlign w:val="subscript"/>
        </w:rPr>
        <w:t>2</w:t>
      </w:r>
      <w:r w:rsidRPr="007B25AE">
        <w:rPr>
          <w:rFonts w:ascii="Baskerville" w:eastAsia="MS PMincho" w:hAnsi="Baskerville" w:cs="Arabic Typesetting"/>
        </w:rPr>
        <w:t xml:space="preserve">) written in the “indicative mood.” </w:t>
      </w:r>
    </w:p>
    <w:p w14:paraId="1A184878" w14:textId="3B06EB54" w:rsidR="00416CFC" w:rsidRPr="007B25AE" w:rsidRDefault="00416CFC" w:rsidP="00416CFC">
      <w:pPr>
        <w:spacing w:line="360" w:lineRule="auto"/>
        <w:ind w:firstLine="720"/>
        <w:rPr>
          <w:rFonts w:ascii="Baskerville" w:eastAsia="MS PMincho" w:hAnsi="Baskerville" w:cs="Arabic Typesetting"/>
        </w:rPr>
      </w:pPr>
      <w:r w:rsidRPr="007B25AE">
        <w:rPr>
          <w:rFonts w:ascii="Baskerville" w:eastAsia="MS PMincho" w:hAnsi="Baskerville" w:cs="Arabic Typesetting"/>
        </w:rPr>
        <w:t>The popular definition</w:t>
      </w:r>
      <w:r w:rsidR="00650E31" w:rsidRPr="007B25AE">
        <w:rPr>
          <w:rFonts w:ascii="Baskerville" w:eastAsia="MS PMincho" w:hAnsi="Baskerville" w:cs="Arabic Typesetting"/>
        </w:rPr>
        <w:t xml:space="preserve"> of “hypothesis”</w:t>
      </w:r>
      <w:r w:rsidR="00AA1DF0" w:rsidRPr="007B25AE">
        <w:rPr>
          <w:rFonts w:ascii="Baskerville" w:eastAsia="MS PMincho" w:hAnsi="Baskerville" w:cs="Arabic Typesetting"/>
        </w:rPr>
        <w:t xml:space="preserve"> as </w:t>
      </w:r>
      <w:r w:rsidRPr="007B25AE">
        <w:rPr>
          <w:rFonts w:ascii="Baskerville" w:eastAsia="MS PMincho" w:hAnsi="Baskerville" w:cs="Arabic Typesetting"/>
        </w:rPr>
        <w:t xml:space="preserve">an </w:t>
      </w:r>
      <w:r w:rsidR="00AA1DF0" w:rsidRPr="007B25AE">
        <w:rPr>
          <w:rFonts w:ascii="Baskerville" w:eastAsia="MS PMincho" w:hAnsi="Baskerville" w:cs="Arabic Typesetting"/>
        </w:rPr>
        <w:t>“</w:t>
      </w:r>
      <w:r w:rsidRPr="007B25AE">
        <w:rPr>
          <w:rFonts w:ascii="Baskerville" w:eastAsia="MS PMincho" w:hAnsi="Baskerville" w:cs="Arabic Typesetting"/>
        </w:rPr>
        <w:t xml:space="preserve">intelligent guess”—which I </w:t>
      </w:r>
      <w:r w:rsidR="00AA1DF0" w:rsidRPr="007B25AE">
        <w:rPr>
          <w:rFonts w:ascii="Baskerville" w:eastAsia="MS PMincho" w:hAnsi="Baskerville" w:cs="Arabic Typesetting"/>
        </w:rPr>
        <w:t xml:space="preserve">believe would probably be </w:t>
      </w:r>
      <w:r w:rsidRPr="007B25AE">
        <w:rPr>
          <w:rFonts w:ascii="Baskerville" w:eastAsia="MS PMincho" w:hAnsi="Baskerville" w:cs="Arabic Typesetting"/>
        </w:rPr>
        <w:t xml:space="preserve">more </w:t>
      </w:r>
      <w:r w:rsidR="00AA1DF0" w:rsidRPr="007B25AE">
        <w:rPr>
          <w:rFonts w:ascii="Baskerville" w:eastAsia="MS PMincho" w:hAnsi="Baskerville" w:cs="Arabic Typesetting"/>
        </w:rPr>
        <w:t xml:space="preserve">effectively described as a </w:t>
      </w:r>
      <w:r w:rsidRPr="007B25AE">
        <w:rPr>
          <w:rFonts w:ascii="Baskerville" w:eastAsia="MS PMincho" w:hAnsi="Baskerville" w:cs="Arabic Typesetting"/>
        </w:rPr>
        <w:t>“predictive surmise”</w:t>
      </w:r>
      <w:r w:rsidR="00AA1DF0" w:rsidRPr="007B25AE">
        <w:rPr>
          <w:rFonts w:ascii="Baskerville" w:eastAsia="MS PMincho" w:hAnsi="Baskerville" w:cs="Arabic Typesetting"/>
        </w:rPr>
        <w:t>—</w:t>
      </w:r>
      <w:r w:rsidRPr="007B25AE">
        <w:rPr>
          <w:rFonts w:ascii="Baskerville" w:eastAsia="MS PMincho" w:hAnsi="Baskerville" w:cs="Arabic Typesetting"/>
        </w:rPr>
        <w:t xml:space="preserve">is immediately evident when the hypothesis is written in the “subjunctive mood.” To that end, I personally think that the subjunctive form </w:t>
      </w:r>
      <w:r w:rsidR="00441F59" w:rsidRPr="007B25AE">
        <w:rPr>
          <w:rFonts w:ascii="Baskerville" w:eastAsia="MS PMincho" w:hAnsi="Baskerville" w:cs="Arabic Typesetting"/>
        </w:rPr>
        <w:t xml:space="preserve">of </w:t>
      </w:r>
      <w:r w:rsidR="000B2E87" w:rsidRPr="007B25AE">
        <w:rPr>
          <w:rFonts w:ascii="Baskerville" w:eastAsia="MS PMincho" w:hAnsi="Baskerville" w:cs="Arabic Typesetting"/>
        </w:rPr>
        <w:t xml:space="preserve">a </w:t>
      </w:r>
      <w:r w:rsidR="00441F59" w:rsidRPr="007B25AE">
        <w:rPr>
          <w:rFonts w:ascii="Baskerville" w:eastAsia="MS PMincho" w:hAnsi="Baskerville" w:cs="Arabic Typesetting"/>
        </w:rPr>
        <w:t xml:space="preserve">hypothesis </w:t>
      </w:r>
      <w:r w:rsidRPr="007B25AE">
        <w:rPr>
          <w:rFonts w:ascii="Baskerville" w:eastAsia="MS PMincho" w:hAnsi="Baskerville" w:cs="Arabic Typesetting"/>
        </w:rPr>
        <w:t xml:space="preserve">is </w:t>
      </w:r>
      <w:r w:rsidR="00441F59" w:rsidRPr="007B25AE">
        <w:rPr>
          <w:rFonts w:ascii="Baskerville" w:eastAsia="MS PMincho" w:hAnsi="Baskerville" w:cs="Arabic Typesetting"/>
        </w:rPr>
        <w:t>probab</w:t>
      </w:r>
      <w:r w:rsidRPr="007B25AE">
        <w:rPr>
          <w:rFonts w:ascii="Baskerville" w:eastAsia="MS PMincho" w:hAnsi="Baskerville" w:cs="Arabic Typesetting"/>
        </w:rPr>
        <w:t xml:space="preserve">ly </w:t>
      </w:r>
      <w:r w:rsidR="000B2E87" w:rsidRPr="007B25AE">
        <w:rPr>
          <w:rFonts w:ascii="Baskerville" w:eastAsia="MS PMincho" w:hAnsi="Baskerville" w:cs="Arabic Typesetting"/>
        </w:rPr>
        <w:t xml:space="preserve">a </w:t>
      </w:r>
      <w:r w:rsidRPr="007B25AE">
        <w:rPr>
          <w:rFonts w:ascii="Baskerville" w:eastAsia="MS PMincho" w:hAnsi="Baskerville" w:cs="Arabic Typesetting"/>
        </w:rPr>
        <w:t xml:space="preserve">more </w:t>
      </w:r>
      <w:r w:rsidR="00441F59" w:rsidRPr="007B25AE">
        <w:rPr>
          <w:rFonts w:ascii="Baskerville" w:eastAsia="MS PMincho" w:hAnsi="Baskerville" w:cs="Arabic Typesetting"/>
        </w:rPr>
        <w:t>practical</w:t>
      </w:r>
      <w:r w:rsidR="001D55A6" w:rsidRPr="007B25AE">
        <w:rPr>
          <w:rFonts w:ascii="Baskerville" w:eastAsia="MS PMincho" w:hAnsi="Baskerville" w:cs="Arabic Typesetting"/>
        </w:rPr>
        <w:t xml:space="preserve"> </w:t>
      </w:r>
      <w:r w:rsidR="000B2E87" w:rsidRPr="007B25AE">
        <w:rPr>
          <w:rFonts w:ascii="Baskerville" w:eastAsia="MS PMincho" w:hAnsi="Baskerville" w:cs="Arabic Typesetting"/>
        </w:rPr>
        <w:t>way of stating the hypothesis</w:t>
      </w:r>
      <w:r w:rsidRPr="007B25AE">
        <w:rPr>
          <w:rFonts w:ascii="Baskerville" w:eastAsia="MS PMincho" w:hAnsi="Baskerville" w:cs="Arabic Typesetting"/>
        </w:rPr>
        <w:t xml:space="preserve"> than when it is written in the “indicative mood.” </w:t>
      </w:r>
    </w:p>
    <w:p w14:paraId="39194928" w14:textId="589992BD" w:rsidR="00416CFC" w:rsidRPr="007B25AE" w:rsidRDefault="00416CFC" w:rsidP="000B2E87">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 My reason</w:t>
      </w:r>
      <w:r w:rsidR="00AA1DF0" w:rsidRPr="007B25AE">
        <w:rPr>
          <w:rFonts w:ascii="Baskerville" w:eastAsia="MS PMincho" w:hAnsi="Baskerville" w:cs="Arabic Typesetting"/>
        </w:rPr>
        <w:t>ing</w:t>
      </w:r>
      <w:r w:rsidRPr="007B25AE">
        <w:rPr>
          <w:rFonts w:ascii="Baskerville" w:eastAsia="MS PMincho" w:hAnsi="Baskerville" w:cs="Arabic Typesetting"/>
        </w:rPr>
        <w:t xml:space="preserve"> is that the “If. . . then</w:t>
      </w:r>
      <w:r w:rsidR="000B2E87" w:rsidRPr="007B25AE">
        <w:rPr>
          <w:rFonts w:ascii="Baskerville" w:eastAsia="MS PMincho" w:hAnsi="Baskerville" w:cs="Arabic Typesetting"/>
        </w:rPr>
        <w:t>-</w:t>
      </w:r>
      <w:r w:rsidRPr="007B25AE">
        <w:rPr>
          <w:rFonts w:ascii="Baskerville" w:eastAsia="MS PMincho" w:hAnsi="Baskerville" w:cs="Arabic Typesetting"/>
        </w:rPr>
        <w:t>construction</w:t>
      </w:r>
      <w:r w:rsidR="000B2E87" w:rsidRPr="007B25AE">
        <w:rPr>
          <w:rFonts w:ascii="Baskerville" w:eastAsia="MS PMincho" w:hAnsi="Baskerville" w:cs="Arabic Typesetting"/>
        </w:rPr>
        <w:t>”</w:t>
      </w:r>
      <w:r w:rsidRPr="007B25AE">
        <w:rPr>
          <w:rFonts w:ascii="Baskerville" w:eastAsia="MS PMincho" w:hAnsi="Baskerville" w:cs="Arabic Typesetting"/>
        </w:rPr>
        <w:t xml:space="preserve"> brings the hypothesis more closely into alignment with </w:t>
      </w:r>
      <w:r w:rsidR="00441F59" w:rsidRPr="007B25AE">
        <w:rPr>
          <w:rFonts w:ascii="Baskerville" w:eastAsia="MS PMincho" w:hAnsi="Baskerville" w:cs="Arabic Typesetting"/>
        </w:rPr>
        <w:t xml:space="preserve">that kind of </w:t>
      </w:r>
      <w:r w:rsidRPr="007B25AE">
        <w:rPr>
          <w:rFonts w:ascii="Baskerville" w:eastAsia="MS PMincho" w:hAnsi="Baskerville" w:cs="Arabic Typesetting"/>
        </w:rPr>
        <w:t xml:space="preserve">mathematical logic </w:t>
      </w:r>
      <w:r w:rsidR="00441F59" w:rsidRPr="007B25AE">
        <w:rPr>
          <w:rFonts w:ascii="Baskerville" w:eastAsia="MS PMincho" w:hAnsi="Baskerville" w:cs="Arabic Typesetting"/>
        </w:rPr>
        <w:t xml:space="preserve">which comes </w:t>
      </w:r>
      <w:r w:rsidRPr="007B25AE">
        <w:rPr>
          <w:rFonts w:ascii="Baskerville" w:eastAsia="MS PMincho" w:hAnsi="Baskerville" w:cs="Arabic Typesetting"/>
        </w:rPr>
        <w:t xml:space="preserve">under the label of an “implication.” Other than that, there is </w:t>
      </w:r>
      <w:proofErr w:type="gramStart"/>
      <w:r w:rsidRPr="007B25AE">
        <w:rPr>
          <w:rFonts w:ascii="Baskerville" w:eastAsia="MS PMincho" w:hAnsi="Baskerville" w:cs="Arabic Typesetting"/>
        </w:rPr>
        <w:t xml:space="preserve">actually </w:t>
      </w:r>
      <w:r w:rsidR="00441F59" w:rsidRPr="007B25AE">
        <w:rPr>
          <w:rFonts w:ascii="Baskerville" w:eastAsia="MS PMincho" w:hAnsi="Baskerville" w:cs="Arabic Typesetting"/>
        </w:rPr>
        <w:t>no</w:t>
      </w:r>
      <w:proofErr w:type="gramEnd"/>
      <w:r w:rsidRPr="007B25AE">
        <w:rPr>
          <w:rFonts w:ascii="Baskerville" w:eastAsia="MS PMincho" w:hAnsi="Baskerville" w:cs="Arabic Typesetting"/>
        </w:rPr>
        <w:t xml:space="preserve"> </w:t>
      </w:r>
      <w:r w:rsidR="00441F59" w:rsidRPr="007B25AE">
        <w:rPr>
          <w:rFonts w:ascii="Baskerville" w:eastAsia="MS PMincho" w:hAnsi="Baskerville" w:cs="Arabic Typesetting"/>
        </w:rPr>
        <w:t xml:space="preserve">real </w:t>
      </w:r>
      <w:r w:rsidRPr="007B25AE">
        <w:rPr>
          <w:rFonts w:ascii="Baskerville" w:eastAsia="MS PMincho" w:hAnsi="Baskerville" w:cs="Arabic Typesetting"/>
        </w:rPr>
        <w:t>difference in whether or not the hypothesis is presented in the “subjunctive</w:t>
      </w:r>
      <w:r w:rsidR="000B2E87" w:rsidRPr="007B25AE">
        <w:rPr>
          <w:rFonts w:ascii="Baskerville" w:eastAsia="MS PMincho" w:hAnsi="Baskerville" w:cs="Arabic Typesetting"/>
        </w:rPr>
        <w:t xml:space="preserve"> mood</w:t>
      </w:r>
      <w:r w:rsidRPr="007B25AE">
        <w:rPr>
          <w:rFonts w:ascii="Baskerville" w:eastAsia="MS PMincho" w:hAnsi="Baskerville" w:cs="Arabic Typesetting"/>
        </w:rPr>
        <w:t xml:space="preserve">” or “indicative mood.” </w:t>
      </w:r>
    </w:p>
    <w:p w14:paraId="4CAECFA6" w14:textId="46F9138A" w:rsidR="00C359E4" w:rsidRPr="007B25AE" w:rsidRDefault="00375EB0" w:rsidP="002472A4">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In </w:t>
      </w:r>
      <w:r w:rsidR="00FD2163" w:rsidRPr="007B25AE">
        <w:rPr>
          <w:rFonts w:ascii="Baskerville" w:eastAsia="MS PMincho" w:hAnsi="Baskerville" w:cs="Arabic Typesetting"/>
        </w:rPr>
        <w:t xml:space="preserve">each of </w:t>
      </w:r>
      <w:r w:rsidR="00B22A5B" w:rsidRPr="007B25AE">
        <w:rPr>
          <w:rFonts w:ascii="Baskerville" w:eastAsia="MS PMincho" w:hAnsi="Baskerville" w:cs="Arabic Typesetting"/>
        </w:rPr>
        <w:t xml:space="preserve">the </w:t>
      </w:r>
      <w:r w:rsidR="00EF599B" w:rsidRPr="007B25AE">
        <w:rPr>
          <w:rFonts w:ascii="Baskerville" w:eastAsia="MS PMincho" w:hAnsi="Baskerville" w:cs="Arabic Typesetting"/>
        </w:rPr>
        <w:t xml:space="preserve">two </w:t>
      </w:r>
      <w:r w:rsidR="005F52B1" w:rsidRPr="007B25AE">
        <w:rPr>
          <w:rFonts w:ascii="Baskerville" w:eastAsia="MS PMincho" w:hAnsi="Baskerville" w:cs="Arabic Typesetting"/>
        </w:rPr>
        <w:t>example</w:t>
      </w:r>
      <w:r w:rsidR="00FD2163" w:rsidRPr="007B25AE">
        <w:rPr>
          <w:rFonts w:ascii="Baskerville" w:eastAsia="MS PMincho" w:hAnsi="Baskerville" w:cs="Arabic Typesetting"/>
        </w:rPr>
        <w:t>s</w:t>
      </w:r>
      <w:r w:rsidR="005F52B1" w:rsidRPr="007B25AE">
        <w:rPr>
          <w:rFonts w:ascii="Baskerville" w:eastAsia="MS PMincho" w:hAnsi="Baskerville" w:cs="Arabic Typesetting"/>
        </w:rPr>
        <w:t xml:space="preserve"> </w:t>
      </w:r>
      <w:r w:rsidR="002472A4" w:rsidRPr="007B25AE">
        <w:rPr>
          <w:rFonts w:ascii="Baskerville" w:eastAsia="MS PMincho" w:hAnsi="Baskerville" w:cs="Arabic Typesetting"/>
        </w:rPr>
        <w:t>(H</w:t>
      </w:r>
      <w:r w:rsidR="002472A4" w:rsidRPr="007B25AE">
        <w:rPr>
          <w:rFonts w:ascii="Baskerville" w:eastAsia="MS PMincho" w:hAnsi="Baskerville" w:cs="Arabic Typesetting"/>
          <w:vertAlign w:val="subscript"/>
        </w:rPr>
        <w:t>1</w:t>
      </w:r>
      <w:r w:rsidR="00FD2163" w:rsidRPr="007B25AE">
        <w:rPr>
          <w:rFonts w:ascii="Baskerville" w:eastAsia="MS PMincho" w:hAnsi="Baskerville" w:cs="Arabic Typesetting"/>
        </w:rPr>
        <w:t xml:space="preserve"> </w:t>
      </w:r>
      <w:r w:rsidR="00EF599B" w:rsidRPr="007B25AE">
        <w:rPr>
          <w:rFonts w:ascii="Baskerville" w:eastAsia="MS PMincho" w:hAnsi="Baskerville" w:cs="Arabic Typesetting"/>
        </w:rPr>
        <w:t>and</w:t>
      </w:r>
      <w:r w:rsidR="00FD2163" w:rsidRPr="007B25AE">
        <w:rPr>
          <w:rFonts w:ascii="Baskerville" w:eastAsia="MS PMincho" w:hAnsi="Baskerville" w:cs="Arabic Typesetting"/>
        </w:rPr>
        <w:t xml:space="preserve"> H</w:t>
      </w:r>
      <w:r w:rsidR="00FD2163" w:rsidRPr="007B25AE">
        <w:rPr>
          <w:rFonts w:ascii="Baskerville" w:eastAsia="MS PMincho" w:hAnsi="Baskerville" w:cs="Arabic Typesetting"/>
          <w:vertAlign w:val="subscript"/>
        </w:rPr>
        <w:t>2</w:t>
      </w:r>
      <w:r w:rsidR="00FD2163" w:rsidRPr="007B25AE">
        <w:rPr>
          <w:rFonts w:ascii="Baskerville" w:eastAsia="MS PMincho" w:hAnsi="Baskerville" w:cs="Arabic Typesetting"/>
        </w:rPr>
        <w:t>)</w:t>
      </w:r>
      <w:r w:rsidR="0036544C" w:rsidRPr="007B25AE">
        <w:rPr>
          <w:rFonts w:ascii="Baskerville" w:eastAsia="MS PMincho" w:hAnsi="Baskerville" w:cs="Arabic Typesetting"/>
        </w:rPr>
        <w:t xml:space="preserve">, </w:t>
      </w:r>
      <w:r w:rsidR="003100A2" w:rsidRPr="007B25AE">
        <w:rPr>
          <w:rFonts w:ascii="Baskerville" w:eastAsia="MS PMincho" w:hAnsi="Baskerville" w:cs="Arabic Typesetting"/>
        </w:rPr>
        <w:t xml:space="preserve">there </w:t>
      </w:r>
      <w:r w:rsidRPr="007B25AE">
        <w:rPr>
          <w:rFonts w:ascii="Baskerville" w:eastAsia="MS PMincho" w:hAnsi="Baskerville" w:cs="Arabic Typesetting"/>
        </w:rPr>
        <w:t>is</w:t>
      </w:r>
      <w:r w:rsidR="00C75A7F" w:rsidRPr="007B25AE">
        <w:rPr>
          <w:rFonts w:ascii="Baskerville" w:eastAsia="MS PMincho" w:hAnsi="Baskerville" w:cs="Arabic Typesetting"/>
        </w:rPr>
        <w:t xml:space="preserve"> </w:t>
      </w:r>
      <w:r w:rsidR="00224D2B" w:rsidRPr="007B25AE">
        <w:rPr>
          <w:rFonts w:ascii="Baskerville" w:eastAsia="MS PMincho" w:hAnsi="Baskerville" w:cs="Arabic Typesetting"/>
        </w:rPr>
        <w:t xml:space="preserve">an </w:t>
      </w:r>
      <w:r w:rsidR="00C75A7F" w:rsidRPr="007B25AE">
        <w:rPr>
          <w:rFonts w:ascii="Baskerville" w:eastAsia="MS PMincho" w:hAnsi="Baskerville" w:cs="Arabic Typesetting"/>
        </w:rPr>
        <w:t xml:space="preserve">independent variable </w:t>
      </w:r>
      <w:r w:rsidR="002438C5" w:rsidRPr="007B25AE">
        <w:rPr>
          <w:rFonts w:ascii="Baskerville" w:eastAsia="MS PMincho" w:hAnsi="Baskerville" w:cs="Arabic Typesetting"/>
        </w:rPr>
        <w:t>which</w:t>
      </w:r>
      <w:r w:rsidR="005B7E1A" w:rsidRPr="007B25AE">
        <w:rPr>
          <w:rFonts w:ascii="Baskerville" w:eastAsia="MS PMincho" w:hAnsi="Baskerville" w:cs="Arabic Typesetting"/>
        </w:rPr>
        <w:t xml:space="preserve">, </w:t>
      </w:r>
      <w:r w:rsidR="00EF599B" w:rsidRPr="007B25AE">
        <w:rPr>
          <w:rFonts w:ascii="Baskerville" w:eastAsia="MS PMincho" w:hAnsi="Baskerville" w:cs="Arabic Typesetting"/>
        </w:rPr>
        <w:t>in</w:t>
      </w:r>
      <w:r w:rsidR="005B7E1A" w:rsidRPr="007B25AE">
        <w:rPr>
          <w:rFonts w:ascii="Baskerville" w:eastAsia="MS PMincho" w:hAnsi="Baskerville" w:cs="Arabic Typesetting"/>
        </w:rPr>
        <w:t xml:space="preserve"> </w:t>
      </w:r>
      <w:r w:rsidR="002438C5" w:rsidRPr="007B25AE">
        <w:rPr>
          <w:rFonts w:ascii="Baskerville" w:eastAsia="MS PMincho" w:hAnsi="Baskerville" w:cs="Arabic Typesetting"/>
        </w:rPr>
        <w:t>a way</w:t>
      </w:r>
      <w:r w:rsidR="005B7E1A" w:rsidRPr="007B25AE">
        <w:rPr>
          <w:rFonts w:ascii="Baskerville" w:eastAsia="MS PMincho" w:hAnsi="Baskerville" w:cs="Arabic Typesetting"/>
        </w:rPr>
        <w:t xml:space="preserve">, </w:t>
      </w:r>
      <w:r w:rsidR="007D06E7" w:rsidRPr="007B25AE">
        <w:rPr>
          <w:rFonts w:ascii="Baskerville" w:eastAsia="MS PMincho" w:hAnsi="Baskerville" w:cs="Arabic Typesetting"/>
        </w:rPr>
        <w:t>closely</w:t>
      </w:r>
      <w:r w:rsidR="005F52B1" w:rsidRPr="007B25AE">
        <w:rPr>
          <w:rFonts w:ascii="Baskerville" w:eastAsia="MS PMincho" w:hAnsi="Baskerville" w:cs="Arabic Typesetting"/>
        </w:rPr>
        <w:t xml:space="preserve"> resemble</w:t>
      </w:r>
      <w:r w:rsidR="00AF4CF9" w:rsidRPr="007B25AE">
        <w:rPr>
          <w:rFonts w:ascii="Baskerville" w:eastAsia="MS PMincho" w:hAnsi="Baskerville" w:cs="Arabic Typesetting"/>
        </w:rPr>
        <w:t>s</w:t>
      </w:r>
      <w:r w:rsidR="004E54CC" w:rsidRPr="007B25AE">
        <w:rPr>
          <w:rFonts w:ascii="Baskerville" w:eastAsia="MS PMincho" w:hAnsi="Baskerville" w:cs="Arabic Typesetting"/>
        </w:rPr>
        <w:t xml:space="preserve"> </w:t>
      </w:r>
      <w:r w:rsidR="00AD34D8" w:rsidRPr="007B25AE">
        <w:rPr>
          <w:rFonts w:ascii="Baskerville" w:eastAsia="MS PMincho" w:hAnsi="Baskerville" w:cs="Arabic Typesetting"/>
        </w:rPr>
        <w:t xml:space="preserve">a situation in which </w:t>
      </w:r>
      <w:r w:rsidR="00441F59" w:rsidRPr="007B25AE">
        <w:rPr>
          <w:rFonts w:ascii="Baskerville" w:eastAsia="MS PMincho" w:hAnsi="Baskerville" w:cs="Arabic Typesetting"/>
        </w:rPr>
        <w:t>one</w:t>
      </w:r>
      <w:r w:rsidR="009F40F7" w:rsidRPr="007B25AE">
        <w:rPr>
          <w:rFonts w:ascii="Baskerville" w:eastAsia="MS PMincho" w:hAnsi="Baskerville" w:cs="Arabic Typesetting"/>
        </w:rPr>
        <w:t xml:space="preserve"> head</w:t>
      </w:r>
      <w:r w:rsidR="005F52B1" w:rsidRPr="007B25AE">
        <w:rPr>
          <w:rFonts w:ascii="Baskerville" w:eastAsia="MS PMincho" w:hAnsi="Baskerville" w:cs="Arabic Typesetting"/>
        </w:rPr>
        <w:t xml:space="preserve"> </w:t>
      </w:r>
      <w:r w:rsidR="00023AD4" w:rsidRPr="007B25AE">
        <w:rPr>
          <w:rFonts w:ascii="Baskerville" w:eastAsia="MS PMincho" w:hAnsi="Baskerville" w:cs="Arabic Typesetting"/>
        </w:rPr>
        <w:t xml:space="preserve">(independent variable) </w:t>
      </w:r>
      <w:r w:rsidR="009F40F7" w:rsidRPr="007B25AE">
        <w:rPr>
          <w:rFonts w:ascii="Baskerville" w:eastAsia="MS PMincho" w:hAnsi="Baskerville" w:cs="Arabic Typesetting"/>
        </w:rPr>
        <w:t>belong</w:t>
      </w:r>
      <w:r w:rsidR="00AD34D8" w:rsidRPr="007B25AE">
        <w:rPr>
          <w:rFonts w:ascii="Baskerville" w:eastAsia="MS PMincho" w:hAnsi="Baskerville" w:cs="Arabic Typesetting"/>
        </w:rPr>
        <w:t>s</w:t>
      </w:r>
      <w:r w:rsidR="009F40F7" w:rsidRPr="007B25AE">
        <w:rPr>
          <w:rFonts w:ascii="Baskerville" w:eastAsia="MS PMincho" w:hAnsi="Baskerville" w:cs="Arabic Typesetting"/>
        </w:rPr>
        <w:t xml:space="preserve"> to two</w:t>
      </w:r>
      <w:r w:rsidR="00023AD4" w:rsidRPr="007B25AE">
        <w:rPr>
          <w:rFonts w:ascii="Baskerville" w:eastAsia="MS PMincho" w:hAnsi="Baskerville" w:cs="Arabic Typesetting"/>
        </w:rPr>
        <w:t xml:space="preserve"> </w:t>
      </w:r>
      <w:r w:rsidR="00F80D88" w:rsidRPr="007B25AE">
        <w:rPr>
          <w:rFonts w:ascii="Baskerville" w:eastAsia="MS PMincho" w:hAnsi="Baskerville" w:cs="Arabic Typesetting"/>
        </w:rPr>
        <w:t>separate</w:t>
      </w:r>
      <w:r w:rsidR="000817F4" w:rsidRPr="007B25AE">
        <w:rPr>
          <w:rFonts w:ascii="Baskerville" w:eastAsia="MS PMincho" w:hAnsi="Baskerville" w:cs="Arabic Typesetting"/>
        </w:rPr>
        <w:t xml:space="preserve"> </w:t>
      </w:r>
      <w:r w:rsidR="009F40F7" w:rsidRPr="007B25AE">
        <w:rPr>
          <w:rFonts w:ascii="Baskerville" w:eastAsia="MS PMincho" w:hAnsi="Baskerville" w:cs="Arabic Typesetting"/>
        </w:rPr>
        <w:t>bodies</w:t>
      </w:r>
      <w:r w:rsidR="00023AD4" w:rsidRPr="007B25AE">
        <w:rPr>
          <w:rFonts w:ascii="Baskerville" w:eastAsia="MS PMincho" w:hAnsi="Baskerville" w:cs="Arabic Typesetting"/>
        </w:rPr>
        <w:t xml:space="preserve"> (dependent variables)</w:t>
      </w:r>
      <w:r w:rsidR="0036544C" w:rsidRPr="007B25AE">
        <w:rPr>
          <w:rFonts w:ascii="Baskerville" w:eastAsia="MS PMincho" w:hAnsi="Baskerville" w:cs="Arabic Typesetting"/>
        </w:rPr>
        <w:t>.</w:t>
      </w:r>
      <w:r w:rsidR="00C75A7F" w:rsidRPr="007B25AE">
        <w:rPr>
          <w:rFonts w:ascii="Baskerville" w:eastAsia="MS PMincho" w:hAnsi="Baskerville" w:cs="Arabic Typesetting"/>
        </w:rPr>
        <w:t xml:space="preserve"> </w:t>
      </w:r>
      <w:r w:rsidR="00F802A7" w:rsidRPr="007B25AE">
        <w:rPr>
          <w:rFonts w:ascii="Baskerville" w:eastAsia="MS PMincho" w:hAnsi="Baskerville" w:cs="Arabic Typesetting"/>
        </w:rPr>
        <w:t xml:space="preserve">In effect, there </w:t>
      </w:r>
      <w:proofErr w:type="gramStart"/>
      <w:r w:rsidR="00AF4CF9" w:rsidRPr="007B25AE">
        <w:rPr>
          <w:rFonts w:ascii="Baskerville" w:eastAsia="MS PMincho" w:hAnsi="Baskerville" w:cs="Arabic Typesetting"/>
        </w:rPr>
        <w:t>As</w:t>
      </w:r>
      <w:proofErr w:type="gramEnd"/>
      <w:r w:rsidR="00EF599B" w:rsidRPr="007B25AE">
        <w:rPr>
          <w:rFonts w:ascii="Baskerville" w:eastAsia="MS PMincho" w:hAnsi="Baskerville" w:cs="Arabic Typesetting"/>
        </w:rPr>
        <w:t xml:space="preserve"> is a</w:t>
      </w:r>
      <w:r w:rsidR="00AF4CF9" w:rsidRPr="007B25AE">
        <w:rPr>
          <w:rFonts w:ascii="Baskerville" w:eastAsia="MS PMincho" w:hAnsi="Baskerville" w:cs="Arabic Typesetting"/>
        </w:rPr>
        <w:t xml:space="preserve"> single</w:t>
      </w:r>
      <w:r w:rsidR="00C75A7F" w:rsidRPr="007B25AE">
        <w:rPr>
          <w:rFonts w:ascii="Baskerville" w:eastAsia="MS PMincho" w:hAnsi="Baskerville" w:cs="Arabic Typesetting"/>
        </w:rPr>
        <w:t xml:space="preserve"> </w:t>
      </w:r>
      <w:r w:rsidR="00C23BA8" w:rsidRPr="007B25AE">
        <w:rPr>
          <w:rFonts w:ascii="Baskerville" w:eastAsia="MS PMincho" w:hAnsi="Baskerville" w:cs="Arabic Typesetting"/>
        </w:rPr>
        <w:t>in</w:t>
      </w:r>
      <w:r w:rsidR="00C75A7F" w:rsidRPr="007B25AE">
        <w:rPr>
          <w:rFonts w:ascii="Baskerville" w:eastAsia="MS PMincho" w:hAnsi="Baskerville" w:cs="Arabic Typesetting"/>
        </w:rPr>
        <w:t>dependent</w:t>
      </w:r>
      <w:r w:rsidR="00B2573D" w:rsidRPr="007B25AE">
        <w:rPr>
          <w:rFonts w:ascii="Baskerville" w:eastAsia="MS PMincho" w:hAnsi="Baskerville" w:cs="Arabic Typesetting"/>
        </w:rPr>
        <w:t xml:space="preserve"> variable</w:t>
      </w:r>
      <w:r w:rsidR="00C75A7F" w:rsidRPr="007B25AE">
        <w:rPr>
          <w:rFonts w:ascii="Baskerville" w:eastAsia="MS PMincho" w:hAnsi="Baskerville" w:cs="Arabic Typesetting"/>
        </w:rPr>
        <w:t xml:space="preserve"> </w:t>
      </w:r>
      <w:r w:rsidR="00EF599B" w:rsidRPr="007B25AE">
        <w:rPr>
          <w:rFonts w:ascii="Baskerville" w:eastAsia="MS PMincho" w:hAnsi="Baskerville" w:cs="Arabic Typesetting"/>
        </w:rPr>
        <w:t xml:space="preserve">that is </w:t>
      </w:r>
      <w:r w:rsidR="00C23BA8" w:rsidRPr="007B25AE">
        <w:rPr>
          <w:rFonts w:ascii="Baskerville" w:eastAsia="MS PMincho" w:hAnsi="Baskerville" w:cs="Arabic Typesetting"/>
        </w:rPr>
        <w:t>operat</w:t>
      </w:r>
      <w:r w:rsidR="00EF599B" w:rsidRPr="007B25AE">
        <w:rPr>
          <w:rFonts w:ascii="Baskerville" w:eastAsia="MS PMincho" w:hAnsi="Baskerville" w:cs="Arabic Typesetting"/>
        </w:rPr>
        <w:t>ing</w:t>
      </w:r>
      <w:r w:rsidR="00C23BA8" w:rsidRPr="007B25AE">
        <w:rPr>
          <w:rFonts w:ascii="Baskerville" w:eastAsia="MS PMincho" w:hAnsi="Baskerville" w:cs="Arabic Typesetting"/>
        </w:rPr>
        <w:t xml:space="preserve"> as </w:t>
      </w:r>
      <w:r w:rsidR="00685ED8" w:rsidRPr="007B25AE">
        <w:rPr>
          <w:rFonts w:ascii="Baskerville" w:eastAsia="MS PMincho" w:hAnsi="Baskerville" w:cs="Arabic Typesetting"/>
        </w:rPr>
        <w:t>the</w:t>
      </w:r>
      <w:r w:rsidR="00C23BA8" w:rsidRPr="007B25AE">
        <w:rPr>
          <w:rFonts w:ascii="Baskerville" w:eastAsia="MS PMincho" w:hAnsi="Baskerville" w:cs="Arabic Typesetting"/>
        </w:rPr>
        <w:t xml:space="preserve"> causative </w:t>
      </w:r>
      <w:r w:rsidR="00F802A7" w:rsidRPr="007B25AE">
        <w:rPr>
          <w:rFonts w:ascii="Baskerville" w:eastAsia="MS PMincho" w:hAnsi="Baskerville" w:cs="Arabic Typesetting"/>
        </w:rPr>
        <w:t>agent</w:t>
      </w:r>
      <w:r w:rsidR="004D1B46" w:rsidRPr="007B25AE">
        <w:rPr>
          <w:rFonts w:ascii="Baskerville" w:eastAsia="MS PMincho" w:hAnsi="Baskerville" w:cs="Arabic Typesetting"/>
        </w:rPr>
        <w:t xml:space="preserve"> for each of</w:t>
      </w:r>
      <w:r w:rsidR="00685ED8" w:rsidRPr="007B25AE">
        <w:rPr>
          <w:rFonts w:ascii="Baskerville" w:eastAsia="MS PMincho" w:hAnsi="Baskerville" w:cs="Arabic Typesetting"/>
        </w:rPr>
        <w:t xml:space="preserve"> </w:t>
      </w:r>
      <w:r w:rsidR="00F80D88" w:rsidRPr="007B25AE">
        <w:rPr>
          <w:rFonts w:ascii="Baskerville" w:eastAsia="MS PMincho" w:hAnsi="Baskerville" w:cs="Arabic Typesetting"/>
        </w:rPr>
        <w:t xml:space="preserve">the </w:t>
      </w:r>
      <w:r w:rsidR="00C23BA8" w:rsidRPr="007B25AE">
        <w:rPr>
          <w:rFonts w:ascii="Baskerville" w:eastAsia="MS PMincho" w:hAnsi="Baskerville" w:cs="Arabic Typesetting"/>
        </w:rPr>
        <w:t xml:space="preserve">two </w:t>
      </w:r>
      <w:r w:rsidR="00FA217E" w:rsidRPr="007B25AE">
        <w:rPr>
          <w:rFonts w:ascii="Baskerville" w:eastAsia="MS PMincho" w:hAnsi="Baskerville" w:cs="Arabic Typesetting"/>
        </w:rPr>
        <w:t>physically</w:t>
      </w:r>
      <w:r w:rsidR="00FD2163" w:rsidRPr="007B25AE">
        <w:rPr>
          <w:rFonts w:ascii="Baskerville" w:eastAsia="MS PMincho" w:hAnsi="Baskerville" w:cs="Arabic Typesetting"/>
        </w:rPr>
        <w:t xml:space="preserve"> </w:t>
      </w:r>
      <w:r w:rsidR="00C23BA8" w:rsidRPr="007B25AE">
        <w:rPr>
          <w:rFonts w:ascii="Baskerville" w:eastAsia="MS PMincho" w:hAnsi="Baskerville" w:cs="Arabic Typesetting"/>
        </w:rPr>
        <w:t>separate</w:t>
      </w:r>
      <w:r w:rsidR="00E563EB" w:rsidRPr="007B25AE">
        <w:rPr>
          <w:rFonts w:ascii="Baskerville" w:eastAsia="MS PMincho" w:hAnsi="Baskerville" w:cs="Arabic Typesetting"/>
        </w:rPr>
        <w:t>,</w:t>
      </w:r>
      <w:r w:rsidR="00C23BA8" w:rsidRPr="007B25AE">
        <w:rPr>
          <w:rFonts w:ascii="Baskerville" w:eastAsia="MS PMincho" w:hAnsi="Baskerville" w:cs="Arabic Typesetting"/>
        </w:rPr>
        <w:t xml:space="preserve"> </w:t>
      </w:r>
      <w:r w:rsidR="00EE57F9" w:rsidRPr="007B25AE">
        <w:rPr>
          <w:rFonts w:ascii="Baskerville" w:eastAsia="MS PMincho" w:hAnsi="Baskerville" w:cs="Arabic Typesetting"/>
        </w:rPr>
        <w:t xml:space="preserve">though </w:t>
      </w:r>
      <w:r w:rsidR="00FA217E" w:rsidRPr="007B25AE">
        <w:rPr>
          <w:rFonts w:ascii="Baskerville" w:eastAsia="MS PMincho" w:hAnsi="Baskerville" w:cs="Arabic Typesetting"/>
        </w:rPr>
        <w:t xml:space="preserve">functionally </w:t>
      </w:r>
      <w:r w:rsidR="00E33498" w:rsidRPr="007B25AE">
        <w:rPr>
          <w:rFonts w:ascii="Baskerville" w:eastAsia="MS PMincho" w:hAnsi="Baskerville" w:cs="Arabic Typesetting"/>
        </w:rPr>
        <w:t>relat</w:t>
      </w:r>
      <w:r w:rsidR="00EE57F9" w:rsidRPr="007B25AE">
        <w:rPr>
          <w:rFonts w:ascii="Baskerville" w:eastAsia="MS PMincho" w:hAnsi="Baskerville" w:cs="Arabic Typesetting"/>
        </w:rPr>
        <w:t>ed</w:t>
      </w:r>
      <w:r w:rsidR="00D865DD" w:rsidRPr="007B25AE">
        <w:rPr>
          <w:rFonts w:ascii="Baskerville" w:eastAsia="MS PMincho" w:hAnsi="Baskerville" w:cs="Arabic Typesetting"/>
        </w:rPr>
        <w:t xml:space="preserve"> (</w:t>
      </w:r>
      <w:r w:rsidR="00AD34D8" w:rsidRPr="007B25AE">
        <w:rPr>
          <w:rFonts w:ascii="Baskerville" w:eastAsia="MS PMincho" w:hAnsi="Baskerville" w:cs="Arabic Typesetting"/>
        </w:rPr>
        <w:t xml:space="preserve">theories) </w:t>
      </w:r>
      <w:r w:rsidR="00D865DD" w:rsidRPr="007B25AE">
        <w:rPr>
          <w:rFonts w:ascii="Baskerville" w:eastAsia="MS PMincho" w:hAnsi="Baskerville" w:cs="Arabic Typesetting"/>
        </w:rPr>
        <w:t>hypotheses</w:t>
      </w:r>
      <w:r w:rsidR="00E33498" w:rsidRPr="007B25AE">
        <w:rPr>
          <w:rFonts w:ascii="Baskerville" w:eastAsia="MS PMincho" w:hAnsi="Baskerville" w:cs="Arabic Typesetting"/>
        </w:rPr>
        <w:t xml:space="preserve">. </w:t>
      </w:r>
      <w:r w:rsidR="0095542F" w:rsidRPr="007B25AE">
        <w:rPr>
          <w:rFonts w:ascii="Baskerville" w:eastAsia="MS PMincho" w:hAnsi="Baskerville" w:cs="Arabic Typesetting"/>
        </w:rPr>
        <w:t>I</w:t>
      </w:r>
      <w:r w:rsidR="002438C5" w:rsidRPr="007B25AE">
        <w:rPr>
          <w:rFonts w:ascii="Baskerville" w:eastAsia="MS PMincho" w:hAnsi="Baskerville" w:cs="Arabic Typesetting"/>
        </w:rPr>
        <w:t>n</w:t>
      </w:r>
      <w:r w:rsidR="0095542F" w:rsidRPr="007B25AE">
        <w:rPr>
          <w:rFonts w:ascii="Baskerville" w:eastAsia="MS PMincho" w:hAnsi="Baskerville" w:cs="Arabic Typesetting"/>
        </w:rPr>
        <w:t xml:space="preserve"> this</w:t>
      </w:r>
      <w:r w:rsidR="00E33498" w:rsidRPr="007B25AE">
        <w:rPr>
          <w:rFonts w:ascii="Baskerville" w:eastAsia="MS PMincho" w:hAnsi="Baskerville" w:cs="Arabic Typesetting"/>
        </w:rPr>
        <w:t xml:space="preserve"> set up, the </w:t>
      </w:r>
      <w:r w:rsidR="00F802A7" w:rsidRPr="007B25AE">
        <w:rPr>
          <w:rFonts w:ascii="Baskerville" w:eastAsia="MS PMincho" w:hAnsi="Baskerville" w:cs="Arabic Typesetting"/>
        </w:rPr>
        <w:t>effect</w:t>
      </w:r>
      <w:r w:rsidR="00E33498" w:rsidRPr="007B25AE">
        <w:rPr>
          <w:rFonts w:ascii="Baskerville" w:eastAsia="MS PMincho" w:hAnsi="Baskerville" w:cs="Arabic Typesetting"/>
        </w:rPr>
        <w:t xml:space="preserve"> </w:t>
      </w:r>
      <w:r w:rsidR="0095542F" w:rsidRPr="007B25AE">
        <w:rPr>
          <w:rFonts w:ascii="Baskerville" w:eastAsia="MS PMincho" w:hAnsi="Baskerville" w:cs="Arabic Typesetting"/>
        </w:rPr>
        <w:t xml:space="preserve">predicted </w:t>
      </w:r>
      <w:r w:rsidR="00E33498" w:rsidRPr="007B25AE">
        <w:rPr>
          <w:rFonts w:ascii="Baskerville" w:eastAsia="MS PMincho" w:hAnsi="Baskerville" w:cs="Arabic Typesetting"/>
        </w:rPr>
        <w:t>(</w:t>
      </w:r>
      <w:r w:rsidR="00AD34D8" w:rsidRPr="007B25AE">
        <w:rPr>
          <w:rFonts w:ascii="Baskerville" w:eastAsia="MS PMincho" w:hAnsi="Baskerville" w:cs="Arabic Typesetting"/>
        </w:rPr>
        <w:t xml:space="preserve">on </w:t>
      </w:r>
      <w:r w:rsidR="002438C5" w:rsidRPr="007B25AE">
        <w:rPr>
          <w:rFonts w:ascii="Baskerville" w:eastAsia="MS PMincho" w:hAnsi="Baskerville" w:cs="Arabic Typesetting"/>
        </w:rPr>
        <w:t xml:space="preserve">the </w:t>
      </w:r>
      <w:r w:rsidR="00E33498" w:rsidRPr="007B25AE">
        <w:rPr>
          <w:rFonts w:ascii="Baskerville" w:eastAsia="MS PMincho" w:hAnsi="Baskerville" w:cs="Arabic Typesetting"/>
        </w:rPr>
        <w:t xml:space="preserve">dependent variable) </w:t>
      </w:r>
      <w:r w:rsidR="0095542F" w:rsidRPr="007B25AE">
        <w:rPr>
          <w:rFonts w:ascii="Baskerville" w:eastAsia="MS PMincho" w:hAnsi="Baskerville" w:cs="Arabic Typesetting"/>
        </w:rPr>
        <w:t>m</w:t>
      </w:r>
      <w:r w:rsidR="00E33498" w:rsidRPr="007B25AE">
        <w:rPr>
          <w:rFonts w:ascii="Baskerville" w:eastAsia="MS PMincho" w:hAnsi="Baskerville" w:cs="Arabic Typesetting"/>
        </w:rPr>
        <w:t>a</w:t>
      </w:r>
      <w:r w:rsidR="0095542F" w:rsidRPr="007B25AE">
        <w:rPr>
          <w:rFonts w:ascii="Baskerville" w:eastAsia="MS PMincho" w:hAnsi="Baskerville" w:cs="Arabic Typesetting"/>
        </w:rPr>
        <w:t>y</w:t>
      </w:r>
      <w:r w:rsidR="00E33498" w:rsidRPr="007B25AE">
        <w:rPr>
          <w:rFonts w:ascii="Baskerville" w:eastAsia="MS PMincho" w:hAnsi="Baskerville" w:cs="Arabic Typesetting"/>
        </w:rPr>
        <w:t xml:space="preserve"> be split into </w:t>
      </w:r>
      <w:r w:rsidR="00685ED8" w:rsidRPr="007B25AE">
        <w:rPr>
          <w:rFonts w:ascii="Baskerville" w:eastAsia="MS PMincho" w:hAnsi="Baskerville" w:cs="Arabic Typesetting"/>
        </w:rPr>
        <w:t xml:space="preserve">two </w:t>
      </w:r>
      <w:r w:rsidR="004D1B46" w:rsidRPr="007B25AE">
        <w:rPr>
          <w:rFonts w:ascii="Baskerville" w:eastAsia="MS PMincho" w:hAnsi="Baskerville" w:cs="Arabic Typesetting"/>
        </w:rPr>
        <w:t>di</w:t>
      </w:r>
      <w:r w:rsidR="00F802A7" w:rsidRPr="007B25AE">
        <w:rPr>
          <w:rFonts w:ascii="Baskerville" w:eastAsia="MS PMincho" w:hAnsi="Baskerville" w:cs="Arabic Typesetting"/>
        </w:rPr>
        <w:t>fferent</w:t>
      </w:r>
      <w:r w:rsidR="004D1B46" w:rsidRPr="007B25AE">
        <w:rPr>
          <w:rFonts w:ascii="Baskerville" w:eastAsia="MS PMincho" w:hAnsi="Baskerville" w:cs="Arabic Typesetting"/>
        </w:rPr>
        <w:t xml:space="preserve"> outcomes</w:t>
      </w:r>
      <w:r w:rsidR="0095542F" w:rsidRPr="007B25AE">
        <w:rPr>
          <w:rFonts w:ascii="Baskerville" w:eastAsia="MS PMincho" w:hAnsi="Baskerville" w:cs="Arabic Typesetting"/>
        </w:rPr>
        <w:t>—</w:t>
      </w:r>
      <w:r w:rsidR="004D1B46" w:rsidRPr="007B25AE">
        <w:rPr>
          <w:rFonts w:ascii="Baskerville" w:eastAsia="MS PMincho" w:hAnsi="Baskerville" w:cs="Arabic Typesetting"/>
        </w:rPr>
        <w:t xml:space="preserve"> </w:t>
      </w:r>
      <w:r w:rsidR="0064583F" w:rsidRPr="007B25AE">
        <w:rPr>
          <w:rFonts w:ascii="Baskerville" w:eastAsia="MS PMincho" w:hAnsi="Baskerville" w:cs="Arabic Typesetting"/>
        </w:rPr>
        <w:t xml:space="preserve">two </w:t>
      </w:r>
      <w:r w:rsidR="004D1B46" w:rsidRPr="007B25AE">
        <w:rPr>
          <w:rFonts w:ascii="Baskerville" w:eastAsia="MS PMincho" w:hAnsi="Baskerville" w:cs="Arabic Typesetting"/>
        </w:rPr>
        <w:t>dependent variables</w:t>
      </w:r>
      <w:r w:rsidR="0095542F" w:rsidRPr="007B25AE">
        <w:rPr>
          <w:rFonts w:ascii="Baskerville" w:eastAsia="MS PMincho" w:hAnsi="Baskerville" w:cs="Arabic Typesetting"/>
        </w:rPr>
        <w:t xml:space="preserve"> (</w:t>
      </w:r>
      <w:r w:rsidR="00D908E4" w:rsidRPr="007B25AE">
        <w:rPr>
          <w:rFonts w:ascii="Baskerville" w:eastAsia="MS PMincho" w:hAnsi="Baskerville" w:cs="Arabic Typesetting"/>
        </w:rPr>
        <w:t>uca.edu</w:t>
      </w:r>
      <w:r w:rsidR="001D55A6" w:rsidRPr="007B25AE">
        <w:rPr>
          <w:rFonts w:ascii="Baskerville" w:eastAsia="MS PMincho" w:hAnsi="Baskerville" w:cs="Arabic Typesetting"/>
        </w:rPr>
        <w:t xml:space="preserve">, </w:t>
      </w:r>
      <w:r w:rsidR="000B2E87" w:rsidRPr="007B25AE">
        <w:rPr>
          <w:rFonts w:ascii="Baskerville" w:eastAsia="MS PMincho" w:hAnsi="Baskerville" w:cs="Arabic Typesetting"/>
        </w:rPr>
        <w:t>201</w:t>
      </w:r>
      <w:r w:rsidR="00AD34D8" w:rsidRPr="007B25AE">
        <w:rPr>
          <w:rFonts w:ascii="Baskerville" w:eastAsia="MS PMincho" w:hAnsi="Baskerville" w:cs="Arabic Typesetting"/>
        </w:rPr>
        <w:t>9</w:t>
      </w:r>
      <w:r w:rsidR="0095542F" w:rsidRPr="007B25AE">
        <w:rPr>
          <w:rFonts w:ascii="Baskerville" w:eastAsia="MS PMincho" w:hAnsi="Baskerville" w:cs="Arabic Typesetting"/>
        </w:rPr>
        <w:t>).</w:t>
      </w:r>
      <w:r w:rsidR="000B2E87" w:rsidRPr="007B25AE">
        <w:rPr>
          <w:rFonts w:ascii="Baskerville" w:eastAsia="MS PMincho" w:hAnsi="Baskerville" w:cs="Arabic Typesetting"/>
        </w:rPr>
        <w:t xml:space="preserve">         </w:t>
      </w:r>
    </w:p>
    <w:p w14:paraId="5F94A9BC" w14:textId="13DA3C14" w:rsidR="00865622" w:rsidRPr="007B25AE" w:rsidRDefault="007D06E7" w:rsidP="002472A4">
      <w:pPr>
        <w:spacing w:line="360" w:lineRule="auto"/>
        <w:ind w:firstLine="720"/>
        <w:rPr>
          <w:rFonts w:ascii="Baskerville" w:eastAsia="MS PMincho" w:hAnsi="Baskerville" w:cs="Arabic Typesetting"/>
        </w:rPr>
      </w:pPr>
      <w:r w:rsidRPr="007B25AE">
        <w:rPr>
          <w:rFonts w:ascii="Baskerville" w:eastAsia="MS PMincho" w:hAnsi="Baskerville" w:cs="Arabic Typesetting"/>
        </w:rPr>
        <w:t>Here, w</w:t>
      </w:r>
      <w:r w:rsidR="00074322" w:rsidRPr="007B25AE">
        <w:rPr>
          <w:rFonts w:ascii="Baskerville" w:eastAsia="MS PMincho" w:hAnsi="Baskerville" w:cs="Arabic Typesetting"/>
        </w:rPr>
        <w:t xml:space="preserve">e </w:t>
      </w:r>
      <w:r w:rsidR="00416CFC" w:rsidRPr="007B25AE">
        <w:rPr>
          <w:rFonts w:ascii="Baskerville" w:eastAsia="MS PMincho" w:hAnsi="Baskerville" w:cs="Arabic Typesetting"/>
        </w:rPr>
        <w:t xml:space="preserve">may </w:t>
      </w:r>
      <w:r w:rsidRPr="007B25AE">
        <w:rPr>
          <w:rFonts w:ascii="Baskerville" w:eastAsia="MS PMincho" w:hAnsi="Baskerville" w:cs="Arabic Typesetting"/>
        </w:rPr>
        <w:t xml:space="preserve">choose to </w:t>
      </w:r>
      <w:r w:rsidR="00971944" w:rsidRPr="007B25AE">
        <w:rPr>
          <w:rFonts w:ascii="Baskerville" w:eastAsia="MS PMincho" w:hAnsi="Baskerville" w:cs="Arabic Typesetting"/>
        </w:rPr>
        <w:t xml:space="preserve">break </w:t>
      </w:r>
      <w:r w:rsidR="0095542F" w:rsidRPr="007B25AE">
        <w:rPr>
          <w:rFonts w:ascii="Baskerville" w:eastAsia="MS PMincho" w:hAnsi="Baskerville" w:cs="Arabic Typesetting"/>
        </w:rPr>
        <w:t>up</w:t>
      </w:r>
      <w:r w:rsidR="00074322" w:rsidRPr="007B25AE">
        <w:rPr>
          <w:rFonts w:ascii="Baskerville" w:eastAsia="MS PMincho" w:hAnsi="Baskerville" w:cs="Arabic Typesetting"/>
        </w:rPr>
        <w:t xml:space="preserve"> the second of the two</w:t>
      </w:r>
      <w:r w:rsidR="000E5176" w:rsidRPr="007B25AE">
        <w:rPr>
          <w:rFonts w:ascii="Baskerville" w:eastAsia="MS PMincho" w:hAnsi="Baskerville" w:cs="Arabic Typesetting"/>
        </w:rPr>
        <w:t xml:space="preserve"> </w:t>
      </w:r>
      <w:r w:rsidR="00C75A7F" w:rsidRPr="007B25AE">
        <w:rPr>
          <w:rFonts w:ascii="Baskerville" w:eastAsia="MS PMincho" w:hAnsi="Baskerville" w:cs="Arabic Typesetting"/>
        </w:rPr>
        <w:t>hypothes</w:t>
      </w:r>
      <w:r w:rsidR="00074322" w:rsidRPr="007B25AE">
        <w:rPr>
          <w:rFonts w:ascii="Baskerville" w:eastAsia="MS PMincho" w:hAnsi="Baskerville" w:cs="Arabic Typesetting"/>
        </w:rPr>
        <w:t>e</w:t>
      </w:r>
      <w:r w:rsidR="00C75A7F" w:rsidRPr="007B25AE">
        <w:rPr>
          <w:rFonts w:ascii="Baskerville" w:eastAsia="MS PMincho" w:hAnsi="Baskerville" w:cs="Arabic Typesetting"/>
        </w:rPr>
        <w:t>s</w:t>
      </w:r>
      <w:r w:rsidR="00763430" w:rsidRPr="007B25AE">
        <w:rPr>
          <w:rFonts w:ascii="Baskerville" w:eastAsia="MS PMincho" w:hAnsi="Baskerville" w:cs="Arabic Typesetting"/>
        </w:rPr>
        <w:t xml:space="preserve"> </w:t>
      </w:r>
      <w:r w:rsidR="00E53942" w:rsidRPr="007B25AE">
        <w:rPr>
          <w:rFonts w:ascii="Baskerville" w:eastAsia="MS PMincho" w:hAnsi="Baskerville" w:cs="Arabic Typesetting"/>
        </w:rPr>
        <w:t>from uca.edu. (2019)</w:t>
      </w:r>
      <w:r w:rsidR="005A6F0E" w:rsidRPr="007B25AE">
        <w:rPr>
          <w:rFonts w:ascii="Baskerville" w:eastAsia="MS PMincho" w:hAnsi="Baskerville" w:cs="Arabic Typesetting"/>
        </w:rPr>
        <w:t>,</w:t>
      </w:r>
      <w:r w:rsidR="00E53942" w:rsidRPr="007B25AE">
        <w:rPr>
          <w:rFonts w:ascii="Baskerville" w:eastAsia="MS PMincho" w:hAnsi="Baskerville" w:cs="Arabic Typesetting"/>
        </w:rPr>
        <w:t xml:space="preserve"> </w:t>
      </w:r>
      <w:proofErr w:type="gramStart"/>
      <w:r w:rsidR="00971944" w:rsidRPr="007B25AE">
        <w:rPr>
          <w:rFonts w:ascii="Baskerville" w:eastAsia="MS PMincho" w:hAnsi="Baskerville" w:cs="Arabic Typesetting"/>
        </w:rPr>
        <w:t xml:space="preserve">in order </w:t>
      </w:r>
      <w:r w:rsidR="00074322" w:rsidRPr="007B25AE">
        <w:rPr>
          <w:rFonts w:ascii="Baskerville" w:eastAsia="MS PMincho" w:hAnsi="Baskerville" w:cs="Arabic Typesetting"/>
        </w:rPr>
        <w:t>to</w:t>
      </w:r>
      <w:proofErr w:type="gramEnd"/>
      <w:r w:rsidR="00074322" w:rsidRPr="007B25AE">
        <w:rPr>
          <w:rFonts w:ascii="Baskerville" w:eastAsia="MS PMincho" w:hAnsi="Baskerville" w:cs="Arabic Typesetting"/>
        </w:rPr>
        <w:t xml:space="preserve"> illustrate the point.  </w:t>
      </w:r>
      <w:r w:rsidR="0047367E" w:rsidRPr="007B25AE">
        <w:rPr>
          <w:rFonts w:ascii="Baskerville" w:eastAsia="MS PMincho" w:hAnsi="Baskerville" w:cs="Arabic Typesetting"/>
        </w:rPr>
        <w:t>Q</w:t>
      </w:r>
      <w:r w:rsidR="00971944" w:rsidRPr="007B25AE">
        <w:rPr>
          <w:rFonts w:ascii="Baskerville" w:eastAsia="MS PMincho" w:hAnsi="Baskerville" w:cs="Arabic Typesetting"/>
        </w:rPr>
        <w:t>uoting directly</w:t>
      </w:r>
      <w:r w:rsidR="00074322" w:rsidRPr="007B25AE">
        <w:rPr>
          <w:rFonts w:ascii="Baskerville" w:eastAsia="MS PMincho" w:hAnsi="Baskerville" w:cs="Arabic Typesetting"/>
        </w:rPr>
        <w:t>,</w:t>
      </w:r>
      <w:r w:rsidR="00971944" w:rsidRPr="007B25AE">
        <w:rPr>
          <w:rFonts w:ascii="Baskerville" w:eastAsia="MS PMincho" w:hAnsi="Baskerville" w:cs="Arabic Typesetting"/>
        </w:rPr>
        <w:t xml:space="preserve"> </w:t>
      </w:r>
      <w:r w:rsidR="0095542F" w:rsidRPr="007B25AE">
        <w:rPr>
          <w:rFonts w:ascii="Baskerville" w:eastAsia="MS PMincho" w:hAnsi="Baskerville" w:cs="Arabic Typesetting"/>
        </w:rPr>
        <w:t xml:space="preserve">the </w:t>
      </w:r>
      <w:r w:rsidR="00AD34D8" w:rsidRPr="007B25AE">
        <w:rPr>
          <w:rFonts w:ascii="Baskerville" w:eastAsia="MS PMincho" w:hAnsi="Baskerville" w:cs="Arabic Typesetting"/>
        </w:rPr>
        <w:t xml:space="preserve">uca.edu </w:t>
      </w:r>
      <w:r w:rsidR="0095542F" w:rsidRPr="007B25AE">
        <w:rPr>
          <w:rFonts w:ascii="Baskerville" w:eastAsia="MS PMincho" w:hAnsi="Baskerville" w:cs="Arabic Typesetting"/>
        </w:rPr>
        <w:t>paper</w:t>
      </w:r>
      <w:r w:rsidR="00AD34D8" w:rsidRPr="007B25AE">
        <w:rPr>
          <w:rFonts w:ascii="Baskerville" w:eastAsia="MS PMincho" w:hAnsi="Baskerville" w:cs="Arabic Typesetting"/>
        </w:rPr>
        <w:t>,</w:t>
      </w:r>
      <w:r w:rsidR="0095542F" w:rsidRPr="007B25AE">
        <w:rPr>
          <w:rFonts w:ascii="Baskerville" w:eastAsia="MS PMincho" w:hAnsi="Baskerville" w:cs="Arabic Typesetting"/>
        </w:rPr>
        <w:t xml:space="preserve"> </w:t>
      </w:r>
      <w:r w:rsidR="00AD34D8" w:rsidRPr="007B25AE">
        <w:rPr>
          <w:rFonts w:ascii="Baskerville" w:eastAsia="MS PMincho" w:hAnsi="Baskerville" w:cs="Arabic Typesetting"/>
        </w:rPr>
        <w:t>exemplifying   this,</w:t>
      </w:r>
      <w:r w:rsidR="00971944" w:rsidRPr="007B25AE">
        <w:rPr>
          <w:rFonts w:ascii="Baskerville" w:eastAsia="MS PMincho" w:hAnsi="Baskerville" w:cs="Arabic Typesetting"/>
        </w:rPr>
        <w:t xml:space="preserve"> </w:t>
      </w:r>
      <w:r w:rsidR="00AD34D8" w:rsidRPr="007B25AE">
        <w:rPr>
          <w:rFonts w:ascii="Baskerville" w:eastAsia="MS PMincho" w:hAnsi="Baskerville" w:cs="Arabic Typesetting"/>
        </w:rPr>
        <w:t xml:space="preserve">states </w:t>
      </w:r>
      <w:r w:rsidR="00971944" w:rsidRPr="007B25AE">
        <w:rPr>
          <w:rFonts w:ascii="Baskerville" w:eastAsia="MS PMincho" w:hAnsi="Baskerville" w:cs="Arabic Typesetting"/>
        </w:rPr>
        <w:t>that,</w:t>
      </w:r>
      <w:r w:rsidR="00C75A7F" w:rsidRPr="007B25AE">
        <w:rPr>
          <w:rFonts w:ascii="Baskerville" w:eastAsia="MS PMincho" w:hAnsi="Baskerville" w:cs="Arabic Typesetting"/>
        </w:rPr>
        <w:t xml:space="preserve"> </w:t>
      </w:r>
      <w:r w:rsidR="00E53942" w:rsidRPr="007B25AE">
        <w:rPr>
          <w:rFonts w:ascii="Baskerville" w:eastAsia="MS PMincho" w:hAnsi="Baskerville" w:cs="Arabic Typesetting"/>
        </w:rPr>
        <w:t>“In the case of murder, mock jur</w:t>
      </w:r>
      <w:r w:rsidR="00FB4BF2" w:rsidRPr="007B25AE">
        <w:rPr>
          <w:rFonts w:ascii="Baskerville" w:eastAsia="MS PMincho" w:hAnsi="Baskerville" w:cs="Arabic Typesetting"/>
        </w:rPr>
        <w:t>y</w:t>
      </w:r>
      <w:r w:rsidR="00E53942" w:rsidRPr="007B25AE">
        <w:rPr>
          <w:rFonts w:ascii="Baskerville" w:eastAsia="MS PMincho" w:hAnsi="Baskerville" w:cs="Arabic Typesetting"/>
        </w:rPr>
        <w:t xml:space="preserve"> will be more likely to convict a black defendant than a white defendant”</w:t>
      </w:r>
      <w:r w:rsidRPr="007B25AE">
        <w:rPr>
          <w:rFonts w:ascii="Baskerville" w:eastAsia="MS PMincho" w:hAnsi="Baskerville" w:cs="Arabic Typesetting"/>
        </w:rPr>
        <w:t xml:space="preserve"> (</w:t>
      </w:r>
      <w:r w:rsidR="00D908E4" w:rsidRPr="007B25AE">
        <w:rPr>
          <w:rFonts w:ascii="Baskerville" w:eastAsia="MS PMincho" w:hAnsi="Baskerville" w:cs="Arabic Typesetting"/>
        </w:rPr>
        <w:t>uca.edu).</w:t>
      </w:r>
      <w:r w:rsidR="00E53942" w:rsidRPr="007B25AE">
        <w:rPr>
          <w:rFonts w:ascii="Baskerville" w:eastAsia="MS PMincho" w:hAnsi="Baskerville" w:cs="Arabic Typesetting"/>
        </w:rPr>
        <w:t xml:space="preserve"> </w:t>
      </w:r>
      <w:r w:rsidR="00971944" w:rsidRPr="007B25AE">
        <w:rPr>
          <w:rFonts w:ascii="Baskerville" w:eastAsia="MS PMincho" w:hAnsi="Baskerville" w:cs="Arabic Typesetting"/>
        </w:rPr>
        <w:t xml:space="preserve">One </w:t>
      </w:r>
      <w:r w:rsidR="00416CFC" w:rsidRPr="007B25AE">
        <w:rPr>
          <w:rFonts w:ascii="Baskerville" w:eastAsia="MS PMincho" w:hAnsi="Baskerville" w:cs="Arabic Typesetting"/>
        </w:rPr>
        <w:t xml:space="preserve">possible </w:t>
      </w:r>
      <w:r w:rsidR="00D908E4" w:rsidRPr="007B25AE">
        <w:rPr>
          <w:rFonts w:ascii="Baskerville" w:eastAsia="MS PMincho" w:hAnsi="Baskerville" w:cs="Arabic Typesetting"/>
        </w:rPr>
        <w:t>sub</w:t>
      </w:r>
      <w:r w:rsidR="0047367E" w:rsidRPr="007B25AE">
        <w:rPr>
          <w:rFonts w:ascii="Baskerville" w:eastAsia="MS PMincho" w:hAnsi="Baskerville" w:cs="Arabic Typesetting"/>
        </w:rPr>
        <w:t>-</w:t>
      </w:r>
      <w:r w:rsidR="00971944" w:rsidRPr="007B25AE">
        <w:rPr>
          <w:rFonts w:ascii="Baskerville" w:eastAsia="MS PMincho" w:hAnsi="Baskerville" w:cs="Arabic Typesetting"/>
        </w:rPr>
        <w:t xml:space="preserve">hypothesis </w:t>
      </w:r>
      <w:r w:rsidR="00D908E4" w:rsidRPr="007B25AE">
        <w:rPr>
          <w:rFonts w:ascii="Baskerville" w:eastAsia="MS PMincho" w:hAnsi="Baskerville" w:cs="Arabic Typesetting"/>
        </w:rPr>
        <w:t xml:space="preserve">that could be </w:t>
      </w:r>
      <w:r w:rsidR="00971944" w:rsidRPr="007B25AE">
        <w:rPr>
          <w:rFonts w:ascii="Baskerville" w:eastAsia="MS PMincho" w:hAnsi="Baskerville" w:cs="Arabic Typesetting"/>
        </w:rPr>
        <w:t xml:space="preserve">splintered off </w:t>
      </w:r>
      <w:r w:rsidR="00AD34D8" w:rsidRPr="007B25AE">
        <w:rPr>
          <w:rFonts w:ascii="Baskerville" w:eastAsia="MS PMincho" w:hAnsi="Baskerville" w:cs="Arabic Typesetting"/>
        </w:rPr>
        <w:t xml:space="preserve">from </w:t>
      </w:r>
      <w:r w:rsidR="00971944" w:rsidRPr="007B25AE">
        <w:rPr>
          <w:rFonts w:ascii="Baskerville" w:eastAsia="MS PMincho" w:hAnsi="Baskerville" w:cs="Arabic Typesetting"/>
        </w:rPr>
        <w:t>th</w:t>
      </w:r>
      <w:r w:rsidR="0047367E" w:rsidRPr="007B25AE">
        <w:rPr>
          <w:rFonts w:ascii="Baskerville" w:eastAsia="MS PMincho" w:hAnsi="Baskerville" w:cs="Arabic Typesetting"/>
        </w:rPr>
        <w:t>at</w:t>
      </w:r>
      <w:r w:rsidR="00971944" w:rsidRPr="007B25AE">
        <w:rPr>
          <w:rFonts w:ascii="Baskerville" w:eastAsia="MS PMincho" w:hAnsi="Baskerville" w:cs="Arabic Typesetting"/>
        </w:rPr>
        <w:t xml:space="preserve"> original hypothesis could be</w:t>
      </w:r>
      <w:r w:rsidR="00D908E4" w:rsidRPr="007B25AE">
        <w:rPr>
          <w:rFonts w:ascii="Baskerville" w:eastAsia="MS PMincho" w:hAnsi="Baskerville" w:cs="Arabic Typesetting"/>
        </w:rPr>
        <w:t>:</w:t>
      </w:r>
      <w:r w:rsidR="00E53942" w:rsidRPr="007B25AE">
        <w:rPr>
          <w:rFonts w:ascii="Baskerville" w:eastAsia="MS PMincho" w:hAnsi="Baskerville" w:cs="Arabic Typesetting"/>
        </w:rPr>
        <w:t xml:space="preserve"> </w:t>
      </w:r>
      <w:r w:rsidR="00C75A7F" w:rsidRPr="007B25AE">
        <w:rPr>
          <w:rFonts w:ascii="Baskerville" w:eastAsia="MS PMincho" w:hAnsi="Baskerville" w:cs="Arabic Typesetting"/>
        </w:rPr>
        <w:t xml:space="preserve">“In the case of murder, </w:t>
      </w:r>
      <w:r w:rsidR="00E001B4" w:rsidRPr="007B25AE">
        <w:rPr>
          <w:rFonts w:ascii="Baskerville" w:eastAsia="MS PMincho" w:hAnsi="Baskerville" w:cs="Arabic Typesetting"/>
        </w:rPr>
        <w:t xml:space="preserve">mock jury is </w:t>
      </w:r>
      <w:r w:rsidR="000E5176" w:rsidRPr="007B25AE">
        <w:rPr>
          <w:rFonts w:ascii="Baskerville" w:eastAsia="MS PMincho" w:hAnsi="Baskerville" w:cs="Arabic Typesetting"/>
        </w:rPr>
        <w:t xml:space="preserve">more </w:t>
      </w:r>
      <w:r w:rsidR="00E001B4" w:rsidRPr="007B25AE">
        <w:rPr>
          <w:rFonts w:ascii="Baskerville" w:eastAsia="MS PMincho" w:hAnsi="Baskerville" w:cs="Arabic Typesetting"/>
        </w:rPr>
        <w:t xml:space="preserve">likely to convict </w:t>
      </w:r>
      <w:r w:rsidR="000E5176" w:rsidRPr="007B25AE">
        <w:rPr>
          <w:rFonts w:ascii="Baskerville" w:eastAsia="MS PMincho" w:hAnsi="Baskerville" w:cs="Arabic Typesetting"/>
        </w:rPr>
        <w:t xml:space="preserve">a defendant who is </w:t>
      </w:r>
      <w:r w:rsidR="00E001B4" w:rsidRPr="007B25AE">
        <w:rPr>
          <w:rFonts w:ascii="Baskerville" w:eastAsia="MS PMincho" w:hAnsi="Baskerville" w:cs="Arabic Typesetting"/>
        </w:rPr>
        <w:t>Black.”</w:t>
      </w:r>
      <w:r w:rsidR="00C75A7F" w:rsidRPr="007B25AE">
        <w:rPr>
          <w:rFonts w:ascii="Baskerville" w:eastAsia="MS PMincho" w:hAnsi="Baskerville" w:cs="Arabic Typesetting"/>
        </w:rPr>
        <w:t xml:space="preserve"> </w:t>
      </w:r>
      <w:r w:rsidR="00D908E4" w:rsidRPr="007B25AE">
        <w:rPr>
          <w:rFonts w:ascii="Baskerville" w:eastAsia="MS PMincho" w:hAnsi="Baskerville" w:cs="Arabic Typesetting"/>
        </w:rPr>
        <w:t xml:space="preserve">A second </w:t>
      </w:r>
      <w:r w:rsidR="00FB4BF2" w:rsidRPr="007B25AE">
        <w:rPr>
          <w:rFonts w:ascii="Baskerville" w:eastAsia="MS PMincho" w:hAnsi="Baskerville" w:cs="Arabic Typesetting"/>
        </w:rPr>
        <w:t xml:space="preserve">sub-hypothesis </w:t>
      </w:r>
      <w:r w:rsidR="00433E10" w:rsidRPr="007B25AE">
        <w:rPr>
          <w:rFonts w:ascii="Baskerville" w:eastAsia="MS PMincho" w:hAnsi="Baskerville" w:cs="Arabic Typesetting"/>
        </w:rPr>
        <w:t xml:space="preserve">could </w:t>
      </w:r>
      <w:r w:rsidR="003536B5" w:rsidRPr="007B25AE">
        <w:rPr>
          <w:rFonts w:ascii="Baskerville" w:eastAsia="MS PMincho" w:hAnsi="Baskerville" w:cs="Arabic Typesetting"/>
        </w:rPr>
        <w:t>read</w:t>
      </w:r>
      <w:r w:rsidR="000E5176" w:rsidRPr="007B25AE">
        <w:rPr>
          <w:rFonts w:ascii="Baskerville" w:eastAsia="MS PMincho" w:hAnsi="Baskerville" w:cs="Arabic Typesetting"/>
        </w:rPr>
        <w:t>,</w:t>
      </w:r>
      <w:r w:rsidR="00C75A7F" w:rsidRPr="007B25AE">
        <w:rPr>
          <w:rFonts w:ascii="Baskerville" w:eastAsia="MS PMincho" w:hAnsi="Baskerville" w:cs="Arabic Typesetting"/>
        </w:rPr>
        <w:t xml:space="preserve"> </w:t>
      </w:r>
      <w:r w:rsidR="000E5176" w:rsidRPr="007B25AE">
        <w:rPr>
          <w:rFonts w:ascii="Baskerville" w:eastAsia="MS PMincho" w:hAnsi="Baskerville" w:cs="Arabic Typesetting"/>
        </w:rPr>
        <w:t>“In the case of murder, mock jury is less likely to convict a defendant who is White.”</w:t>
      </w:r>
      <w:r w:rsidR="00CC6DEF" w:rsidRPr="007B25AE">
        <w:rPr>
          <w:rFonts w:ascii="Baskerville" w:eastAsia="MS PMincho" w:hAnsi="Baskerville" w:cs="Arabic Typesetting"/>
        </w:rPr>
        <w:t xml:space="preserve"> </w:t>
      </w:r>
    </w:p>
    <w:p w14:paraId="21ABE060" w14:textId="67FC7BFA" w:rsidR="0032789C" w:rsidRPr="007B25AE" w:rsidRDefault="00E102F2" w:rsidP="00557FDD">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On the </w:t>
      </w:r>
      <w:r w:rsidR="006F2D9E" w:rsidRPr="007B25AE">
        <w:rPr>
          <w:rFonts w:ascii="Baskerville" w:eastAsia="MS PMincho" w:hAnsi="Baskerville" w:cs="Arabic Typesetting"/>
        </w:rPr>
        <w:t>next t</w:t>
      </w:r>
      <w:r w:rsidR="009153EB" w:rsidRPr="007B25AE">
        <w:rPr>
          <w:rFonts w:ascii="Baskerville" w:eastAsia="MS PMincho" w:hAnsi="Baskerville" w:cs="Arabic Typesetting"/>
        </w:rPr>
        <w:t>ier of the discussion about the nature of the hypothesis, the question is asked, what is the difference between the alternative hypothesis (H</w:t>
      </w:r>
      <w:r w:rsidR="009153EB" w:rsidRPr="007B25AE">
        <w:rPr>
          <w:rFonts w:ascii="Baskerville" w:eastAsia="MS PMincho" w:hAnsi="Baskerville" w:cs="Arabic Typesetting"/>
          <w:sz w:val="36"/>
          <w:szCs w:val="36"/>
          <w:vertAlign w:val="subscript"/>
        </w:rPr>
        <w:t>a</w:t>
      </w:r>
      <w:r w:rsidR="009153EB" w:rsidRPr="007B25AE">
        <w:rPr>
          <w:rFonts w:ascii="Baskerville" w:eastAsia="MS PMincho" w:hAnsi="Baskerville" w:cs="Arabic Typesetting"/>
        </w:rPr>
        <w:t>) and the null hypothesis (H</w:t>
      </w:r>
      <w:r w:rsidR="009153EB" w:rsidRPr="007B25AE">
        <w:rPr>
          <w:rFonts w:ascii="Baskerville" w:eastAsia="MS PMincho" w:hAnsi="Baskerville" w:cs="Arabic Typesetting"/>
          <w:sz w:val="32"/>
          <w:szCs w:val="32"/>
          <w:vertAlign w:val="subscript"/>
        </w:rPr>
        <w:t>0</w:t>
      </w:r>
      <w:r w:rsidR="009153EB" w:rsidRPr="007B25AE">
        <w:rPr>
          <w:rFonts w:ascii="Baskerville" w:eastAsia="MS PMincho" w:hAnsi="Baskerville" w:cs="Arabic Typesetting"/>
        </w:rPr>
        <w:t>)?  The</w:t>
      </w:r>
      <w:r w:rsidR="00614AFF" w:rsidRPr="007B25AE">
        <w:rPr>
          <w:rFonts w:ascii="Baskerville" w:eastAsia="MS PMincho" w:hAnsi="Baskerville" w:cs="Arabic Typesetting"/>
        </w:rPr>
        <w:t xml:space="preserve"> alternative hypothesis (H</w:t>
      </w:r>
      <w:r w:rsidR="00614AFF" w:rsidRPr="007B25AE">
        <w:rPr>
          <w:rFonts w:ascii="Baskerville" w:eastAsia="MS PMincho" w:hAnsi="Baskerville" w:cs="Arabic Typesetting"/>
          <w:sz w:val="36"/>
          <w:szCs w:val="36"/>
          <w:vertAlign w:val="subscript"/>
        </w:rPr>
        <w:t>a</w:t>
      </w:r>
      <w:r w:rsidR="00614AFF" w:rsidRPr="007B25AE">
        <w:rPr>
          <w:rFonts w:ascii="Baskerville" w:eastAsia="MS PMincho" w:hAnsi="Baskerville" w:cs="Arabic Typesetting"/>
        </w:rPr>
        <w:t>) and the null hypothesis (H</w:t>
      </w:r>
      <w:r w:rsidR="00614AFF" w:rsidRPr="007B25AE">
        <w:rPr>
          <w:rFonts w:ascii="Baskerville" w:eastAsia="MS PMincho" w:hAnsi="Baskerville" w:cs="Arabic Typesetting"/>
          <w:sz w:val="32"/>
          <w:szCs w:val="32"/>
          <w:vertAlign w:val="subscript"/>
        </w:rPr>
        <w:t>0</w:t>
      </w:r>
      <w:r w:rsidR="00614AFF" w:rsidRPr="007B25AE">
        <w:rPr>
          <w:rFonts w:ascii="Baskerville" w:eastAsia="MS PMincho" w:hAnsi="Baskerville" w:cs="Arabic Typesetting"/>
        </w:rPr>
        <w:t>)</w:t>
      </w:r>
      <w:r w:rsidR="00AB64D6" w:rsidRPr="007B25AE">
        <w:rPr>
          <w:rFonts w:ascii="Baskerville" w:eastAsia="MS PMincho" w:hAnsi="Baskerville" w:cs="Arabic Typesetting"/>
        </w:rPr>
        <w:t>,</w:t>
      </w:r>
      <w:r w:rsidR="00557FDD" w:rsidRPr="007B25AE">
        <w:rPr>
          <w:rFonts w:ascii="Baskerville" w:eastAsia="MS PMincho" w:hAnsi="Baskerville" w:cs="Arabic Typesetting"/>
        </w:rPr>
        <w:t xml:space="preserve"> </w:t>
      </w:r>
      <w:r w:rsidR="00AC4E81" w:rsidRPr="007B25AE">
        <w:rPr>
          <w:rFonts w:ascii="Baskerville" w:eastAsia="MS PMincho" w:hAnsi="Baskerville" w:cs="Arabic Typesetting"/>
        </w:rPr>
        <w:t>together</w:t>
      </w:r>
      <w:r w:rsidR="001D55A6" w:rsidRPr="007B25AE">
        <w:rPr>
          <w:rFonts w:ascii="Baskerville" w:eastAsia="MS PMincho" w:hAnsi="Baskerville" w:cs="Arabic Typesetting"/>
        </w:rPr>
        <w:t>,</w:t>
      </w:r>
      <w:r w:rsidR="00557FDD" w:rsidRPr="007B25AE">
        <w:rPr>
          <w:rFonts w:ascii="Baskerville" w:eastAsia="MS PMincho" w:hAnsi="Baskerville" w:cs="Arabic Typesetting"/>
        </w:rPr>
        <w:t xml:space="preserve"> contain</w:t>
      </w:r>
      <w:r w:rsidR="009A6FFE" w:rsidRPr="007B25AE">
        <w:rPr>
          <w:rFonts w:ascii="Baskerville" w:eastAsia="MS PMincho" w:hAnsi="Baskerville" w:cs="Arabic Typesetting"/>
        </w:rPr>
        <w:t xml:space="preserve"> </w:t>
      </w:r>
      <w:r w:rsidR="00682DB6" w:rsidRPr="007B25AE">
        <w:rPr>
          <w:rFonts w:ascii="Baskerville" w:eastAsia="MS PMincho" w:hAnsi="Baskerville" w:cs="Arabic Typesetting"/>
        </w:rPr>
        <w:t xml:space="preserve">all </w:t>
      </w:r>
      <w:r w:rsidR="009A6FFE" w:rsidRPr="007B25AE">
        <w:rPr>
          <w:rFonts w:ascii="Baskerville" w:eastAsia="MS PMincho" w:hAnsi="Baskerville" w:cs="Arabic Typesetting"/>
        </w:rPr>
        <w:t xml:space="preserve">the </w:t>
      </w:r>
      <w:r w:rsidR="00285C34" w:rsidRPr="007B25AE">
        <w:rPr>
          <w:rFonts w:ascii="Baskerville" w:eastAsia="MS PMincho" w:hAnsi="Baskerville" w:cs="Arabic Typesetting"/>
        </w:rPr>
        <w:t xml:space="preserve">same </w:t>
      </w:r>
      <w:r w:rsidR="009A6FFE" w:rsidRPr="007B25AE">
        <w:rPr>
          <w:rFonts w:ascii="Baskerville" w:eastAsia="MS PMincho" w:hAnsi="Baskerville" w:cs="Arabic Typesetting"/>
        </w:rPr>
        <w:t xml:space="preserve">essential elements </w:t>
      </w:r>
      <w:r w:rsidR="00285C34" w:rsidRPr="007B25AE">
        <w:rPr>
          <w:rFonts w:ascii="Baskerville" w:eastAsia="MS PMincho" w:hAnsi="Baskerville" w:cs="Arabic Typesetting"/>
        </w:rPr>
        <w:t xml:space="preserve">that are </w:t>
      </w:r>
      <w:r w:rsidR="009153EB" w:rsidRPr="007B25AE">
        <w:rPr>
          <w:rFonts w:ascii="Baskerville" w:eastAsia="MS PMincho" w:hAnsi="Baskerville" w:cs="Arabic Typesetting"/>
        </w:rPr>
        <w:t>s</w:t>
      </w:r>
      <w:r w:rsidR="00B77339" w:rsidRPr="007B25AE">
        <w:rPr>
          <w:rFonts w:ascii="Baskerville" w:eastAsia="MS PMincho" w:hAnsi="Baskerville" w:cs="Arabic Typesetting"/>
        </w:rPr>
        <w:t>hown above</w:t>
      </w:r>
      <w:r w:rsidR="009153EB" w:rsidRPr="007B25AE">
        <w:rPr>
          <w:rFonts w:ascii="Baskerville" w:eastAsia="MS PMincho" w:hAnsi="Baskerville" w:cs="Arabic Typesetting"/>
        </w:rPr>
        <w:t xml:space="preserve"> to be </w:t>
      </w:r>
      <w:r w:rsidR="00285C34" w:rsidRPr="007B25AE">
        <w:rPr>
          <w:rFonts w:ascii="Baskerville" w:eastAsia="MS PMincho" w:hAnsi="Baskerville" w:cs="Arabic Typesetting"/>
        </w:rPr>
        <w:t>characteristic</w:t>
      </w:r>
      <w:r w:rsidR="009A6FFE" w:rsidRPr="007B25AE">
        <w:rPr>
          <w:rFonts w:ascii="Baskerville" w:eastAsia="MS PMincho" w:hAnsi="Baskerville" w:cs="Arabic Typesetting"/>
        </w:rPr>
        <w:t xml:space="preserve"> </w:t>
      </w:r>
      <w:r w:rsidR="00285C34" w:rsidRPr="007B25AE">
        <w:rPr>
          <w:rFonts w:ascii="Baskerville" w:eastAsia="MS PMincho" w:hAnsi="Baskerville" w:cs="Arabic Typesetting"/>
        </w:rPr>
        <w:t xml:space="preserve">of </w:t>
      </w:r>
      <w:r w:rsidR="0049228F" w:rsidRPr="007B25AE">
        <w:rPr>
          <w:rFonts w:ascii="Baskerville" w:eastAsia="MS PMincho" w:hAnsi="Baskerville" w:cs="Arabic Typesetting"/>
        </w:rPr>
        <w:t xml:space="preserve">a </w:t>
      </w:r>
      <w:r w:rsidR="00614AFF" w:rsidRPr="007B25AE">
        <w:rPr>
          <w:rFonts w:ascii="Baskerville" w:eastAsia="MS PMincho" w:hAnsi="Baskerville" w:cs="Arabic Typesetting"/>
        </w:rPr>
        <w:t xml:space="preserve">well-structured </w:t>
      </w:r>
      <w:r w:rsidR="00BF68DE" w:rsidRPr="007B25AE">
        <w:rPr>
          <w:rFonts w:ascii="Baskerville" w:eastAsia="MS PMincho" w:hAnsi="Baskerville" w:cs="Arabic Typesetting"/>
        </w:rPr>
        <w:t>hypothes</w:t>
      </w:r>
      <w:r w:rsidR="00614AFF" w:rsidRPr="007B25AE">
        <w:rPr>
          <w:rFonts w:ascii="Baskerville" w:eastAsia="MS PMincho" w:hAnsi="Baskerville" w:cs="Arabic Typesetting"/>
        </w:rPr>
        <w:t>i</w:t>
      </w:r>
      <w:r w:rsidR="00BF68DE" w:rsidRPr="007B25AE">
        <w:rPr>
          <w:rFonts w:ascii="Baskerville" w:eastAsia="MS PMincho" w:hAnsi="Baskerville" w:cs="Arabic Typesetting"/>
        </w:rPr>
        <w:t>s.</w:t>
      </w:r>
      <w:r w:rsidR="005B66C1" w:rsidRPr="007B25AE">
        <w:rPr>
          <w:rFonts w:ascii="Baskerville" w:eastAsia="MS PMincho" w:hAnsi="Baskerville" w:cs="Arabic Typesetting"/>
        </w:rPr>
        <w:t xml:space="preserve">  </w:t>
      </w:r>
      <w:r w:rsidR="00BF68DE" w:rsidRPr="007B25AE">
        <w:rPr>
          <w:rFonts w:ascii="Baskerville" w:eastAsia="MS PMincho" w:hAnsi="Baskerville" w:cs="Arabic Typesetting"/>
        </w:rPr>
        <w:t>We say</w:t>
      </w:r>
      <w:r w:rsidR="005A6313" w:rsidRPr="007B25AE">
        <w:rPr>
          <w:rFonts w:ascii="Baskerville" w:eastAsia="MS PMincho" w:hAnsi="Baskerville" w:cs="Arabic Typesetting"/>
        </w:rPr>
        <w:t>,</w:t>
      </w:r>
      <w:r w:rsidR="00BF68DE" w:rsidRPr="007B25AE">
        <w:rPr>
          <w:rFonts w:ascii="Baskerville" w:eastAsia="MS PMincho" w:hAnsi="Baskerville" w:cs="Arabic Typesetting"/>
        </w:rPr>
        <w:t xml:space="preserve"> “alternative hypothesis,”</w:t>
      </w:r>
      <w:r w:rsidR="008C238F" w:rsidRPr="007B25AE">
        <w:rPr>
          <w:rFonts w:ascii="Baskerville" w:eastAsia="MS PMincho" w:hAnsi="Baskerville" w:cs="Arabic Typesetting"/>
        </w:rPr>
        <w:t xml:space="preserve"> because</w:t>
      </w:r>
      <w:r w:rsidR="00F65F6A" w:rsidRPr="007B25AE">
        <w:rPr>
          <w:rFonts w:ascii="Baskerville" w:eastAsia="MS PMincho" w:hAnsi="Baskerville" w:cs="Arabic Typesetting"/>
        </w:rPr>
        <w:t>,</w:t>
      </w:r>
      <w:r w:rsidR="008C238F" w:rsidRPr="007B25AE">
        <w:rPr>
          <w:rFonts w:ascii="Baskerville" w:eastAsia="MS PMincho" w:hAnsi="Baskerville" w:cs="Arabic Typesetting"/>
        </w:rPr>
        <w:t xml:space="preserve"> in so</w:t>
      </w:r>
      <w:r w:rsidR="00DC7951" w:rsidRPr="007B25AE">
        <w:rPr>
          <w:rFonts w:ascii="Baskerville" w:eastAsia="MS PMincho" w:hAnsi="Baskerville" w:cs="Arabic Typesetting"/>
        </w:rPr>
        <w:t xml:space="preserve"> </w:t>
      </w:r>
      <w:r w:rsidR="00AC4E81" w:rsidRPr="007B25AE">
        <w:rPr>
          <w:rFonts w:ascii="Baskerville" w:eastAsia="MS PMincho" w:hAnsi="Baskerville" w:cs="Arabic Typesetting"/>
        </w:rPr>
        <w:t>saying</w:t>
      </w:r>
      <w:r w:rsidR="00BF68DE" w:rsidRPr="007B25AE">
        <w:rPr>
          <w:rFonts w:ascii="Baskerville" w:eastAsia="MS PMincho" w:hAnsi="Baskerville" w:cs="Arabic Typesetting"/>
        </w:rPr>
        <w:t>, we</w:t>
      </w:r>
      <w:r w:rsidR="00DD33BD" w:rsidRPr="007B25AE">
        <w:rPr>
          <w:rFonts w:ascii="Baskerville" w:eastAsia="MS PMincho" w:hAnsi="Baskerville" w:cs="Arabic Typesetting"/>
        </w:rPr>
        <w:t xml:space="preserve"> are</w:t>
      </w:r>
      <w:r w:rsidR="00BF68DE" w:rsidRPr="007B25AE">
        <w:rPr>
          <w:rFonts w:ascii="Baskerville" w:eastAsia="MS PMincho" w:hAnsi="Baskerville" w:cs="Arabic Typesetting"/>
        </w:rPr>
        <w:t xml:space="preserve"> </w:t>
      </w:r>
      <w:r w:rsidR="005A60B3" w:rsidRPr="007B25AE">
        <w:rPr>
          <w:rFonts w:ascii="Baskerville" w:eastAsia="MS PMincho" w:hAnsi="Baskerville" w:cs="Arabic Typesetting"/>
        </w:rPr>
        <w:t xml:space="preserve">making a </w:t>
      </w:r>
      <w:r w:rsidR="00BF68DE" w:rsidRPr="007B25AE">
        <w:rPr>
          <w:rFonts w:ascii="Baskerville" w:eastAsia="MS PMincho" w:hAnsi="Baskerville" w:cs="Arabic Typesetting"/>
        </w:rPr>
        <w:t>distin</w:t>
      </w:r>
      <w:r w:rsidR="005A60B3" w:rsidRPr="007B25AE">
        <w:rPr>
          <w:rFonts w:ascii="Baskerville" w:eastAsia="MS PMincho" w:hAnsi="Baskerville" w:cs="Arabic Typesetting"/>
        </w:rPr>
        <w:t>ction between</w:t>
      </w:r>
      <w:r w:rsidR="008C238F" w:rsidRPr="007B25AE">
        <w:rPr>
          <w:rFonts w:ascii="Baskerville" w:eastAsia="MS PMincho" w:hAnsi="Baskerville" w:cs="Arabic Typesetting"/>
        </w:rPr>
        <w:t xml:space="preserve"> </w:t>
      </w:r>
      <w:r w:rsidR="00F65F6A" w:rsidRPr="007B25AE">
        <w:rPr>
          <w:rFonts w:ascii="Baskerville" w:eastAsia="MS PMincho" w:hAnsi="Baskerville" w:cs="Arabic Typesetting"/>
        </w:rPr>
        <w:t>the</w:t>
      </w:r>
      <w:r w:rsidR="008C238F" w:rsidRPr="007B25AE">
        <w:rPr>
          <w:rFonts w:ascii="Baskerville" w:eastAsia="MS PMincho" w:hAnsi="Baskerville" w:cs="Arabic Typesetting"/>
        </w:rPr>
        <w:t xml:space="preserve"> </w:t>
      </w:r>
      <w:r w:rsidR="00DD33BD" w:rsidRPr="007B25AE">
        <w:rPr>
          <w:rFonts w:ascii="Baskerville" w:eastAsia="MS PMincho" w:hAnsi="Baskerville" w:cs="Arabic Typesetting"/>
        </w:rPr>
        <w:t xml:space="preserve">research </w:t>
      </w:r>
      <w:r w:rsidR="008C238F" w:rsidRPr="007B25AE">
        <w:rPr>
          <w:rFonts w:ascii="Baskerville" w:eastAsia="MS PMincho" w:hAnsi="Baskerville" w:cs="Arabic Typesetting"/>
        </w:rPr>
        <w:t>hypothesis</w:t>
      </w:r>
      <w:r w:rsidR="00470C14" w:rsidRPr="007B25AE">
        <w:rPr>
          <w:rFonts w:ascii="Baskerville" w:eastAsia="MS PMincho" w:hAnsi="Baskerville" w:cs="Arabic Typesetting"/>
        </w:rPr>
        <w:t xml:space="preserve"> H</w:t>
      </w:r>
      <w:r w:rsidR="00470C14" w:rsidRPr="007B25AE">
        <w:rPr>
          <w:rFonts w:ascii="Baskerville" w:eastAsia="MS PMincho" w:hAnsi="Baskerville" w:cs="Arabic Typesetting"/>
          <w:sz w:val="36"/>
          <w:szCs w:val="36"/>
          <w:vertAlign w:val="subscript"/>
        </w:rPr>
        <w:t>a</w:t>
      </w:r>
      <w:r w:rsidR="001D55A6" w:rsidRPr="007B25AE">
        <w:rPr>
          <w:rFonts w:ascii="Baskerville" w:eastAsia="MS PMincho" w:hAnsi="Baskerville" w:cs="Arabic Typesetting"/>
          <w:sz w:val="36"/>
          <w:szCs w:val="36"/>
          <w:vertAlign w:val="subscript"/>
        </w:rPr>
        <w:t>,</w:t>
      </w:r>
      <w:r w:rsidR="009153EB" w:rsidRPr="007B25AE">
        <w:rPr>
          <w:rFonts w:ascii="Baskerville" w:eastAsia="MS PMincho" w:hAnsi="Baskerville" w:cs="Arabic Typesetting"/>
        </w:rPr>
        <w:t xml:space="preserve"> and</w:t>
      </w:r>
      <w:r w:rsidR="005A6313" w:rsidRPr="007B25AE">
        <w:rPr>
          <w:rFonts w:ascii="Baskerville" w:eastAsia="MS PMincho" w:hAnsi="Baskerville" w:cs="Arabic Typesetting"/>
        </w:rPr>
        <w:t xml:space="preserve"> it</w:t>
      </w:r>
      <w:r w:rsidR="00DD33BD" w:rsidRPr="007B25AE">
        <w:rPr>
          <w:rFonts w:ascii="Baskerville" w:eastAsia="MS PMincho" w:hAnsi="Baskerville" w:cs="Arabic Typesetting"/>
        </w:rPr>
        <w:t>s</w:t>
      </w:r>
      <w:r w:rsidR="00F65F6A" w:rsidRPr="007B25AE">
        <w:rPr>
          <w:rFonts w:ascii="Baskerville" w:eastAsia="MS PMincho" w:hAnsi="Baskerville" w:cs="Arabic Typesetting"/>
        </w:rPr>
        <w:t xml:space="preserve"> </w:t>
      </w:r>
      <w:r w:rsidR="00AC4E81" w:rsidRPr="007B25AE">
        <w:rPr>
          <w:rFonts w:ascii="Baskerville" w:eastAsia="MS PMincho" w:hAnsi="Baskerville" w:cs="Arabic Typesetting"/>
        </w:rPr>
        <w:t>exact</w:t>
      </w:r>
      <w:r w:rsidR="003F03C2" w:rsidRPr="007B25AE">
        <w:rPr>
          <w:rFonts w:ascii="Baskerville" w:eastAsia="MS PMincho" w:hAnsi="Baskerville" w:cs="Arabic Typesetting"/>
        </w:rPr>
        <w:t xml:space="preserve"> </w:t>
      </w:r>
      <w:r w:rsidR="005A6313" w:rsidRPr="007B25AE">
        <w:rPr>
          <w:rFonts w:ascii="Baskerville" w:eastAsia="MS PMincho" w:hAnsi="Baskerville" w:cs="Arabic Typesetting"/>
        </w:rPr>
        <w:t>inverse form</w:t>
      </w:r>
      <w:r w:rsidR="001D55A6" w:rsidRPr="007B25AE">
        <w:rPr>
          <w:rFonts w:ascii="Baskerville" w:eastAsia="MS PMincho" w:hAnsi="Baskerville" w:cs="Arabic Typesetting"/>
        </w:rPr>
        <w:t>,</w:t>
      </w:r>
      <w:r w:rsidR="00470C14" w:rsidRPr="007B25AE">
        <w:rPr>
          <w:rFonts w:ascii="Baskerville" w:eastAsia="MS PMincho" w:hAnsi="Baskerville" w:cs="Arabic Typesetting"/>
        </w:rPr>
        <w:t xml:space="preserve"> H</w:t>
      </w:r>
      <w:r w:rsidR="00470C14" w:rsidRPr="007B25AE">
        <w:rPr>
          <w:rFonts w:ascii="Baskerville" w:eastAsia="MS PMincho" w:hAnsi="Baskerville" w:cs="Arabic Typesetting"/>
          <w:sz w:val="32"/>
          <w:szCs w:val="32"/>
          <w:vertAlign w:val="subscript"/>
        </w:rPr>
        <w:t>0</w:t>
      </w:r>
      <w:r w:rsidR="005A6313" w:rsidRPr="007B25AE">
        <w:rPr>
          <w:rFonts w:ascii="Baskerville" w:eastAsia="MS PMincho" w:hAnsi="Baskerville" w:cs="Arabic Typesetting"/>
        </w:rPr>
        <w:t xml:space="preserve">. </w:t>
      </w:r>
    </w:p>
    <w:p w14:paraId="2A17BB22" w14:textId="4AD948B2" w:rsidR="00F539D4" w:rsidRPr="007B25AE" w:rsidRDefault="008D1E1A" w:rsidP="00F539D4">
      <w:pPr>
        <w:spacing w:line="360" w:lineRule="auto"/>
        <w:ind w:firstLine="720"/>
        <w:rPr>
          <w:rFonts w:ascii="Baskerville" w:eastAsia="MS PMincho" w:hAnsi="Baskerville" w:cs="Arabic Typesetting"/>
        </w:rPr>
      </w:pPr>
      <w:r w:rsidRPr="007B25AE">
        <w:rPr>
          <w:rFonts w:ascii="Baskerville" w:eastAsia="MS PMincho" w:hAnsi="Baskerville" w:cs="Arabic Typesetting"/>
        </w:rPr>
        <w:t>While t</w:t>
      </w:r>
      <w:r w:rsidR="0032789C" w:rsidRPr="007B25AE">
        <w:rPr>
          <w:rFonts w:ascii="Baskerville" w:eastAsia="MS PMincho" w:hAnsi="Baskerville" w:cs="Arabic Typesetting"/>
        </w:rPr>
        <w:t xml:space="preserve">he null hypothesis </w:t>
      </w:r>
      <w:r w:rsidR="0048739F" w:rsidRPr="007B25AE">
        <w:rPr>
          <w:rFonts w:ascii="Baskerville" w:eastAsia="MS PMincho" w:hAnsi="Baskerville" w:cs="Arabic Typesetting"/>
        </w:rPr>
        <w:t>(H</w:t>
      </w:r>
      <w:r w:rsidR="0048739F" w:rsidRPr="007B25AE">
        <w:rPr>
          <w:rFonts w:ascii="Baskerville" w:eastAsia="MS PMincho" w:hAnsi="Baskerville" w:cs="Arabic Typesetting"/>
          <w:sz w:val="32"/>
          <w:szCs w:val="32"/>
          <w:vertAlign w:val="subscript"/>
        </w:rPr>
        <w:t>0</w:t>
      </w:r>
      <w:r w:rsidR="0048739F" w:rsidRPr="007B25AE">
        <w:rPr>
          <w:rFonts w:ascii="Baskerville" w:eastAsia="MS PMincho" w:hAnsi="Baskerville" w:cs="Arabic Typesetting"/>
        </w:rPr>
        <w:t xml:space="preserve">) </w:t>
      </w:r>
      <w:r w:rsidR="0032789C" w:rsidRPr="007B25AE">
        <w:rPr>
          <w:rFonts w:ascii="Baskerville" w:eastAsia="MS PMincho" w:hAnsi="Baskerville" w:cs="Arabic Typesetting"/>
        </w:rPr>
        <w:t xml:space="preserve">is </w:t>
      </w:r>
      <w:r w:rsidR="00DD33BD" w:rsidRPr="007B25AE">
        <w:rPr>
          <w:rFonts w:ascii="Baskerville" w:eastAsia="MS PMincho" w:hAnsi="Baskerville" w:cs="Arabic Typesetting"/>
        </w:rPr>
        <w:t>u</w:t>
      </w:r>
      <w:r w:rsidR="00B07085" w:rsidRPr="007B25AE">
        <w:rPr>
          <w:rFonts w:ascii="Baskerville" w:eastAsia="MS PMincho" w:hAnsi="Baskerville" w:cs="Arabic Typesetting"/>
        </w:rPr>
        <w:t>tiliz</w:t>
      </w:r>
      <w:r w:rsidR="00DD33BD" w:rsidRPr="007B25AE">
        <w:rPr>
          <w:rFonts w:ascii="Baskerville" w:eastAsia="MS PMincho" w:hAnsi="Baskerville" w:cs="Arabic Typesetting"/>
        </w:rPr>
        <w:t xml:space="preserve">ed </w:t>
      </w:r>
      <w:r w:rsidR="007760F5" w:rsidRPr="007B25AE">
        <w:rPr>
          <w:rFonts w:ascii="Baskerville" w:eastAsia="MS PMincho" w:hAnsi="Baskerville" w:cs="Arabic Typesetting"/>
        </w:rPr>
        <w:t>o</w:t>
      </w:r>
      <w:r w:rsidR="00B07085" w:rsidRPr="007B25AE">
        <w:rPr>
          <w:rFonts w:ascii="Baskerville" w:eastAsia="MS PMincho" w:hAnsi="Baskerville" w:cs="Arabic Typesetting"/>
        </w:rPr>
        <w:t>n</w:t>
      </w:r>
      <w:r w:rsidR="007760F5" w:rsidRPr="007B25AE">
        <w:rPr>
          <w:rFonts w:ascii="Baskerville" w:eastAsia="MS PMincho" w:hAnsi="Baskerville" w:cs="Arabic Typesetting"/>
        </w:rPr>
        <w:t>ly</w:t>
      </w:r>
      <w:r w:rsidR="0032789C" w:rsidRPr="007B25AE">
        <w:rPr>
          <w:rFonts w:ascii="Baskerville" w:eastAsia="MS PMincho" w:hAnsi="Baskerville" w:cs="Arabic Typesetting"/>
        </w:rPr>
        <w:t xml:space="preserve"> </w:t>
      </w:r>
      <w:r w:rsidRPr="007B25AE">
        <w:rPr>
          <w:rFonts w:ascii="Baskerville" w:eastAsia="MS PMincho" w:hAnsi="Baskerville" w:cs="Arabic Typesetting"/>
        </w:rPr>
        <w:t>at the inception of</w:t>
      </w:r>
      <w:r w:rsidR="00BA14DB" w:rsidRPr="007B25AE">
        <w:rPr>
          <w:rFonts w:ascii="Baskerville" w:eastAsia="MS PMincho" w:hAnsi="Baskerville" w:cs="Arabic Typesetting"/>
        </w:rPr>
        <w:t xml:space="preserve"> the study </w:t>
      </w:r>
      <w:r w:rsidR="008E6B2E" w:rsidRPr="007B25AE">
        <w:rPr>
          <w:rFonts w:ascii="Baskerville" w:eastAsia="MS PMincho" w:hAnsi="Baskerville" w:cs="Arabic Typesetting"/>
        </w:rPr>
        <w:t>for the purpose of determining</w:t>
      </w:r>
      <w:r w:rsidR="0066230A" w:rsidRPr="007B25AE">
        <w:rPr>
          <w:rFonts w:ascii="Baskerville" w:eastAsia="MS PMincho" w:hAnsi="Baskerville" w:cs="Arabic Typesetting"/>
        </w:rPr>
        <w:t>,</w:t>
      </w:r>
      <w:r w:rsidR="00660CD7" w:rsidRPr="007B25AE">
        <w:rPr>
          <w:rFonts w:ascii="Baskerville" w:eastAsia="MS PMincho" w:hAnsi="Baskerville" w:cs="Arabic Typesetting"/>
        </w:rPr>
        <w:t xml:space="preserve"> </w:t>
      </w:r>
      <w:r w:rsidR="0048739F" w:rsidRPr="007B25AE">
        <w:rPr>
          <w:rFonts w:ascii="Baskerville" w:eastAsia="MS PMincho" w:hAnsi="Baskerville" w:cs="Arabic Typesetting"/>
        </w:rPr>
        <w:t>by default</w:t>
      </w:r>
      <w:r w:rsidR="0066230A" w:rsidRPr="007B25AE">
        <w:rPr>
          <w:rFonts w:ascii="Baskerville" w:eastAsia="MS PMincho" w:hAnsi="Baskerville" w:cs="Arabic Typesetting"/>
        </w:rPr>
        <w:t>,</w:t>
      </w:r>
      <w:r w:rsidR="0048739F" w:rsidRPr="007B25AE">
        <w:rPr>
          <w:rFonts w:ascii="Baskerville" w:eastAsia="MS PMincho" w:hAnsi="Baskerville" w:cs="Arabic Typesetting"/>
        </w:rPr>
        <w:t xml:space="preserve"> </w:t>
      </w:r>
      <w:proofErr w:type="gramStart"/>
      <w:r w:rsidR="0032789C" w:rsidRPr="007B25AE">
        <w:rPr>
          <w:rFonts w:ascii="Baskerville" w:eastAsia="MS PMincho" w:hAnsi="Baskerville" w:cs="Arabic Typesetting"/>
        </w:rPr>
        <w:t xml:space="preserve">whether </w:t>
      </w:r>
      <w:r w:rsidR="00470C14" w:rsidRPr="007B25AE">
        <w:rPr>
          <w:rFonts w:ascii="Baskerville" w:eastAsia="MS PMincho" w:hAnsi="Baskerville" w:cs="Arabic Typesetting"/>
        </w:rPr>
        <w:t>or not</w:t>
      </w:r>
      <w:proofErr w:type="gramEnd"/>
      <w:r w:rsidR="00470C14" w:rsidRPr="007B25AE">
        <w:rPr>
          <w:rFonts w:ascii="Baskerville" w:eastAsia="MS PMincho" w:hAnsi="Baskerville" w:cs="Arabic Typesetting"/>
        </w:rPr>
        <w:t xml:space="preserve"> </w:t>
      </w:r>
      <w:r w:rsidR="0048739F" w:rsidRPr="007B25AE">
        <w:rPr>
          <w:rFonts w:ascii="Baskerville" w:eastAsia="MS PMincho" w:hAnsi="Baskerville" w:cs="Arabic Typesetting"/>
        </w:rPr>
        <w:t xml:space="preserve">the alternative hypothesis </w:t>
      </w:r>
      <w:r w:rsidR="003D7756" w:rsidRPr="007B25AE">
        <w:rPr>
          <w:rFonts w:ascii="Baskerville" w:eastAsia="MS PMincho" w:hAnsi="Baskerville" w:cs="Arabic Typesetting"/>
        </w:rPr>
        <w:t>(</w:t>
      </w:r>
      <w:r w:rsidR="0048739F" w:rsidRPr="007B25AE">
        <w:rPr>
          <w:rFonts w:ascii="Baskerville" w:eastAsia="MS PMincho" w:hAnsi="Baskerville" w:cs="Arabic Typesetting"/>
        </w:rPr>
        <w:t>H</w:t>
      </w:r>
      <w:r w:rsidR="0048739F" w:rsidRPr="007B25AE">
        <w:rPr>
          <w:rFonts w:ascii="Baskerville" w:eastAsia="MS PMincho" w:hAnsi="Baskerville" w:cs="Arabic Typesetting"/>
          <w:sz w:val="32"/>
          <w:szCs w:val="32"/>
          <w:vertAlign w:val="subscript"/>
        </w:rPr>
        <w:t>a</w:t>
      </w:r>
      <w:r w:rsidR="003D7756" w:rsidRPr="007B25AE">
        <w:rPr>
          <w:rFonts w:ascii="Baskerville" w:eastAsia="MS PMincho" w:hAnsi="Baskerville" w:cs="Arabic Typesetting"/>
        </w:rPr>
        <w:t xml:space="preserve">) </w:t>
      </w:r>
      <w:r w:rsidR="0048739F" w:rsidRPr="007B25AE">
        <w:rPr>
          <w:rFonts w:ascii="Baskerville" w:eastAsia="MS PMincho" w:hAnsi="Baskerville" w:cs="Arabic Typesetting"/>
        </w:rPr>
        <w:t>has validity</w:t>
      </w:r>
      <w:r w:rsidRPr="007B25AE">
        <w:rPr>
          <w:rFonts w:ascii="Baskerville" w:eastAsia="MS PMincho" w:hAnsi="Baskerville" w:cs="Arabic Typesetting"/>
        </w:rPr>
        <w:t xml:space="preserve">, </w:t>
      </w:r>
      <w:r w:rsidR="004D5E0C" w:rsidRPr="007B25AE">
        <w:rPr>
          <w:rFonts w:ascii="Baskerville" w:eastAsia="MS PMincho" w:hAnsi="Baskerville" w:cs="Arabic Typesetting"/>
        </w:rPr>
        <w:t>H</w:t>
      </w:r>
      <w:r w:rsidR="004D5E0C" w:rsidRPr="007B25AE">
        <w:rPr>
          <w:rFonts w:ascii="Baskerville" w:eastAsia="MS PMincho" w:hAnsi="Baskerville" w:cs="Arabic Typesetting"/>
          <w:sz w:val="32"/>
          <w:szCs w:val="32"/>
          <w:vertAlign w:val="subscript"/>
        </w:rPr>
        <w:t>a</w:t>
      </w:r>
      <w:r w:rsidR="00984458" w:rsidRPr="007B25AE">
        <w:rPr>
          <w:rFonts w:ascii="Baskerville" w:eastAsia="MS PMincho" w:hAnsi="Baskerville" w:cs="Arabic Typesetting"/>
        </w:rPr>
        <w:t xml:space="preserve"> </w:t>
      </w:r>
      <w:r w:rsidR="003D7756" w:rsidRPr="007B25AE">
        <w:rPr>
          <w:rFonts w:ascii="Baskerville" w:eastAsia="MS PMincho" w:hAnsi="Baskerville" w:cs="Arabic Typesetting"/>
        </w:rPr>
        <w:t xml:space="preserve">will </w:t>
      </w:r>
      <w:r w:rsidR="004D5E0C" w:rsidRPr="007B25AE">
        <w:rPr>
          <w:rFonts w:ascii="Baskerville" w:eastAsia="MS PMincho" w:hAnsi="Baskerville" w:cs="Arabic Typesetting"/>
        </w:rPr>
        <w:t xml:space="preserve">remain the driving force </w:t>
      </w:r>
      <w:r w:rsidR="00984458" w:rsidRPr="007B25AE">
        <w:rPr>
          <w:rFonts w:ascii="Baskerville" w:eastAsia="MS PMincho" w:hAnsi="Baskerville" w:cs="Arabic Typesetting"/>
        </w:rPr>
        <w:t>behind the</w:t>
      </w:r>
      <w:r w:rsidR="004D5E0C" w:rsidRPr="007B25AE">
        <w:rPr>
          <w:rFonts w:ascii="Baskerville" w:eastAsia="MS PMincho" w:hAnsi="Baskerville" w:cs="Arabic Typesetting"/>
        </w:rPr>
        <w:t xml:space="preserve"> </w:t>
      </w:r>
      <w:r w:rsidR="003D7756" w:rsidRPr="007B25AE">
        <w:rPr>
          <w:rFonts w:ascii="Baskerville" w:eastAsia="MS PMincho" w:hAnsi="Baskerville" w:cs="Arabic Typesetting"/>
        </w:rPr>
        <w:t xml:space="preserve">main </w:t>
      </w:r>
      <w:r w:rsidR="003F03C2" w:rsidRPr="007B25AE">
        <w:rPr>
          <w:rFonts w:ascii="Baskerville" w:eastAsia="MS PMincho" w:hAnsi="Baskerville" w:cs="Arabic Typesetting"/>
        </w:rPr>
        <w:t xml:space="preserve">thrust </w:t>
      </w:r>
      <w:r w:rsidR="003D7756" w:rsidRPr="007B25AE">
        <w:rPr>
          <w:rFonts w:ascii="Baskerville" w:eastAsia="MS PMincho" w:hAnsi="Baskerville" w:cs="Arabic Typesetting"/>
        </w:rPr>
        <w:t xml:space="preserve">of the </w:t>
      </w:r>
      <w:r w:rsidR="004D5E0C" w:rsidRPr="007B25AE">
        <w:rPr>
          <w:rFonts w:ascii="Baskerville" w:eastAsia="MS PMincho" w:hAnsi="Baskerville" w:cs="Arabic Typesetting"/>
        </w:rPr>
        <w:t>research</w:t>
      </w:r>
      <w:r w:rsidR="003D7756" w:rsidRPr="007B25AE">
        <w:rPr>
          <w:rFonts w:ascii="Baskerville" w:eastAsia="MS PMincho" w:hAnsi="Baskerville" w:cs="Arabic Typesetting"/>
        </w:rPr>
        <w:t xml:space="preserve"> activity</w:t>
      </w:r>
      <w:r w:rsidR="0048739F" w:rsidRPr="007B25AE">
        <w:rPr>
          <w:rFonts w:ascii="Baskerville" w:eastAsia="MS PMincho" w:hAnsi="Baskerville" w:cs="Arabic Typesetting"/>
        </w:rPr>
        <w:t xml:space="preserve">. </w:t>
      </w:r>
      <w:r w:rsidR="003F03C2" w:rsidRPr="007B25AE">
        <w:rPr>
          <w:rFonts w:ascii="Baskerville" w:eastAsia="MS PMincho" w:hAnsi="Baskerville" w:cs="Arabic Typesetting"/>
        </w:rPr>
        <w:t xml:space="preserve">The object is </w:t>
      </w:r>
      <w:r w:rsidR="001D55A6" w:rsidRPr="007B25AE">
        <w:rPr>
          <w:rFonts w:ascii="Baskerville" w:eastAsia="MS PMincho" w:hAnsi="Baskerville" w:cs="Arabic Typesetting"/>
        </w:rPr>
        <w:t xml:space="preserve">to perform </w:t>
      </w:r>
      <w:r w:rsidR="003F03C2" w:rsidRPr="007B25AE">
        <w:rPr>
          <w:rFonts w:ascii="Baskerville" w:eastAsia="MS PMincho" w:hAnsi="Baskerville" w:cs="Arabic Typesetting"/>
        </w:rPr>
        <w:t>a test on what the research hypothesis is not</w:t>
      </w:r>
      <w:r w:rsidR="001D55A6" w:rsidRPr="007B25AE">
        <w:rPr>
          <w:rFonts w:ascii="Baskerville" w:eastAsia="MS PMincho" w:hAnsi="Baskerville" w:cs="Arabic Typesetting"/>
        </w:rPr>
        <w:t xml:space="preserve">, </w:t>
      </w:r>
      <w:proofErr w:type="gramStart"/>
      <w:r w:rsidR="001D55A6" w:rsidRPr="007B25AE">
        <w:rPr>
          <w:rFonts w:ascii="Baskerville" w:eastAsia="MS PMincho" w:hAnsi="Baskerville" w:cs="Arabic Typesetting"/>
        </w:rPr>
        <w:t>in order</w:t>
      </w:r>
      <w:r w:rsidR="003F03C2" w:rsidRPr="007B25AE">
        <w:rPr>
          <w:rFonts w:ascii="Baskerville" w:eastAsia="MS PMincho" w:hAnsi="Baskerville" w:cs="Arabic Typesetting"/>
        </w:rPr>
        <w:t xml:space="preserve"> to</w:t>
      </w:r>
      <w:proofErr w:type="gramEnd"/>
      <w:r w:rsidR="003F03C2" w:rsidRPr="007B25AE">
        <w:rPr>
          <w:rFonts w:ascii="Baskerville" w:eastAsia="MS PMincho" w:hAnsi="Baskerville" w:cs="Arabic Typesetting"/>
        </w:rPr>
        <w:t xml:space="preserve"> determine whether to proceed with what the hypothesis is. </w:t>
      </w:r>
      <w:r w:rsidR="00660CD7" w:rsidRPr="007B25AE">
        <w:rPr>
          <w:rFonts w:ascii="Baskerville" w:eastAsia="MS PMincho" w:hAnsi="Baskerville" w:cs="Arabic Typesetting"/>
        </w:rPr>
        <w:t xml:space="preserve"> </w:t>
      </w:r>
      <w:r w:rsidR="001F1EF2" w:rsidRPr="007B25AE">
        <w:rPr>
          <w:rFonts w:ascii="Baskerville" w:eastAsia="MS PMincho" w:hAnsi="Baskerville" w:cs="Arabic Typesetting"/>
        </w:rPr>
        <w:t>I</w:t>
      </w:r>
      <w:r w:rsidR="00093158" w:rsidRPr="007B25AE">
        <w:rPr>
          <w:rFonts w:ascii="Baskerville" w:eastAsia="MS PMincho" w:hAnsi="Baskerville" w:cs="Arabic Typesetting"/>
        </w:rPr>
        <w:t>f</w:t>
      </w:r>
      <w:r w:rsidR="001D55A6" w:rsidRPr="007B25AE">
        <w:rPr>
          <w:rFonts w:ascii="Baskerville" w:eastAsia="MS PMincho" w:hAnsi="Baskerville" w:cs="Arabic Typesetting"/>
        </w:rPr>
        <w:t>,</w:t>
      </w:r>
      <w:r w:rsidR="00093158" w:rsidRPr="007B25AE">
        <w:rPr>
          <w:rFonts w:ascii="Baskerville" w:eastAsia="MS PMincho" w:hAnsi="Baskerville" w:cs="Arabic Typesetting"/>
        </w:rPr>
        <w:t xml:space="preserve"> </w:t>
      </w:r>
      <w:proofErr w:type="gramStart"/>
      <w:r w:rsidR="001F1EF2" w:rsidRPr="007B25AE">
        <w:rPr>
          <w:rFonts w:ascii="Baskerville" w:eastAsia="MS PMincho" w:hAnsi="Baskerville" w:cs="Arabic Typesetting"/>
        </w:rPr>
        <w:t>as a result</w:t>
      </w:r>
      <w:r w:rsidR="003F03C2" w:rsidRPr="007B25AE">
        <w:rPr>
          <w:rFonts w:ascii="Baskerville" w:eastAsia="MS PMincho" w:hAnsi="Baskerville" w:cs="Arabic Typesetting"/>
        </w:rPr>
        <w:t xml:space="preserve"> of</w:t>
      </w:r>
      <w:proofErr w:type="gramEnd"/>
      <w:r w:rsidR="003F03C2" w:rsidRPr="007B25AE">
        <w:rPr>
          <w:rFonts w:ascii="Baskerville" w:eastAsia="MS PMincho" w:hAnsi="Baskerville" w:cs="Arabic Typesetting"/>
        </w:rPr>
        <w:t xml:space="preserve"> the </w:t>
      </w:r>
      <w:r w:rsidR="001F1EF2" w:rsidRPr="007B25AE">
        <w:rPr>
          <w:rFonts w:ascii="Baskerville" w:eastAsia="MS PMincho" w:hAnsi="Baskerville" w:cs="Arabic Typesetting"/>
        </w:rPr>
        <w:t xml:space="preserve">test, </w:t>
      </w:r>
      <w:r w:rsidR="0048739F" w:rsidRPr="007B25AE">
        <w:rPr>
          <w:rFonts w:ascii="Baskerville" w:eastAsia="MS PMincho" w:hAnsi="Baskerville" w:cs="Arabic Typesetting"/>
        </w:rPr>
        <w:t>H</w:t>
      </w:r>
      <w:r w:rsidR="0048739F" w:rsidRPr="007B25AE">
        <w:rPr>
          <w:rFonts w:ascii="Baskerville" w:eastAsia="MS PMincho" w:hAnsi="Baskerville" w:cs="Arabic Typesetting"/>
          <w:sz w:val="32"/>
          <w:szCs w:val="32"/>
          <w:vertAlign w:val="subscript"/>
        </w:rPr>
        <w:t>0</w:t>
      </w:r>
      <w:r w:rsidR="0048739F" w:rsidRPr="007B25AE">
        <w:rPr>
          <w:rFonts w:ascii="Baskerville" w:eastAsia="MS PMincho" w:hAnsi="Baskerville" w:cs="Arabic Typesetting"/>
        </w:rPr>
        <w:t xml:space="preserve"> </w:t>
      </w:r>
      <w:r w:rsidR="0066230A" w:rsidRPr="007B25AE">
        <w:rPr>
          <w:rFonts w:ascii="Baskerville" w:eastAsia="MS PMincho" w:hAnsi="Baskerville" w:cs="Arabic Typesetting"/>
        </w:rPr>
        <w:t xml:space="preserve">is rejected, </w:t>
      </w:r>
      <w:r w:rsidR="001F1EF2" w:rsidRPr="007B25AE">
        <w:rPr>
          <w:rFonts w:ascii="Baskerville" w:eastAsia="MS PMincho" w:hAnsi="Baskerville" w:cs="Arabic Typesetting"/>
        </w:rPr>
        <w:t xml:space="preserve">then, </w:t>
      </w:r>
      <w:r w:rsidR="003D7756" w:rsidRPr="007B25AE">
        <w:rPr>
          <w:rFonts w:ascii="Baskerville" w:eastAsia="MS PMincho" w:hAnsi="Baskerville" w:cs="Arabic Typesetting"/>
        </w:rPr>
        <w:t>H</w:t>
      </w:r>
      <w:r w:rsidR="003D7756" w:rsidRPr="007B25AE">
        <w:rPr>
          <w:rFonts w:ascii="Baskerville" w:eastAsia="MS PMincho" w:hAnsi="Baskerville" w:cs="Arabic Typesetting"/>
          <w:sz w:val="32"/>
          <w:szCs w:val="32"/>
          <w:vertAlign w:val="subscript"/>
        </w:rPr>
        <w:t>a</w:t>
      </w:r>
      <w:r w:rsidR="00F539D4" w:rsidRPr="007B25AE">
        <w:rPr>
          <w:rFonts w:ascii="Baskerville" w:eastAsia="MS PMincho" w:hAnsi="Baskerville" w:cs="Arabic Typesetting"/>
        </w:rPr>
        <w:t xml:space="preserve"> is </w:t>
      </w:r>
      <w:r w:rsidR="00B77339" w:rsidRPr="007B25AE">
        <w:rPr>
          <w:rFonts w:ascii="Baskerville" w:eastAsia="MS PMincho" w:hAnsi="Baskerville" w:cs="Arabic Typesetting"/>
        </w:rPr>
        <w:t xml:space="preserve">automatically </w:t>
      </w:r>
      <w:r w:rsidR="00F539D4" w:rsidRPr="007B25AE">
        <w:rPr>
          <w:rFonts w:ascii="Baskerville" w:eastAsia="MS PMincho" w:hAnsi="Baskerville" w:cs="Arabic Typesetting"/>
        </w:rPr>
        <w:t>validated</w:t>
      </w:r>
      <w:r w:rsidR="00B77339" w:rsidRPr="007B25AE">
        <w:rPr>
          <w:rFonts w:ascii="Baskerville" w:eastAsia="MS PMincho" w:hAnsi="Baskerville" w:cs="Arabic Typesetting"/>
        </w:rPr>
        <w:t xml:space="preserve">. </w:t>
      </w:r>
      <w:r w:rsidR="003D7756" w:rsidRPr="007B25AE">
        <w:rPr>
          <w:rFonts w:ascii="Baskerville" w:eastAsia="MS PMincho" w:hAnsi="Baskerville" w:cs="Arabic Typesetting"/>
        </w:rPr>
        <w:t xml:space="preserve"> </w:t>
      </w:r>
      <w:r w:rsidR="001F1EF2" w:rsidRPr="007B25AE">
        <w:rPr>
          <w:rFonts w:ascii="Baskerville" w:eastAsia="MS PMincho" w:hAnsi="Baskerville" w:cs="Arabic Typesetting"/>
        </w:rPr>
        <w:t>And so, i</w:t>
      </w:r>
      <w:r w:rsidR="003D7756" w:rsidRPr="007B25AE">
        <w:rPr>
          <w:rFonts w:ascii="Baskerville" w:eastAsia="MS PMincho" w:hAnsi="Baskerville" w:cs="Arabic Typesetting"/>
        </w:rPr>
        <w:t xml:space="preserve">n </w:t>
      </w:r>
      <w:r w:rsidR="00B77339" w:rsidRPr="007B25AE">
        <w:rPr>
          <w:rFonts w:ascii="Baskerville" w:eastAsia="MS PMincho" w:hAnsi="Baskerville" w:cs="Arabic Typesetting"/>
        </w:rPr>
        <w:t>su</w:t>
      </w:r>
      <w:r w:rsidR="003D7756" w:rsidRPr="007B25AE">
        <w:rPr>
          <w:rFonts w:ascii="Baskerville" w:eastAsia="MS PMincho" w:hAnsi="Baskerville" w:cs="Arabic Typesetting"/>
        </w:rPr>
        <w:t xml:space="preserve">ch </w:t>
      </w:r>
      <w:r w:rsidR="00B77339" w:rsidRPr="007B25AE">
        <w:rPr>
          <w:rFonts w:ascii="Baskerville" w:eastAsia="MS PMincho" w:hAnsi="Baskerville" w:cs="Arabic Typesetting"/>
        </w:rPr>
        <w:t xml:space="preserve">a </w:t>
      </w:r>
      <w:r w:rsidR="003D7756" w:rsidRPr="007B25AE">
        <w:rPr>
          <w:rFonts w:ascii="Baskerville" w:eastAsia="MS PMincho" w:hAnsi="Baskerville" w:cs="Arabic Typesetting"/>
        </w:rPr>
        <w:t xml:space="preserve">case, </w:t>
      </w:r>
      <w:r w:rsidR="00F539D4" w:rsidRPr="007B25AE">
        <w:rPr>
          <w:rFonts w:ascii="Baskerville" w:eastAsia="MS PMincho" w:hAnsi="Baskerville" w:cs="Arabic Typesetting"/>
        </w:rPr>
        <w:t>the research</w:t>
      </w:r>
      <w:r w:rsidR="001F1EF2" w:rsidRPr="007B25AE">
        <w:rPr>
          <w:rFonts w:ascii="Baskerville" w:eastAsia="MS PMincho" w:hAnsi="Baskerville" w:cs="Arabic Typesetting"/>
        </w:rPr>
        <w:t>er</w:t>
      </w:r>
      <w:r w:rsidR="00F539D4" w:rsidRPr="007B25AE">
        <w:rPr>
          <w:rFonts w:ascii="Baskerville" w:eastAsia="MS PMincho" w:hAnsi="Baskerville" w:cs="Arabic Typesetting"/>
        </w:rPr>
        <w:t xml:space="preserve"> may proceed with</w:t>
      </w:r>
      <w:r w:rsidR="003D7756" w:rsidRPr="007B25AE">
        <w:rPr>
          <w:rFonts w:ascii="Baskerville" w:eastAsia="MS PMincho" w:hAnsi="Baskerville" w:cs="Arabic Typesetting"/>
        </w:rPr>
        <w:t xml:space="preserve"> a </w:t>
      </w:r>
      <w:proofErr w:type="gramStart"/>
      <w:r w:rsidR="001F1EF2" w:rsidRPr="007B25AE">
        <w:rPr>
          <w:rFonts w:ascii="Baskerville" w:eastAsia="MS PMincho" w:hAnsi="Baskerville" w:cs="Arabic Typesetting"/>
        </w:rPr>
        <w:t xml:space="preserve">pretty </w:t>
      </w:r>
      <w:r w:rsidR="003D7756" w:rsidRPr="007B25AE">
        <w:rPr>
          <w:rFonts w:ascii="Baskerville" w:eastAsia="MS PMincho" w:hAnsi="Baskerville" w:cs="Arabic Typesetting"/>
        </w:rPr>
        <w:t>high</w:t>
      </w:r>
      <w:proofErr w:type="gramEnd"/>
      <w:r w:rsidR="003D7756" w:rsidRPr="007B25AE">
        <w:rPr>
          <w:rFonts w:ascii="Baskerville" w:eastAsia="MS PMincho" w:hAnsi="Baskerville" w:cs="Arabic Typesetting"/>
        </w:rPr>
        <w:t xml:space="preserve"> </w:t>
      </w:r>
      <w:r w:rsidR="001F1EF2" w:rsidRPr="007B25AE">
        <w:rPr>
          <w:rFonts w:ascii="Baskerville" w:eastAsia="MS PMincho" w:hAnsi="Baskerville" w:cs="Arabic Typesetting"/>
        </w:rPr>
        <w:t xml:space="preserve">level </w:t>
      </w:r>
      <w:r w:rsidR="003D7756" w:rsidRPr="007B25AE">
        <w:rPr>
          <w:rFonts w:ascii="Baskerville" w:eastAsia="MS PMincho" w:hAnsi="Baskerville" w:cs="Arabic Typesetting"/>
        </w:rPr>
        <w:t>of</w:t>
      </w:r>
      <w:r w:rsidR="00F539D4" w:rsidRPr="007B25AE">
        <w:rPr>
          <w:rFonts w:ascii="Baskerville" w:eastAsia="MS PMincho" w:hAnsi="Baskerville" w:cs="Arabic Typesetting"/>
        </w:rPr>
        <w:t xml:space="preserve"> “confidence.”</w:t>
      </w:r>
      <w:r w:rsidR="006677E5" w:rsidRPr="007B25AE">
        <w:rPr>
          <w:rFonts w:ascii="Baskerville" w:eastAsia="MS PMincho" w:hAnsi="Baskerville" w:cs="Arabic Typesetting"/>
        </w:rPr>
        <w:t xml:space="preserve"> </w:t>
      </w:r>
    </w:p>
    <w:p w14:paraId="1B835804" w14:textId="598E83B3" w:rsidR="00CB34C4" w:rsidRPr="007B25AE" w:rsidRDefault="00B75F97" w:rsidP="007215A6">
      <w:pPr>
        <w:spacing w:line="360" w:lineRule="auto"/>
        <w:rPr>
          <w:rFonts w:ascii="Baskerville" w:eastAsia="MS PMincho" w:hAnsi="Baskerville" w:cs="Arabic Typesetting"/>
        </w:rPr>
      </w:pPr>
      <w:r w:rsidRPr="007B25AE">
        <w:rPr>
          <w:rFonts w:ascii="Baskerville" w:eastAsia="MS PMincho" w:hAnsi="Baskerville" w:cs="Arabic Typesetting"/>
          <w:b/>
          <w:bCs/>
        </w:rPr>
        <w:t>5</w:t>
      </w:r>
      <w:r w:rsidRPr="007B25AE">
        <w:rPr>
          <w:rFonts w:ascii="Baskerville" w:eastAsia="MS PMincho" w:hAnsi="Baskerville" w:cs="Arabic Typesetting"/>
        </w:rPr>
        <w:t>.</w:t>
      </w:r>
      <w:r w:rsidR="0066230A" w:rsidRPr="007B25AE">
        <w:rPr>
          <w:rFonts w:ascii="Baskerville" w:eastAsia="MS PMincho" w:hAnsi="Baskerville" w:cs="Arabic Typesetting"/>
        </w:rPr>
        <w:t xml:space="preserve"> </w:t>
      </w:r>
      <w:r w:rsidR="007215A6" w:rsidRPr="007B25AE">
        <w:rPr>
          <w:rFonts w:ascii="Baskerville" w:eastAsia="MS PMincho" w:hAnsi="Baskerville" w:cs="Arabic Typesetting"/>
          <w:b/>
          <w:bCs/>
        </w:rPr>
        <w:t>Evaluation of H</w:t>
      </w:r>
      <w:r w:rsidR="007215A6" w:rsidRPr="007B25AE">
        <w:rPr>
          <w:rFonts w:ascii="Baskerville" w:eastAsia="MS PMincho" w:hAnsi="Baskerville" w:cs="Arabic Typesetting"/>
          <w:b/>
          <w:bCs/>
          <w:vertAlign w:val="subscript"/>
        </w:rPr>
        <w:t xml:space="preserve">0  </w:t>
      </w:r>
      <w:r w:rsidR="007215A6" w:rsidRPr="007B25AE">
        <w:rPr>
          <w:rFonts w:ascii="Baskerville" w:eastAsia="MS PMincho" w:hAnsi="Baskerville" w:cs="Arabic Typesetting"/>
          <w:b/>
          <w:bCs/>
        </w:rPr>
        <w:t>and H</w:t>
      </w:r>
      <w:r w:rsidR="007215A6" w:rsidRPr="007B25AE">
        <w:rPr>
          <w:rFonts w:ascii="Baskerville" w:eastAsia="MS PMincho" w:hAnsi="Baskerville" w:cs="Arabic Typesetting"/>
          <w:b/>
          <w:bCs/>
          <w:sz w:val="36"/>
          <w:szCs w:val="36"/>
          <w:vertAlign w:val="subscript"/>
        </w:rPr>
        <w:t>a</w:t>
      </w:r>
      <w:r w:rsidR="007215A6" w:rsidRPr="007B25AE">
        <w:rPr>
          <w:rFonts w:ascii="Baskerville" w:eastAsia="MS PMincho" w:hAnsi="Baskerville" w:cs="Arabic Typesetting"/>
          <w:sz w:val="36"/>
          <w:szCs w:val="36"/>
          <w:vertAlign w:val="subscript"/>
        </w:rPr>
        <w:t>.</w:t>
      </w:r>
      <w:r w:rsidR="007215A6" w:rsidRPr="007B25AE">
        <w:rPr>
          <w:rFonts w:ascii="Baskerville" w:eastAsia="MS PMincho" w:hAnsi="Baskerville" w:cs="Arabic Typesetting"/>
          <w:vertAlign w:val="subscript"/>
        </w:rPr>
        <w:t xml:space="preserve"> </w:t>
      </w:r>
      <w:r w:rsidR="00F539D4" w:rsidRPr="007B25AE">
        <w:rPr>
          <w:rFonts w:ascii="Baskerville" w:eastAsia="MS PMincho" w:hAnsi="Baskerville" w:cs="Arabic Typesetting"/>
        </w:rPr>
        <w:t>When</w:t>
      </w:r>
      <w:r w:rsidR="00B77339" w:rsidRPr="007B25AE">
        <w:rPr>
          <w:rFonts w:ascii="Baskerville" w:eastAsia="MS PMincho" w:hAnsi="Baskerville" w:cs="Arabic Typesetting"/>
        </w:rPr>
        <w:t>ever</w:t>
      </w:r>
      <w:r w:rsidR="00F539D4" w:rsidRPr="007B25AE">
        <w:rPr>
          <w:rFonts w:ascii="Baskerville" w:eastAsia="MS PMincho" w:hAnsi="Baskerville" w:cs="Arabic Typesetting"/>
        </w:rPr>
        <w:t xml:space="preserve"> the </w:t>
      </w:r>
      <w:r w:rsidR="006C068F" w:rsidRPr="007B25AE">
        <w:rPr>
          <w:rFonts w:ascii="Baskerville" w:eastAsia="MS PMincho" w:hAnsi="Baskerville" w:cs="Arabic Typesetting"/>
        </w:rPr>
        <w:t>researcher</w:t>
      </w:r>
      <w:r w:rsidR="00F539D4" w:rsidRPr="007B25AE">
        <w:rPr>
          <w:rFonts w:ascii="Baskerville" w:eastAsia="MS PMincho" w:hAnsi="Baskerville" w:cs="Arabic Typesetting"/>
        </w:rPr>
        <w:t xml:space="preserve"> performs </w:t>
      </w:r>
      <w:r w:rsidR="00B77339" w:rsidRPr="007B25AE">
        <w:rPr>
          <w:rFonts w:ascii="Baskerville" w:eastAsia="MS PMincho" w:hAnsi="Baskerville" w:cs="Arabic Typesetting"/>
        </w:rPr>
        <w:t>a</w:t>
      </w:r>
      <w:r w:rsidR="00F539D4" w:rsidRPr="007B25AE">
        <w:rPr>
          <w:rFonts w:ascii="Baskerville" w:eastAsia="MS PMincho" w:hAnsi="Baskerville" w:cs="Arabic Typesetting"/>
        </w:rPr>
        <w:t xml:space="preserve"> </w:t>
      </w:r>
      <w:r w:rsidR="00767BDE" w:rsidRPr="007B25AE">
        <w:rPr>
          <w:rFonts w:ascii="Baskerville" w:eastAsia="MS PMincho" w:hAnsi="Baskerville" w:cs="Arabic Typesetting"/>
        </w:rPr>
        <w:t>hypothesis</w:t>
      </w:r>
      <w:r w:rsidR="0047367E" w:rsidRPr="007B25AE">
        <w:rPr>
          <w:rFonts w:ascii="Baskerville" w:eastAsia="MS PMincho" w:hAnsi="Baskerville" w:cs="Arabic Typesetting"/>
        </w:rPr>
        <w:t>-</w:t>
      </w:r>
      <w:r w:rsidR="00F539D4" w:rsidRPr="007B25AE">
        <w:rPr>
          <w:rFonts w:ascii="Baskerville" w:eastAsia="MS PMincho" w:hAnsi="Baskerville" w:cs="Arabic Typesetting"/>
        </w:rPr>
        <w:t>test</w:t>
      </w:r>
      <w:r w:rsidR="00767BDE" w:rsidRPr="007B25AE">
        <w:rPr>
          <w:rFonts w:ascii="Baskerville" w:eastAsia="MS PMincho" w:hAnsi="Baskerville" w:cs="Arabic Typesetting"/>
        </w:rPr>
        <w:t xml:space="preserve">, he is </w:t>
      </w:r>
      <w:r w:rsidR="00B77339" w:rsidRPr="007B25AE">
        <w:rPr>
          <w:rFonts w:ascii="Baskerville" w:eastAsia="MS PMincho" w:hAnsi="Baskerville" w:cs="Arabic Typesetting"/>
        </w:rPr>
        <w:t>perform</w:t>
      </w:r>
      <w:r w:rsidR="00767BDE" w:rsidRPr="007B25AE">
        <w:rPr>
          <w:rFonts w:ascii="Baskerville" w:eastAsia="MS PMincho" w:hAnsi="Baskerville" w:cs="Arabic Typesetting"/>
        </w:rPr>
        <w:t>ing</w:t>
      </w:r>
      <w:r w:rsidR="00F539D4" w:rsidRPr="007B25AE">
        <w:rPr>
          <w:rFonts w:ascii="Baskerville" w:eastAsia="MS PMincho" w:hAnsi="Baskerville" w:cs="Arabic Typesetting"/>
        </w:rPr>
        <w:t xml:space="preserve"> </w:t>
      </w:r>
      <w:r w:rsidR="00B77339" w:rsidRPr="007B25AE">
        <w:rPr>
          <w:rFonts w:ascii="Baskerville" w:eastAsia="MS PMincho" w:hAnsi="Baskerville" w:cs="Arabic Typesetting"/>
        </w:rPr>
        <w:t>a</w:t>
      </w:r>
      <w:r w:rsidR="00F539D4" w:rsidRPr="007B25AE">
        <w:rPr>
          <w:rFonts w:ascii="Baskerville" w:eastAsia="MS PMincho" w:hAnsi="Baskerville" w:cs="Arabic Typesetting"/>
        </w:rPr>
        <w:t xml:space="preserve"> </w:t>
      </w:r>
      <w:r w:rsidR="00767BDE" w:rsidRPr="007B25AE">
        <w:rPr>
          <w:rFonts w:ascii="Baskerville" w:eastAsia="MS PMincho" w:hAnsi="Baskerville" w:cs="Arabic Typesetting"/>
        </w:rPr>
        <w:t xml:space="preserve">test on the </w:t>
      </w:r>
      <w:r w:rsidR="00F539D4" w:rsidRPr="007B25AE">
        <w:rPr>
          <w:rFonts w:ascii="Baskerville" w:eastAsia="MS PMincho" w:hAnsi="Baskerville" w:cs="Arabic Typesetting"/>
        </w:rPr>
        <w:t>null hypothesis (H</w:t>
      </w:r>
      <w:r w:rsidR="00F539D4" w:rsidRPr="007B25AE">
        <w:rPr>
          <w:rFonts w:ascii="Baskerville" w:eastAsia="MS PMincho" w:hAnsi="Baskerville" w:cs="Arabic Typesetting"/>
          <w:vertAlign w:val="subscript"/>
        </w:rPr>
        <w:t>0</w:t>
      </w:r>
      <w:r w:rsidR="00F539D4" w:rsidRPr="007B25AE">
        <w:rPr>
          <w:rFonts w:ascii="Baskerville" w:eastAsia="MS PMincho" w:hAnsi="Baskerville" w:cs="Arabic Typesetting"/>
        </w:rPr>
        <w:t>)</w:t>
      </w:r>
      <w:r w:rsidR="00767BDE" w:rsidRPr="007B25AE">
        <w:rPr>
          <w:rFonts w:ascii="Baskerville" w:eastAsia="MS PMincho" w:hAnsi="Baskerville" w:cs="Arabic Typesetting"/>
        </w:rPr>
        <w:t>. If, in the process of conducting the test, the</w:t>
      </w:r>
      <w:r w:rsidR="006C068F" w:rsidRPr="007B25AE">
        <w:rPr>
          <w:rFonts w:ascii="Baskerville" w:eastAsia="MS PMincho" w:hAnsi="Baskerville" w:cs="Arabic Typesetting"/>
        </w:rPr>
        <w:t xml:space="preserve"> </w:t>
      </w:r>
      <w:r w:rsidR="00F539D4" w:rsidRPr="007B25AE">
        <w:rPr>
          <w:rFonts w:ascii="Baskerville" w:eastAsia="MS PMincho" w:hAnsi="Baskerville" w:cs="Arabic Typesetting"/>
        </w:rPr>
        <w:t>p-value</w:t>
      </w:r>
      <w:r w:rsidR="00116C24" w:rsidRPr="007B25AE">
        <w:rPr>
          <w:rFonts w:ascii="Baskerville" w:eastAsia="MS PMincho" w:hAnsi="Baskerville" w:cs="Arabic Typesetting"/>
        </w:rPr>
        <w:t xml:space="preserve"> </w:t>
      </w:r>
      <w:r w:rsidR="00767BDE" w:rsidRPr="007B25AE">
        <w:rPr>
          <w:rFonts w:ascii="Baskerville" w:eastAsia="MS PMincho" w:hAnsi="Baskerville" w:cs="Arabic Typesetting"/>
        </w:rPr>
        <w:t xml:space="preserve">turns out to be error free, the p-value </w:t>
      </w:r>
      <w:r w:rsidR="0024443A" w:rsidRPr="007B25AE">
        <w:rPr>
          <w:rFonts w:ascii="Baskerville" w:eastAsia="MS PMincho" w:hAnsi="Baskerville" w:cs="Arabic Typesetting"/>
        </w:rPr>
        <w:t>will be</w:t>
      </w:r>
      <w:r w:rsidR="0008220D" w:rsidRPr="007B25AE">
        <w:rPr>
          <w:rFonts w:ascii="Baskerville" w:eastAsia="MS PMincho" w:hAnsi="Baskerville" w:cs="Arabic Typesetting"/>
        </w:rPr>
        <w:t xml:space="preserve"> </w:t>
      </w:r>
      <w:r w:rsidR="00767BDE" w:rsidRPr="007B25AE">
        <w:rPr>
          <w:rFonts w:ascii="Baskerville" w:eastAsia="MS PMincho" w:hAnsi="Baskerville" w:cs="Arabic Typesetting"/>
        </w:rPr>
        <w:t xml:space="preserve">said to have </w:t>
      </w:r>
      <w:r w:rsidR="00F539D4" w:rsidRPr="007B25AE">
        <w:rPr>
          <w:rFonts w:ascii="Baskerville" w:eastAsia="MS PMincho" w:hAnsi="Baskerville" w:cs="Arabic Typesetting"/>
        </w:rPr>
        <w:t>“</w:t>
      </w:r>
      <w:r w:rsidR="001107BB" w:rsidRPr="007B25AE">
        <w:rPr>
          <w:rFonts w:ascii="Baskerville" w:eastAsia="MS PMincho" w:hAnsi="Baskerville" w:cs="Arabic Typesetting"/>
        </w:rPr>
        <w:t xml:space="preserve">statistical </w:t>
      </w:r>
      <w:r w:rsidR="00F539D4" w:rsidRPr="007B25AE">
        <w:rPr>
          <w:rFonts w:ascii="Baskerville" w:eastAsia="MS PMincho" w:hAnsi="Baskerville" w:cs="Arabic Typesetting"/>
        </w:rPr>
        <w:t>significance</w:t>
      </w:r>
      <w:r w:rsidR="00767BDE" w:rsidRPr="007B25AE">
        <w:rPr>
          <w:rFonts w:ascii="Baskerville" w:eastAsia="MS PMincho" w:hAnsi="Baskerville" w:cs="Arabic Typesetting"/>
        </w:rPr>
        <w:t>.</w:t>
      </w:r>
      <w:r w:rsidR="00F539D4" w:rsidRPr="007B25AE">
        <w:rPr>
          <w:rFonts w:ascii="Baskerville" w:eastAsia="MS PMincho" w:hAnsi="Baskerville" w:cs="Arabic Typesetting"/>
        </w:rPr>
        <w:t>”</w:t>
      </w:r>
      <w:r w:rsidR="00116C24" w:rsidRPr="007B25AE">
        <w:rPr>
          <w:rFonts w:ascii="Baskerville" w:eastAsia="MS PMincho" w:hAnsi="Baskerville" w:cs="Arabic Typesetting"/>
        </w:rPr>
        <w:t xml:space="preserve"> </w:t>
      </w:r>
      <w:r w:rsidR="00767BDE" w:rsidRPr="007B25AE">
        <w:rPr>
          <w:rFonts w:ascii="Baskerville" w:eastAsia="MS PMincho" w:hAnsi="Baskerville" w:cs="Arabic Typesetting"/>
        </w:rPr>
        <w:t xml:space="preserve"> A</w:t>
      </w:r>
      <w:r w:rsidR="0024443A" w:rsidRPr="007B25AE">
        <w:rPr>
          <w:rFonts w:ascii="Baskerville" w:eastAsia="MS PMincho" w:hAnsi="Baskerville" w:cs="Arabic Typesetting"/>
        </w:rPr>
        <w:t>nd</w:t>
      </w:r>
      <w:r w:rsidR="00767BDE" w:rsidRPr="007B25AE">
        <w:rPr>
          <w:rFonts w:ascii="Baskerville" w:eastAsia="MS PMincho" w:hAnsi="Baskerville" w:cs="Arabic Typesetting"/>
        </w:rPr>
        <w:t>,</w:t>
      </w:r>
      <w:r w:rsidR="0024443A" w:rsidRPr="007B25AE">
        <w:rPr>
          <w:rFonts w:ascii="Baskerville" w:eastAsia="MS PMincho" w:hAnsi="Baskerville" w:cs="Arabic Typesetting"/>
        </w:rPr>
        <w:t xml:space="preserve"> as</w:t>
      </w:r>
      <w:r w:rsidR="00834ED6" w:rsidRPr="007B25AE">
        <w:rPr>
          <w:rFonts w:ascii="Baskerville" w:eastAsia="MS PMincho" w:hAnsi="Baskerville" w:cs="Arabic Typesetting"/>
        </w:rPr>
        <w:t xml:space="preserve"> such, </w:t>
      </w:r>
      <w:r w:rsidR="0085303D" w:rsidRPr="007B25AE">
        <w:rPr>
          <w:rFonts w:ascii="Baskerville" w:eastAsia="MS PMincho" w:hAnsi="Baskerville" w:cs="Arabic Typesetting"/>
        </w:rPr>
        <w:t xml:space="preserve">it </w:t>
      </w:r>
      <w:r w:rsidR="00834ED6" w:rsidRPr="007B25AE">
        <w:rPr>
          <w:rFonts w:ascii="Baskerville" w:eastAsia="MS PMincho" w:hAnsi="Baskerville" w:cs="Arabic Typesetting"/>
        </w:rPr>
        <w:t xml:space="preserve">will </w:t>
      </w:r>
      <w:r w:rsidR="00B97225" w:rsidRPr="007B25AE">
        <w:rPr>
          <w:rFonts w:ascii="Baskerville" w:eastAsia="MS PMincho" w:hAnsi="Baskerville" w:cs="Arabic Typesetting"/>
        </w:rPr>
        <w:t xml:space="preserve">have </w:t>
      </w:r>
      <w:r w:rsidR="00767BDE" w:rsidRPr="007B25AE">
        <w:rPr>
          <w:rFonts w:ascii="Baskerville" w:eastAsia="MS PMincho" w:hAnsi="Baskerville" w:cs="Arabic Typesetting"/>
        </w:rPr>
        <w:t>be</w:t>
      </w:r>
      <w:r w:rsidR="00B97225" w:rsidRPr="007B25AE">
        <w:rPr>
          <w:rFonts w:ascii="Baskerville" w:eastAsia="MS PMincho" w:hAnsi="Baskerville" w:cs="Arabic Typesetting"/>
        </w:rPr>
        <w:t xml:space="preserve">gun </w:t>
      </w:r>
      <w:r w:rsidR="00B77339" w:rsidRPr="007B25AE">
        <w:rPr>
          <w:rFonts w:ascii="Baskerville" w:eastAsia="MS PMincho" w:hAnsi="Baskerville" w:cs="Arabic Typesetting"/>
        </w:rPr>
        <w:t xml:space="preserve">its work </w:t>
      </w:r>
      <w:r w:rsidR="001F7A7B" w:rsidRPr="007B25AE">
        <w:rPr>
          <w:rFonts w:ascii="Baskerville" w:eastAsia="MS PMincho" w:hAnsi="Baskerville" w:cs="Arabic Typesetting"/>
        </w:rPr>
        <w:t xml:space="preserve">by </w:t>
      </w:r>
      <w:r w:rsidR="00834ED6" w:rsidRPr="007B25AE">
        <w:rPr>
          <w:rFonts w:ascii="Baskerville" w:eastAsia="MS PMincho" w:hAnsi="Baskerville" w:cs="Arabic Typesetting"/>
        </w:rPr>
        <w:t>inspir</w:t>
      </w:r>
      <w:r w:rsidR="001F7A7B" w:rsidRPr="007B25AE">
        <w:rPr>
          <w:rFonts w:ascii="Baskerville" w:eastAsia="MS PMincho" w:hAnsi="Baskerville" w:cs="Arabic Typesetting"/>
        </w:rPr>
        <w:t>ing</w:t>
      </w:r>
      <w:r w:rsidR="00B97225" w:rsidRPr="007B25AE">
        <w:rPr>
          <w:rFonts w:ascii="Baskerville" w:eastAsia="MS PMincho" w:hAnsi="Baskerville" w:cs="Arabic Typesetting"/>
        </w:rPr>
        <w:t>,</w:t>
      </w:r>
      <w:r w:rsidR="00626562" w:rsidRPr="007B25AE">
        <w:rPr>
          <w:rFonts w:ascii="Baskerville" w:eastAsia="MS PMincho" w:hAnsi="Baskerville" w:cs="Arabic Typesetting"/>
        </w:rPr>
        <w:t xml:space="preserve"> either </w:t>
      </w:r>
      <w:r w:rsidRPr="007B25AE">
        <w:rPr>
          <w:rFonts w:ascii="Baskerville" w:eastAsia="MS PMincho" w:hAnsi="Baskerville" w:cs="Arabic Typesetting"/>
        </w:rPr>
        <w:t xml:space="preserve">a high </w:t>
      </w:r>
      <w:r w:rsidR="00AC4363" w:rsidRPr="007B25AE">
        <w:rPr>
          <w:rFonts w:ascii="Baskerville" w:eastAsia="MS PMincho" w:hAnsi="Baskerville" w:cs="Arabic Typesetting"/>
        </w:rPr>
        <w:t xml:space="preserve">or </w:t>
      </w:r>
      <w:r w:rsidR="001107BB" w:rsidRPr="007B25AE">
        <w:rPr>
          <w:rFonts w:ascii="Baskerville" w:eastAsia="MS PMincho" w:hAnsi="Baskerville" w:cs="Arabic Typesetting"/>
        </w:rPr>
        <w:t xml:space="preserve">low </w:t>
      </w:r>
      <w:r w:rsidR="000657A2" w:rsidRPr="007B25AE">
        <w:rPr>
          <w:rFonts w:ascii="Baskerville" w:eastAsia="MS PMincho" w:hAnsi="Baskerville" w:cs="Arabic Typesetting"/>
        </w:rPr>
        <w:t xml:space="preserve">level of </w:t>
      </w:r>
      <w:r w:rsidR="00F539D4" w:rsidRPr="007B25AE">
        <w:rPr>
          <w:rFonts w:ascii="Baskerville" w:eastAsia="MS PMincho" w:hAnsi="Baskerville" w:cs="Arabic Typesetting"/>
        </w:rPr>
        <w:t>“confidence”</w:t>
      </w:r>
      <w:r w:rsidR="001107BB" w:rsidRPr="007B25AE">
        <w:rPr>
          <w:rFonts w:ascii="Baskerville" w:eastAsia="MS PMincho" w:hAnsi="Baskerville" w:cs="Arabic Typesetting"/>
        </w:rPr>
        <w:t xml:space="preserve"> </w:t>
      </w:r>
      <w:r w:rsidR="005A6662" w:rsidRPr="007B25AE">
        <w:rPr>
          <w:rFonts w:ascii="Baskerville" w:eastAsia="MS PMincho" w:hAnsi="Baskerville" w:cs="Arabic Typesetting"/>
        </w:rPr>
        <w:t>as to whether H</w:t>
      </w:r>
      <w:r w:rsidR="005A6662" w:rsidRPr="007B25AE">
        <w:rPr>
          <w:rFonts w:ascii="Baskerville" w:eastAsia="MS PMincho" w:hAnsi="Baskerville" w:cs="Arabic Typesetting"/>
          <w:vertAlign w:val="subscript"/>
        </w:rPr>
        <w:t xml:space="preserve">0  </w:t>
      </w:r>
      <w:r w:rsidR="005A6662" w:rsidRPr="007B25AE">
        <w:rPr>
          <w:rFonts w:ascii="Baskerville" w:eastAsia="MS PMincho" w:hAnsi="Baskerville" w:cs="Arabic Typesetting"/>
        </w:rPr>
        <w:t>or</w:t>
      </w:r>
      <w:r w:rsidR="001107BB" w:rsidRPr="007B25AE">
        <w:rPr>
          <w:rFonts w:ascii="Baskerville" w:eastAsia="MS PMincho" w:hAnsi="Baskerville" w:cs="Arabic Typesetting"/>
        </w:rPr>
        <w:t xml:space="preserve"> </w:t>
      </w:r>
      <w:r w:rsidR="005A6662" w:rsidRPr="007B25AE">
        <w:rPr>
          <w:rFonts w:ascii="Baskerville" w:eastAsia="MS PMincho" w:hAnsi="Baskerville" w:cs="Arabic Typesetting"/>
        </w:rPr>
        <w:t>H</w:t>
      </w:r>
      <w:r w:rsidR="005A6662" w:rsidRPr="007B25AE">
        <w:rPr>
          <w:rFonts w:ascii="Baskerville" w:eastAsia="MS PMincho" w:hAnsi="Baskerville" w:cs="Arabic Typesetting"/>
          <w:sz w:val="36"/>
          <w:szCs w:val="36"/>
          <w:vertAlign w:val="subscript"/>
        </w:rPr>
        <w:t>a</w:t>
      </w:r>
      <w:r w:rsidR="005A6662" w:rsidRPr="007B25AE">
        <w:rPr>
          <w:rFonts w:ascii="Baskerville" w:eastAsia="MS PMincho" w:hAnsi="Baskerville" w:cs="Arabic Typesetting"/>
          <w:vertAlign w:val="subscript"/>
        </w:rPr>
        <w:t xml:space="preserve"> </w:t>
      </w:r>
      <w:r w:rsidR="00B97225" w:rsidRPr="007B25AE">
        <w:rPr>
          <w:rFonts w:ascii="Baskerville" w:eastAsia="MS PMincho" w:hAnsi="Baskerville" w:cs="Arabic Typesetting"/>
        </w:rPr>
        <w:t>will be</w:t>
      </w:r>
      <w:r w:rsidR="005A6662" w:rsidRPr="007B25AE">
        <w:rPr>
          <w:rFonts w:ascii="Baskerville" w:eastAsia="MS PMincho" w:hAnsi="Baskerville" w:cs="Arabic Typesetting"/>
        </w:rPr>
        <w:t xml:space="preserve"> viable</w:t>
      </w:r>
      <w:r w:rsidR="001107BB" w:rsidRPr="007B25AE">
        <w:rPr>
          <w:rFonts w:ascii="Baskerville" w:eastAsia="MS PMincho" w:hAnsi="Baskerville" w:cs="Arabic Typesetting"/>
        </w:rPr>
        <w:t xml:space="preserve">. </w:t>
      </w:r>
      <w:r w:rsidR="005A6AE6" w:rsidRPr="007B25AE">
        <w:rPr>
          <w:rFonts w:ascii="Baskerville" w:eastAsia="MS PMincho" w:hAnsi="Baskerville" w:cs="Arabic Typesetting"/>
        </w:rPr>
        <w:t xml:space="preserve"> </w:t>
      </w:r>
      <w:r w:rsidR="00CD5D81" w:rsidRPr="007B25AE">
        <w:rPr>
          <w:rFonts w:ascii="Baskerville" w:eastAsia="MS PMincho" w:hAnsi="Baskerville" w:cs="Arabic Typesetting"/>
        </w:rPr>
        <w:t xml:space="preserve">Generally speaking, </w:t>
      </w:r>
      <w:r w:rsidR="00B97225" w:rsidRPr="007B25AE">
        <w:rPr>
          <w:rFonts w:ascii="Baskerville" w:eastAsia="MS PMincho" w:hAnsi="Baskerville" w:cs="Arabic Typesetting"/>
        </w:rPr>
        <w:t>should</w:t>
      </w:r>
      <w:r w:rsidR="00CD5D81" w:rsidRPr="007B25AE">
        <w:rPr>
          <w:rFonts w:ascii="Baskerville" w:eastAsia="MS PMincho" w:hAnsi="Baskerville" w:cs="Arabic Typesetting"/>
        </w:rPr>
        <w:t xml:space="preserve"> the</w:t>
      </w:r>
      <w:r w:rsidR="005A6AE6" w:rsidRPr="007B25AE">
        <w:rPr>
          <w:rFonts w:ascii="Baskerville" w:eastAsia="MS PMincho" w:hAnsi="Baskerville" w:cs="Arabic Typesetting"/>
        </w:rPr>
        <w:t xml:space="preserve"> p-value </w:t>
      </w:r>
      <w:r w:rsidR="00CD5D81" w:rsidRPr="007B25AE">
        <w:rPr>
          <w:rFonts w:ascii="Baskerville" w:eastAsia="MS PMincho" w:hAnsi="Baskerville" w:cs="Arabic Typesetting"/>
        </w:rPr>
        <w:t>fall</w:t>
      </w:r>
      <w:r w:rsidR="00B97225" w:rsidRPr="007B25AE">
        <w:rPr>
          <w:rFonts w:ascii="Baskerville" w:eastAsia="MS PMincho" w:hAnsi="Baskerville" w:cs="Arabic Typesetting"/>
        </w:rPr>
        <w:t xml:space="preserve"> at</w:t>
      </w:r>
      <w:r w:rsidR="00075CD2" w:rsidRPr="007B25AE">
        <w:rPr>
          <w:rFonts w:ascii="Baskerville" w:eastAsia="MS PMincho" w:hAnsi="Baskerville" w:cs="Arabic Typesetting"/>
        </w:rPr>
        <w:t>,</w:t>
      </w:r>
      <w:r w:rsidR="00B97225" w:rsidRPr="007B25AE">
        <w:rPr>
          <w:rFonts w:ascii="Baskerville" w:eastAsia="MS PMincho" w:hAnsi="Baskerville" w:cs="Arabic Typesetting"/>
        </w:rPr>
        <w:t xml:space="preserve"> or</w:t>
      </w:r>
      <w:r w:rsidR="001A318B" w:rsidRPr="007B25AE">
        <w:rPr>
          <w:rFonts w:ascii="Baskerville" w:eastAsia="MS PMincho" w:hAnsi="Baskerville" w:cs="Arabic Typesetting"/>
        </w:rPr>
        <w:t>,</w:t>
      </w:r>
      <w:r w:rsidR="00CD5D81" w:rsidRPr="007B25AE">
        <w:rPr>
          <w:rFonts w:ascii="Baskerville" w:eastAsia="MS PMincho" w:hAnsi="Baskerville" w:cs="Arabic Typesetting"/>
        </w:rPr>
        <w:t xml:space="preserve"> below </w:t>
      </w:r>
      <w:r w:rsidR="00834ED6" w:rsidRPr="007B25AE">
        <w:rPr>
          <w:rFonts w:ascii="Baskerville" w:eastAsia="MS PMincho" w:hAnsi="Baskerville" w:cs="Arabic Typesetting"/>
        </w:rPr>
        <w:t>the</w:t>
      </w:r>
      <w:r w:rsidR="000657A2" w:rsidRPr="007B25AE">
        <w:rPr>
          <w:rFonts w:ascii="Baskerville" w:eastAsia="MS PMincho" w:hAnsi="Baskerville" w:cs="Arabic Typesetting"/>
        </w:rPr>
        <w:t xml:space="preserve"> </w:t>
      </w:r>
      <w:r w:rsidR="001A318B" w:rsidRPr="007B25AE">
        <w:rPr>
          <w:rFonts w:ascii="Baskerville" w:eastAsia="MS PMincho" w:hAnsi="Baskerville" w:cs="Arabic Typesetting"/>
        </w:rPr>
        <w:t>settl</w:t>
      </w:r>
      <w:r w:rsidR="0008220D" w:rsidRPr="007B25AE">
        <w:rPr>
          <w:rFonts w:ascii="Baskerville" w:eastAsia="MS PMincho" w:hAnsi="Baskerville" w:cs="Arabic Typesetting"/>
        </w:rPr>
        <w:t>ed</w:t>
      </w:r>
      <w:r w:rsidR="000657A2" w:rsidRPr="007B25AE">
        <w:rPr>
          <w:rFonts w:ascii="Baskerville" w:eastAsia="MS PMincho" w:hAnsi="Baskerville" w:cs="Arabic Typesetting"/>
        </w:rPr>
        <w:t xml:space="preserve"> watermark</w:t>
      </w:r>
      <w:r w:rsidR="00B97225" w:rsidRPr="007B25AE">
        <w:rPr>
          <w:rFonts w:ascii="Baskerville" w:eastAsia="MS PMincho" w:hAnsi="Baskerville" w:cs="Arabic Typesetting"/>
        </w:rPr>
        <w:t xml:space="preserve"> for that particular </w:t>
      </w:r>
      <w:r w:rsidR="00595ACC" w:rsidRPr="007B25AE">
        <w:rPr>
          <w:rFonts w:ascii="Baskerville" w:eastAsia="MS PMincho" w:hAnsi="Baskerville" w:cs="Arabic Typesetting"/>
        </w:rPr>
        <w:t>type</w:t>
      </w:r>
      <w:r w:rsidR="00B97225" w:rsidRPr="007B25AE">
        <w:rPr>
          <w:rFonts w:ascii="Baskerville" w:eastAsia="MS PMincho" w:hAnsi="Baskerville" w:cs="Arabic Typesetting"/>
        </w:rPr>
        <w:t xml:space="preserve"> of research (less than or equal to 0.01, 0.02</w:t>
      </w:r>
      <w:r w:rsidR="00CD5D81" w:rsidRPr="007B25AE">
        <w:rPr>
          <w:rFonts w:ascii="Baskerville" w:eastAsia="MS PMincho" w:hAnsi="Baskerville" w:cs="Arabic Typesetting"/>
        </w:rPr>
        <w:t>,</w:t>
      </w:r>
      <w:r w:rsidR="00B97225" w:rsidRPr="007B25AE">
        <w:rPr>
          <w:rFonts w:ascii="Baskerville" w:eastAsia="MS PMincho" w:hAnsi="Baskerville" w:cs="Arabic Typesetting"/>
        </w:rPr>
        <w:t xml:space="preserve"> or 0.05),</w:t>
      </w:r>
      <w:r w:rsidR="00CD5D81" w:rsidRPr="007B25AE">
        <w:rPr>
          <w:rFonts w:ascii="Baskerville" w:eastAsia="MS PMincho" w:hAnsi="Baskerville" w:cs="Arabic Typesetting"/>
        </w:rPr>
        <w:t xml:space="preserve"> the null hypothesis </w:t>
      </w:r>
      <w:r w:rsidR="00626562" w:rsidRPr="007B25AE">
        <w:rPr>
          <w:rFonts w:ascii="Baskerville" w:eastAsia="MS PMincho" w:hAnsi="Baskerville" w:cs="Arabic Typesetting"/>
        </w:rPr>
        <w:t>will be</w:t>
      </w:r>
      <w:r w:rsidR="00CD5D81" w:rsidRPr="007B25AE">
        <w:rPr>
          <w:rFonts w:ascii="Baskerville" w:eastAsia="MS PMincho" w:hAnsi="Baskerville" w:cs="Arabic Typesetting"/>
        </w:rPr>
        <w:t xml:space="preserve"> rejected</w:t>
      </w:r>
      <w:r w:rsidR="000615F2" w:rsidRPr="007B25AE">
        <w:rPr>
          <w:rFonts w:ascii="Baskerville" w:eastAsia="MS PMincho" w:hAnsi="Baskerville" w:cs="Arabic Typesetting"/>
        </w:rPr>
        <w:t xml:space="preserve">, and the </w:t>
      </w:r>
      <w:r w:rsidR="0008220D" w:rsidRPr="007B25AE">
        <w:rPr>
          <w:rFonts w:ascii="Baskerville" w:eastAsia="MS PMincho" w:hAnsi="Baskerville" w:cs="Arabic Typesetting"/>
        </w:rPr>
        <w:t>p-</w:t>
      </w:r>
      <w:r w:rsidR="0041772E" w:rsidRPr="007B25AE">
        <w:rPr>
          <w:rFonts w:ascii="Baskerville" w:eastAsia="MS PMincho" w:hAnsi="Baskerville" w:cs="Arabic Typesetting"/>
        </w:rPr>
        <w:t>value</w:t>
      </w:r>
      <w:r w:rsidR="000615F2" w:rsidRPr="007B25AE">
        <w:rPr>
          <w:rFonts w:ascii="Baskerville" w:eastAsia="MS PMincho" w:hAnsi="Baskerville" w:cs="Arabic Typesetting"/>
        </w:rPr>
        <w:t>,</w:t>
      </w:r>
      <w:r w:rsidR="0041772E" w:rsidRPr="007B25AE">
        <w:rPr>
          <w:rFonts w:ascii="Baskerville" w:eastAsia="MS PMincho" w:hAnsi="Baskerville" w:cs="Arabic Typesetting"/>
        </w:rPr>
        <w:t xml:space="preserve"> </w:t>
      </w:r>
      <w:r w:rsidR="0008220D" w:rsidRPr="007B25AE">
        <w:rPr>
          <w:rFonts w:ascii="Baskerville" w:eastAsia="MS PMincho" w:hAnsi="Baskerville" w:cs="Arabic Typesetting"/>
        </w:rPr>
        <w:t xml:space="preserve">once </w:t>
      </w:r>
      <w:r w:rsidR="0041772E" w:rsidRPr="007B25AE">
        <w:rPr>
          <w:rFonts w:ascii="Baskerville" w:eastAsia="MS PMincho" w:hAnsi="Baskerville" w:cs="Arabic Typesetting"/>
        </w:rPr>
        <w:t>converted to</w:t>
      </w:r>
      <w:r w:rsidR="000615F2" w:rsidRPr="007B25AE">
        <w:rPr>
          <w:rFonts w:ascii="Baskerville" w:eastAsia="MS PMincho" w:hAnsi="Baskerville" w:cs="Arabic Typesetting"/>
        </w:rPr>
        <w:t xml:space="preserve"> </w:t>
      </w:r>
      <w:r w:rsidR="00626562" w:rsidRPr="007B25AE">
        <w:rPr>
          <w:rFonts w:ascii="Baskerville" w:eastAsia="MS PMincho" w:hAnsi="Baskerville" w:cs="Arabic Typesetting"/>
        </w:rPr>
        <w:t>percent</w:t>
      </w:r>
      <w:r w:rsidR="00484800" w:rsidRPr="007B25AE">
        <w:rPr>
          <w:rFonts w:ascii="Baskerville" w:eastAsia="MS PMincho" w:hAnsi="Baskerville" w:cs="Arabic Typesetting"/>
        </w:rPr>
        <w:t>,</w:t>
      </w:r>
      <w:r w:rsidR="000615F2" w:rsidRPr="007B25AE">
        <w:rPr>
          <w:rFonts w:ascii="Baskerville" w:eastAsia="MS PMincho" w:hAnsi="Baskerville" w:cs="Arabic Typesetting"/>
        </w:rPr>
        <w:t xml:space="preserve"> </w:t>
      </w:r>
      <w:r w:rsidR="0041772E" w:rsidRPr="007B25AE">
        <w:rPr>
          <w:rFonts w:ascii="Baskerville" w:eastAsia="MS PMincho" w:hAnsi="Baskerville" w:cs="Arabic Typesetting"/>
        </w:rPr>
        <w:t>will</w:t>
      </w:r>
      <w:r w:rsidR="00484800" w:rsidRPr="007B25AE">
        <w:rPr>
          <w:rFonts w:ascii="Baskerville" w:eastAsia="MS PMincho" w:hAnsi="Baskerville" w:cs="Arabic Typesetting"/>
        </w:rPr>
        <w:t>,</w:t>
      </w:r>
      <w:r w:rsidR="000615F2" w:rsidRPr="007B25AE">
        <w:rPr>
          <w:rFonts w:ascii="Baskerville" w:eastAsia="MS PMincho" w:hAnsi="Baskerville" w:cs="Arabic Typesetting"/>
        </w:rPr>
        <w:t xml:space="preserve"> thus, </w:t>
      </w:r>
      <w:r w:rsidR="0041772E" w:rsidRPr="007B25AE">
        <w:rPr>
          <w:rFonts w:ascii="Baskerville" w:eastAsia="MS PMincho" w:hAnsi="Baskerville" w:cs="Arabic Typesetting"/>
        </w:rPr>
        <w:t xml:space="preserve">be </w:t>
      </w:r>
      <w:r w:rsidR="000615F2" w:rsidRPr="007B25AE">
        <w:rPr>
          <w:rFonts w:ascii="Baskerville" w:eastAsia="MS PMincho" w:hAnsi="Baskerville" w:cs="Arabic Typesetting"/>
        </w:rPr>
        <w:t>subtracted from</w:t>
      </w:r>
      <w:r w:rsidR="00484800" w:rsidRPr="007B25AE">
        <w:rPr>
          <w:rFonts w:ascii="Baskerville" w:eastAsia="MS PMincho" w:hAnsi="Baskerville" w:cs="Arabic Typesetting"/>
        </w:rPr>
        <w:t xml:space="preserve"> a hundred</w:t>
      </w:r>
      <w:r w:rsidR="0008220D" w:rsidRPr="007B25AE">
        <w:rPr>
          <w:rFonts w:ascii="Baskerville" w:eastAsia="MS PMincho" w:hAnsi="Baskerville" w:cs="Arabic Typesetting"/>
        </w:rPr>
        <w:t xml:space="preserve"> </w:t>
      </w:r>
      <w:r w:rsidR="001A318B" w:rsidRPr="007B25AE">
        <w:rPr>
          <w:rFonts w:ascii="Baskerville" w:eastAsia="MS PMincho" w:hAnsi="Baskerville" w:cs="Arabic Typesetting"/>
        </w:rPr>
        <w:t xml:space="preserve">percent </w:t>
      </w:r>
      <w:r w:rsidR="00626562" w:rsidRPr="007B25AE">
        <w:rPr>
          <w:rFonts w:ascii="Baskerville" w:eastAsia="MS PMincho" w:hAnsi="Baskerville" w:cs="Arabic Typesetting"/>
        </w:rPr>
        <w:t>so that the researcher w</w:t>
      </w:r>
      <w:r w:rsidR="0042335E" w:rsidRPr="007B25AE">
        <w:rPr>
          <w:rFonts w:ascii="Baskerville" w:eastAsia="MS PMincho" w:hAnsi="Baskerville" w:cs="Arabic Typesetting"/>
        </w:rPr>
        <w:t>ill</w:t>
      </w:r>
      <w:r w:rsidR="00626562" w:rsidRPr="007B25AE">
        <w:rPr>
          <w:rFonts w:ascii="Baskerville" w:eastAsia="MS PMincho" w:hAnsi="Baskerville" w:cs="Arabic Typesetting"/>
        </w:rPr>
        <w:t xml:space="preserve"> feel a </w:t>
      </w:r>
      <w:r w:rsidR="0085303D" w:rsidRPr="007B25AE">
        <w:rPr>
          <w:rFonts w:ascii="Baskerville" w:eastAsia="MS PMincho" w:hAnsi="Baskerville" w:cs="Arabic Typesetting"/>
        </w:rPr>
        <w:t xml:space="preserve">high </w:t>
      </w:r>
      <w:r w:rsidR="00EC7EC1" w:rsidRPr="007B25AE">
        <w:rPr>
          <w:rFonts w:ascii="Baskerville" w:eastAsia="MS PMincho" w:hAnsi="Baskerville" w:cs="Arabic Typesetting"/>
        </w:rPr>
        <w:t>level of “confidence”</w:t>
      </w:r>
      <w:r w:rsidR="00553FAA" w:rsidRPr="007B25AE">
        <w:rPr>
          <w:rFonts w:ascii="Baskerville" w:eastAsia="MS PMincho" w:hAnsi="Baskerville" w:cs="Arabic Typesetting"/>
        </w:rPr>
        <w:t xml:space="preserve"> </w:t>
      </w:r>
      <w:r w:rsidR="0085303D" w:rsidRPr="007B25AE">
        <w:rPr>
          <w:rFonts w:ascii="Baskerville" w:eastAsia="MS PMincho" w:hAnsi="Baskerville" w:cs="Arabic Typesetting"/>
        </w:rPr>
        <w:t>as he or she</w:t>
      </w:r>
      <w:r w:rsidR="00626562" w:rsidRPr="007B25AE">
        <w:rPr>
          <w:rFonts w:ascii="Baskerville" w:eastAsia="MS PMincho" w:hAnsi="Baskerville" w:cs="Arabic Typesetting"/>
        </w:rPr>
        <w:t xml:space="preserve"> defer</w:t>
      </w:r>
      <w:r w:rsidR="0085303D" w:rsidRPr="007B25AE">
        <w:rPr>
          <w:rFonts w:ascii="Baskerville" w:eastAsia="MS PMincho" w:hAnsi="Baskerville" w:cs="Arabic Typesetting"/>
        </w:rPr>
        <w:t>s</w:t>
      </w:r>
      <w:r w:rsidR="00626562" w:rsidRPr="007B25AE">
        <w:rPr>
          <w:rFonts w:ascii="Baskerville" w:eastAsia="MS PMincho" w:hAnsi="Baskerville" w:cs="Arabic Typesetting"/>
        </w:rPr>
        <w:t xml:space="preserve"> to </w:t>
      </w:r>
      <w:r w:rsidR="001A318B" w:rsidRPr="007B25AE">
        <w:rPr>
          <w:rFonts w:ascii="Baskerville" w:eastAsia="MS PMincho" w:hAnsi="Baskerville" w:cs="Arabic Typesetting"/>
        </w:rPr>
        <w:t xml:space="preserve">the </w:t>
      </w:r>
      <w:r w:rsidR="00553FAA" w:rsidRPr="007B25AE">
        <w:rPr>
          <w:rFonts w:ascii="Baskerville" w:eastAsia="MS PMincho" w:hAnsi="Baskerville" w:cs="Arabic Typesetting"/>
        </w:rPr>
        <w:t>H</w:t>
      </w:r>
      <w:r w:rsidR="00553FAA" w:rsidRPr="007B25AE">
        <w:rPr>
          <w:rFonts w:ascii="Baskerville" w:eastAsia="MS PMincho" w:hAnsi="Baskerville" w:cs="Arabic Typesetting"/>
          <w:sz w:val="36"/>
          <w:szCs w:val="36"/>
          <w:vertAlign w:val="subscript"/>
        </w:rPr>
        <w:t>a</w:t>
      </w:r>
      <w:r w:rsidR="001F7A7B" w:rsidRPr="007B25AE">
        <w:rPr>
          <w:rFonts w:ascii="Baskerville" w:eastAsia="MS PMincho" w:hAnsi="Baskerville" w:cs="Arabic Typesetting"/>
        </w:rPr>
        <w:t>,</w:t>
      </w:r>
      <w:r w:rsidR="009874E2" w:rsidRPr="007B25AE">
        <w:rPr>
          <w:rFonts w:ascii="Baskerville" w:eastAsia="MS PMincho" w:hAnsi="Baskerville" w:cs="Arabic Typesetting"/>
        </w:rPr>
        <w:t xml:space="preserve"> going forward.</w:t>
      </w:r>
      <w:r w:rsidR="00553FAA" w:rsidRPr="007B25AE">
        <w:rPr>
          <w:rFonts w:ascii="Baskerville" w:eastAsia="MS PMincho" w:hAnsi="Baskerville" w:cs="Arabic Typesetting"/>
        </w:rPr>
        <w:t xml:space="preserve"> </w:t>
      </w:r>
      <w:r w:rsidR="00EC7EC1" w:rsidRPr="007B25AE">
        <w:rPr>
          <w:rFonts w:ascii="Baskerville" w:eastAsia="MS PMincho" w:hAnsi="Baskerville" w:cs="Arabic Typesetting"/>
        </w:rPr>
        <w:t xml:space="preserve"> In such a situation, </w:t>
      </w:r>
      <w:r w:rsidR="000615F2" w:rsidRPr="007B25AE">
        <w:rPr>
          <w:rFonts w:ascii="Baskerville" w:eastAsia="MS PMincho" w:hAnsi="Baskerville" w:cs="Arabic Typesetting"/>
        </w:rPr>
        <w:t xml:space="preserve">the level of </w:t>
      </w:r>
      <w:r w:rsidR="000657A2" w:rsidRPr="007B25AE">
        <w:rPr>
          <w:rFonts w:ascii="Baskerville" w:eastAsia="MS PMincho" w:hAnsi="Baskerville" w:cs="Arabic Typesetting"/>
        </w:rPr>
        <w:t>“confidence</w:t>
      </w:r>
      <w:r w:rsidR="0008220D" w:rsidRPr="007B25AE">
        <w:rPr>
          <w:rFonts w:ascii="Baskerville" w:eastAsia="MS PMincho" w:hAnsi="Baskerville" w:cs="Arabic Typesetting"/>
        </w:rPr>
        <w:t>,</w:t>
      </w:r>
      <w:r w:rsidR="000657A2" w:rsidRPr="007B25AE">
        <w:rPr>
          <w:rFonts w:ascii="Baskerville" w:eastAsia="MS PMincho" w:hAnsi="Baskerville" w:cs="Arabic Typesetting"/>
        </w:rPr>
        <w:t xml:space="preserve">” </w:t>
      </w:r>
      <w:r w:rsidR="00EC7EC1" w:rsidRPr="007B25AE">
        <w:rPr>
          <w:rFonts w:ascii="Baskerville" w:eastAsia="MS PMincho" w:hAnsi="Baskerville" w:cs="Arabic Typesetting"/>
        </w:rPr>
        <w:t xml:space="preserve">written </w:t>
      </w:r>
      <w:r w:rsidR="000657A2" w:rsidRPr="007B25AE">
        <w:rPr>
          <w:rFonts w:ascii="Baskerville" w:eastAsia="MS PMincho" w:hAnsi="Baskerville" w:cs="Arabic Typesetting"/>
        </w:rPr>
        <w:t xml:space="preserve">in </w:t>
      </w:r>
      <w:r w:rsidR="00EC7EC1" w:rsidRPr="007B25AE">
        <w:rPr>
          <w:rFonts w:ascii="Baskerville" w:eastAsia="MS PMincho" w:hAnsi="Baskerville" w:cs="Arabic Typesetting"/>
        </w:rPr>
        <w:t xml:space="preserve">a </w:t>
      </w:r>
      <w:r w:rsidR="000615F2" w:rsidRPr="007B25AE">
        <w:rPr>
          <w:rFonts w:ascii="Baskerville" w:eastAsia="MS PMincho" w:hAnsi="Baskerville" w:cs="Arabic Typesetting"/>
        </w:rPr>
        <w:t>probability</w:t>
      </w:r>
      <w:r w:rsidR="0069368E" w:rsidRPr="007B25AE">
        <w:rPr>
          <w:rFonts w:ascii="Baskerville" w:eastAsia="MS PMincho" w:hAnsi="Baskerville" w:cs="Arabic Typesetting"/>
        </w:rPr>
        <w:t xml:space="preserve"> form</w:t>
      </w:r>
      <w:r w:rsidR="000657A2" w:rsidRPr="007B25AE">
        <w:rPr>
          <w:rFonts w:ascii="Baskerville" w:eastAsia="MS PMincho" w:hAnsi="Baskerville" w:cs="Arabic Typesetting"/>
        </w:rPr>
        <w:t xml:space="preserve">, </w:t>
      </w:r>
      <w:r w:rsidR="00EC7EC1" w:rsidRPr="007B25AE">
        <w:rPr>
          <w:rFonts w:ascii="Baskerville" w:eastAsia="MS PMincho" w:hAnsi="Baskerville" w:cs="Arabic Typesetting"/>
        </w:rPr>
        <w:t xml:space="preserve">will </w:t>
      </w:r>
      <w:r w:rsidR="001A318B" w:rsidRPr="007B25AE">
        <w:rPr>
          <w:rFonts w:ascii="Baskerville" w:eastAsia="MS PMincho" w:hAnsi="Baskerville" w:cs="Arabic Typesetting"/>
        </w:rPr>
        <w:t>giv</w:t>
      </w:r>
      <w:r w:rsidR="0041772E" w:rsidRPr="007B25AE">
        <w:rPr>
          <w:rFonts w:ascii="Baskerville" w:eastAsia="MS PMincho" w:hAnsi="Baskerville" w:cs="Arabic Typesetting"/>
        </w:rPr>
        <w:t>e</w:t>
      </w:r>
      <w:r w:rsidR="000657A2" w:rsidRPr="007B25AE">
        <w:rPr>
          <w:rFonts w:ascii="Baskerville" w:eastAsia="MS PMincho" w:hAnsi="Baskerville" w:cs="Arabic Typesetting"/>
        </w:rPr>
        <w:t xml:space="preserve"> the </w:t>
      </w:r>
      <w:r w:rsidR="00B67C17" w:rsidRPr="007B25AE">
        <w:rPr>
          <w:rFonts w:ascii="Baskerville" w:eastAsia="MS PMincho" w:hAnsi="Baskerville" w:cs="Arabic Typesetting"/>
        </w:rPr>
        <w:t xml:space="preserve">statistician the green light to proceed with the </w:t>
      </w:r>
      <w:r w:rsidR="000615F2" w:rsidRPr="007B25AE">
        <w:rPr>
          <w:rFonts w:ascii="Baskerville" w:eastAsia="MS PMincho" w:hAnsi="Baskerville" w:cs="Arabic Typesetting"/>
        </w:rPr>
        <w:t>alternative hypothesis</w:t>
      </w:r>
      <w:r w:rsidR="0041772E" w:rsidRPr="007B25AE">
        <w:rPr>
          <w:rFonts w:ascii="Baskerville" w:eastAsia="MS PMincho" w:hAnsi="Baskerville" w:cs="Arabic Typesetting"/>
        </w:rPr>
        <w:t xml:space="preserve"> </w:t>
      </w:r>
      <w:r w:rsidR="00326850" w:rsidRPr="007B25AE">
        <w:rPr>
          <w:rFonts w:ascii="Baskerville" w:eastAsia="MS PMincho" w:hAnsi="Baskerville" w:cs="Arabic Typesetting"/>
        </w:rPr>
        <w:t>(H</w:t>
      </w:r>
      <w:r w:rsidR="00326850" w:rsidRPr="007B25AE">
        <w:rPr>
          <w:rFonts w:ascii="Baskerville" w:eastAsia="MS PMincho" w:hAnsi="Baskerville" w:cs="Arabic Typesetting"/>
          <w:sz w:val="32"/>
          <w:szCs w:val="32"/>
          <w:vertAlign w:val="subscript"/>
        </w:rPr>
        <w:t>a</w:t>
      </w:r>
      <w:r w:rsidR="00326850" w:rsidRPr="007B25AE">
        <w:rPr>
          <w:rFonts w:ascii="Baskerville" w:eastAsia="MS PMincho" w:hAnsi="Baskerville" w:cs="Arabic Typesetting"/>
        </w:rPr>
        <w:t>)</w:t>
      </w:r>
      <w:r w:rsidR="000657A2" w:rsidRPr="007B25AE">
        <w:rPr>
          <w:rFonts w:ascii="Baskerville" w:eastAsia="MS PMincho" w:hAnsi="Baskerville" w:cs="Arabic Typesetting"/>
        </w:rPr>
        <w:t>.</w:t>
      </w:r>
      <w:r w:rsidR="00AB64D6" w:rsidRPr="007B25AE">
        <w:rPr>
          <w:rFonts w:ascii="Baskerville" w:eastAsia="MS PMincho" w:hAnsi="Baskerville" w:cs="Arabic Typesetting"/>
        </w:rPr>
        <w:t xml:space="preserve"> </w:t>
      </w:r>
      <w:r w:rsidR="000657A2" w:rsidRPr="007B25AE">
        <w:rPr>
          <w:rFonts w:ascii="Baskerville" w:eastAsia="MS PMincho" w:hAnsi="Baskerville" w:cs="Arabic Typesetting"/>
        </w:rPr>
        <w:t xml:space="preserve"> </w:t>
      </w:r>
      <w:r w:rsidR="00EC7EC1" w:rsidRPr="007B25AE">
        <w:rPr>
          <w:rFonts w:ascii="Baskerville" w:eastAsia="MS PMincho" w:hAnsi="Baskerville" w:cs="Arabic Typesetting"/>
        </w:rPr>
        <w:t>With that</w:t>
      </w:r>
      <w:r w:rsidR="0066631D" w:rsidRPr="007B25AE">
        <w:rPr>
          <w:rFonts w:ascii="Baskerville" w:eastAsia="MS PMincho" w:hAnsi="Baskerville" w:cs="Arabic Typesetting"/>
        </w:rPr>
        <w:t xml:space="preserve">, the </w:t>
      </w:r>
      <w:r w:rsidR="000C2D00" w:rsidRPr="007B25AE">
        <w:rPr>
          <w:rFonts w:ascii="Baskerville" w:eastAsia="MS PMincho" w:hAnsi="Baskerville" w:cs="Arabic Typesetting"/>
        </w:rPr>
        <w:t xml:space="preserve">extent of the </w:t>
      </w:r>
      <w:r w:rsidR="0066631D" w:rsidRPr="007B25AE">
        <w:rPr>
          <w:rFonts w:ascii="Baskerville" w:eastAsia="MS PMincho" w:hAnsi="Baskerville" w:cs="Arabic Typesetting"/>
        </w:rPr>
        <w:t xml:space="preserve">relationship between the two </w:t>
      </w:r>
      <w:r w:rsidR="000C2D00" w:rsidRPr="007B25AE">
        <w:rPr>
          <w:rFonts w:ascii="Baskerville" w:eastAsia="MS PMincho" w:hAnsi="Baskerville" w:cs="Arabic Typesetting"/>
        </w:rPr>
        <w:t>interacting elements within</w:t>
      </w:r>
      <w:r w:rsidR="0085303D" w:rsidRPr="007B25AE">
        <w:rPr>
          <w:rFonts w:ascii="Baskerville" w:eastAsia="MS PMincho" w:hAnsi="Baskerville" w:cs="Arabic Typesetting"/>
        </w:rPr>
        <w:t xml:space="preserve"> </w:t>
      </w:r>
      <w:r w:rsidR="0066631D" w:rsidRPr="007B25AE">
        <w:rPr>
          <w:rFonts w:ascii="Baskerville" w:eastAsia="MS PMincho" w:hAnsi="Baskerville" w:cs="Arabic Typesetting"/>
        </w:rPr>
        <w:t xml:space="preserve">the </w:t>
      </w:r>
      <w:r w:rsidR="000C2D00" w:rsidRPr="007B25AE">
        <w:rPr>
          <w:rFonts w:ascii="Baskerville" w:eastAsia="MS PMincho" w:hAnsi="Baskerville" w:cs="Arabic Typesetting"/>
        </w:rPr>
        <w:t xml:space="preserve">alternative </w:t>
      </w:r>
      <w:r w:rsidR="0066631D" w:rsidRPr="007B25AE">
        <w:rPr>
          <w:rFonts w:ascii="Baskerville" w:eastAsia="MS PMincho" w:hAnsi="Baskerville" w:cs="Arabic Typesetting"/>
        </w:rPr>
        <w:t xml:space="preserve">hypothesis </w:t>
      </w:r>
      <w:r w:rsidR="00553FAA" w:rsidRPr="007B25AE">
        <w:rPr>
          <w:rFonts w:ascii="Baskerville" w:eastAsia="MS PMincho" w:hAnsi="Baskerville" w:cs="Arabic Typesetting"/>
        </w:rPr>
        <w:t>(H</w:t>
      </w:r>
      <w:r w:rsidR="00553FAA" w:rsidRPr="007B25AE">
        <w:rPr>
          <w:rFonts w:ascii="Baskerville" w:eastAsia="MS PMincho" w:hAnsi="Baskerville" w:cs="Arabic Typesetting"/>
          <w:sz w:val="32"/>
          <w:szCs w:val="32"/>
          <w:vertAlign w:val="subscript"/>
        </w:rPr>
        <w:t>a</w:t>
      </w:r>
      <w:r w:rsidR="00553FAA" w:rsidRPr="007B25AE">
        <w:rPr>
          <w:rFonts w:ascii="Baskerville" w:eastAsia="MS PMincho" w:hAnsi="Baskerville" w:cs="Arabic Typesetting"/>
        </w:rPr>
        <w:t>)</w:t>
      </w:r>
      <w:r w:rsidR="0085303D" w:rsidRPr="007B25AE">
        <w:rPr>
          <w:rFonts w:ascii="Baskerville" w:eastAsia="MS PMincho" w:hAnsi="Baskerville" w:cs="Arabic Typesetting"/>
        </w:rPr>
        <w:t xml:space="preserve"> —the independent and dependent variables—</w:t>
      </w:r>
      <w:r w:rsidR="000C2D00" w:rsidRPr="007B25AE">
        <w:rPr>
          <w:rFonts w:ascii="Baskerville" w:eastAsia="MS PMincho" w:hAnsi="Baskerville" w:cs="Arabic Typesetting"/>
        </w:rPr>
        <w:t>will</w:t>
      </w:r>
      <w:r w:rsidR="00B67C17" w:rsidRPr="007B25AE">
        <w:rPr>
          <w:rFonts w:ascii="Baskerville" w:eastAsia="MS PMincho" w:hAnsi="Baskerville" w:cs="Arabic Typesetting"/>
        </w:rPr>
        <w:t xml:space="preserve"> </w:t>
      </w:r>
      <w:r w:rsidR="000235CC" w:rsidRPr="007B25AE">
        <w:rPr>
          <w:rFonts w:ascii="Baskerville" w:eastAsia="MS PMincho" w:hAnsi="Baskerville" w:cs="Arabic Typesetting"/>
        </w:rPr>
        <w:t>continue to be</w:t>
      </w:r>
      <w:r w:rsidR="00330BF4" w:rsidRPr="007B25AE">
        <w:rPr>
          <w:rFonts w:ascii="Baskerville" w:eastAsia="MS PMincho" w:hAnsi="Baskerville" w:cs="Arabic Typesetting"/>
        </w:rPr>
        <w:t xml:space="preserve"> </w:t>
      </w:r>
      <w:r w:rsidR="0066631D" w:rsidRPr="007B25AE">
        <w:rPr>
          <w:rFonts w:ascii="Baskerville" w:eastAsia="MS PMincho" w:hAnsi="Baskerville" w:cs="Arabic Typesetting"/>
        </w:rPr>
        <w:t>t</w:t>
      </w:r>
      <w:r w:rsidR="00FB69DA" w:rsidRPr="007B25AE">
        <w:rPr>
          <w:rFonts w:ascii="Baskerville" w:eastAsia="MS PMincho" w:hAnsi="Baskerville" w:cs="Arabic Typesetting"/>
        </w:rPr>
        <w:t>he</w:t>
      </w:r>
      <w:r w:rsidR="0066631D" w:rsidRPr="007B25AE">
        <w:rPr>
          <w:rFonts w:ascii="Baskerville" w:eastAsia="MS PMincho" w:hAnsi="Baskerville" w:cs="Arabic Typesetting"/>
        </w:rPr>
        <w:t xml:space="preserve"> </w:t>
      </w:r>
      <w:r w:rsidR="000235CC" w:rsidRPr="007B25AE">
        <w:rPr>
          <w:rFonts w:ascii="Baskerville" w:eastAsia="MS PMincho" w:hAnsi="Baskerville" w:cs="Arabic Typesetting"/>
        </w:rPr>
        <w:t>driving force</w:t>
      </w:r>
      <w:r w:rsidR="00FB69DA" w:rsidRPr="007B25AE">
        <w:rPr>
          <w:rFonts w:ascii="Baskerville" w:eastAsia="MS PMincho" w:hAnsi="Baskerville" w:cs="Arabic Typesetting"/>
        </w:rPr>
        <w:t xml:space="preserve"> in the hypothenuse</w:t>
      </w:r>
      <w:r w:rsidR="0066631D" w:rsidRPr="007B25AE">
        <w:rPr>
          <w:rFonts w:ascii="Baskerville" w:eastAsia="MS PMincho" w:hAnsi="Baskerville" w:cs="Arabic Typesetting"/>
        </w:rPr>
        <w:t>.</w:t>
      </w:r>
      <w:r w:rsidR="009874E2" w:rsidRPr="007B25AE">
        <w:rPr>
          <w:rFonts w:ascii="Baskerville" w:eastAsia="MS PMincho" w:hAnsi="Baskerville" w:cs="Arabic Typesetting"/>
        </w:rPr>
        <w:t xml:space="preserve"> </w:t>
      </w:r>
      <w:r w:rsidR="00B67C17" w:rsidRPr="007B25AE">
        <w:rPr>
          <w:rFonts w:ascii="Baskerville" w:eastAsia="MS PMincho" w:hAnsi="Baskerville" w:cs="Arabic Typesetting"/>
        </w:rPr>
        <w:t>So, w</w:t>
      </w:r>
      <w:r w:rsidR="00BF4CBA" w:rsidRPr="007B25AE">
        <w:rPr>
          <w:rFonts w:ascii="Baskerville" w:eastAsia="MS PMincho" w:hAnsi="Baskerville" w:cs="Arabic Typesetting"/>
        </w:rPr>
        <w:t xml:space="preserve">henever statisticians speak of </w:t>
      </w:r>
      <w:r w:rsidR="00CB52BF" w:rsidRPr="007B25AE">
        <w:rPr>
          <w:rFonts w:ascii="Baskerville" w:eastAsia="MS PMincho" w:hAnsi="Baskerville" w:cs="Arabic Typesetting"/>
        </w:rPr>
        <w:t>the</w:t>
      </w:r>
      <w:r w:rsidR="00BF4CBA" w:rsidRPr="007B25AE">
        <w:rPr>
          <w:rFonts w:ascii="Baskerville" w:eastAsia="MS PMincho" w:hAnsi="Baskerville" w:cs="Arabic Typesetting"/>
        </w:rPr>
        <w:t xml:space="preserve"> relationship between the</w:t>
      </w:r>
      <w:r w:rsidR="000235CC" w:rsidRPr="007B25AE">
        <w:rPr>
          <w:rFonts w:ascii="Baskerville" w:eastAsia="MS PMincho" w:hAnsi="Baskerville" w:cs="Arabic Typesetting"/>
        </w:rPr>
        <w:t>se two</w:t>
      </w:r>
      <w:r w:rsidR="00B67C17" w:rsidRPr="007B25AE">
        <w:rPr>
          <w:rFonts w:ascii="Baskerville" w:eastAsia="MS PMincho" w:hAnsi="Baskerville" w:cs="Arabic Typesetting"/>
        </w:rPr>
        <w:t xml:space="preserve"> variables</w:t>
      </w:r>
      <w:r w:rsidR="00BF4CBA" w:rsidRPr="007B25AE">
        <w:rPr>
          <w:rFonts w:ascii="Baskerville" w:eastAsia="MS PMincho" w:hAnsi="Baskerville" w:cs="Arabic Typesetting"/>
        </w:rPr>
        <w:t xml:space="preserve"> in </w:t>
      </w:r>
      <w:r w:rsidR="000235CC" w:rsidRPr="007B25AE">
        <w:rPr>
          <w:rFonts w:ascii="Baskerville" w:eastAsia="MS PMincho" w:hAnsi="Baskerville" w:cs="Arabic Typesetting"/>
        </w:rPr>
        <w:t>the</w:t>
      </w:r>
      <w:r w:rsidR="00BF4CBA" w:rsidRPr="007B25AE">
        <w:rPr>
          <w:rFonts w:ascii="Baskerville" w:eastAsia="MS PMincho" w:hAnsi="Baskerville" w:cs="Arabic Typesetting"/>
        </w:rPr>
        <w:t xml:space="preserve"> hypothesis</w:t>
      </w:r>
      <w:r w:rsidR="00484800" w:rsidRPr="007B25AE">
        <w:rPr>
          <w:rFonts w:ascii="Baskerville" w:eastAsia="MS PMincho" w:hAnsi="Baskerville" w:cs="Arabic Typesetting"/>
        </w:rPr>
        <w:t xml:space="preserve">, </w:t>
      </w:r>
      <w:r w:rsidR="00BF4CBA" w:rsidRPr="007B25AE">
        <w:rPr>
          <w:rFonts w:ascii="Baskerville" w:eastAsia="MS PMincho" w:hAnsi="Baskerville" w:cs="Arabic Typesetting"/>
        </w:rPr>
        <w:t>they are</w:t>
      </w:r>
      <w:r w:rsidR="0047055F" w:rsidRPr="007B25AE">
        <w:rPr>
          <w:rFonts w:ascii="Baskerville" w:eastAsia="MS PMincho" w:hAnsi="Baskerville" w:cs="Arabic Typesetting"/>
        </w:rPr>
        <w:t xml:space="preserve"> </w:t>
      </w:r>
      <w:r w:rsidR="000235CC" w:rsidRPr="007B25AE">
        <w:rPr>
          <w:rFonts w:ascii="Baskerville" w:eastAsia="MS PMincho" w:hAnsi="Baskerville" w:cs="Arabic Typesetting"/>
        </w:rPr>
        <w:t>speaking of</w:t>
      </w:r>
      <w:r w:rsidR="00BF4CBA" w:rsidRPr="007B25AE">
        <w:rPr>
          <w:rFonts w:ascii="Baskerville" w:eastAsia="MS PMincho" w:hAnsi="Baskerville" w:cs="Arabic Typesetting"/>
        </w:rPr>
        <w:t xml:space="preserve"> </w:t>
      </w:r>
      <w:r w:rsidR="00FB69DA" w:rsidRPr="007B25AE">
        <w:rPr>
          <w:rFonts w:ascii="Baskerville" w:eastAsia="MS PMincho" w:hAnsi="Baskerville" w:cs="Arabic Typesetting"/>
        </w:rPr>
        <w:t xml:space="preserve">a kind of “resultant” </w:t>
      </w:r>
      <w:r w:rsidR="00595ACC" w:rsidRPr="007B25AE">
        <w:rPr>
          <w:rFonts w:ascii="Baskerville" w:eastAsia="MS PMincho" w:hAnsi="Baskerville" w:cs="Arabic Typesetting"/>
        </w:rPr>
        <w:t xml:space="preserve">effect </w:t>
      </w:r>
      <w:r w:rsidR="00FB69DA" w:rsidRPr="007B25AE">
        <w:rPr>
          <w:rFonts w:ascii="Baskerville" w:eastAsia="MS PMincho" w:hAnsi="Baskerville" w:cs="Arabic Typesetting"/>
        </w:rPr>
        <w:t>of</w:t>
      </w:r>
      <w:r w:rsidR="00595ACC" w:rsidRPr="007B25AE">
        <w:rPr>
          <w:rFonts w:ascii="Baskerville" w:eastAsia="MS PMincho" w:hAnsi="Baskerville" w:cs="Arabic Typesetting"/>
        </w:rPr>
        <w:t xml:space="preserve"> the </w:t>
      </w:r>
      <w:r w:rsidR="00BF4CBA" w:rsidRPr="007B25AE">
        <w:rPr>
          <w:rFonts w:ascii="Baskerville" w:eastAsia="MS PMincho" w:hAnsi="Baskerville" w:cs="Arabic Typesetting"/>
        </w:rPr>
        <w:t xml:space="preserve">independent </w:t>
      </w:r>
      <w:r w:rsidR="000235CC" w:rsidRPr="007B25AE">
        <w:rPr>
          <w:rFonts w:ascii="Baskerville" w:eastAsia="MS PMincho" w:hAnsi="Baskerville" w:cs="Arabic Typesetting"/>
        </w:rPr>
        <w:t xml:space="preserve">variable </w:t>
      </w:r>
      <w:r w:rsidR="00FB69DA" w:rsidRPr="007B25AE">
        <w:rPr>
          <w:rFonts w:ascii="Baskerville" w:eastAsia="MS PMincho" w:hAnsi="Baskerville" w:cs="Arabic Typesetting"/>
        </w:rPr>
        <w:t>up</w:t>
      </w:r>
      <w:r w:rsidR="00595ACC" w:rsidRPr="007B25AE">
        <w:rPr>
          <w:rFonts w:ascii="Baskerville" w:eastAsia="MS PMincho" w:hAnsi="Baskerville" w:cs="Arabic Typesetting"/>
        </w:rPr>
        <w:t>on</w:t>
      </w:r>
      <w:r w:rsidR="00BF4CBA" w:rsidRPr="007B25AE">
        <w:rPr>
          <w:rFonts w:ascii="Baskerville" w:eastAsia="MS PMincho" w:hAnsi="Baskerville" w:cs="Arabic Typesetting"/>
        </w:rPr>
        <w:t xml:space="preserve"> the dependent variable</w:t>
      </w:r>
      <w:r w:rsidR="00CB52BF" w:rsidRPr="007B25AE">
        <w:rPr>
          <w:rFonts w:ascii="Baskerville" w:eastAsia="MS PMincho" w:hAnsi="Baskerville" w:cs="Arabic Typesetting"/>
        </w:rPr>
        <w:t>.</w:t>
      </w:r>
      <w:r w:rsidR="00BF4CBA" w:rsidRPr="007B25AE">
        <w:rPr>
          <w:rFonts w:ascii="Baskerville" w:eastAsia="MS PMincho" w:hAnsi="Baskerville" w:cs="Arabic Typesetting"/>
        </w:rPr>
        <w:t xml:space="preserve"> </w:t>
      </w:r>
      <w:r w:rsidR="000235CC" w:rsidRPr="007B25AE">
        <w:rPr>
          <w:rFonts w:ascii="Baskerville" w:eastAsia="MS PMincho" w:hAnsi="Baskerville" w:cs="Arabic Typesetting"/>
        </w:rPr>
        <w:t>P</w:t>
      </w:r>
      <w:r w:rsidR="00321280" w:rsidRPr="007B25AE">
        <w:rPr>
          <w:rFonts w:ascii="Baskerville" w:eastAsia="MS PMincho" w:hAnsi="Baskerville" w:cs="Arabic Typesetting"/>
        </w:rPr>
        <w:t xml:space="preserve">erhaps the best, most concise </w:t>
      </w:r>
      <w:r w:rsidR="00FB69DA" w:rsidRPr="007B25AE">
        <w:rPr>
          <w:rFonts w:ascii="Baskerville" w:eastAsia="MS PMincho" w:hAnsi="Baskerville" w:cs="Arabic Typesetting"/>
        </w:rPr>
        <w:t xml:space="preserve">way of </w:t>
      </w:r>
      <w:r w:rsidR="00321280" w:rsidRPr="007B25AE">
        <w:rPr>
          <w:rFonts w:ascii="Baskerville" w:eastAsia="MS PMincho" w:hAnsi="Baskerville" w:cs="Arabic Typesetting"/>
        </w:rPr>
        <w:t>descri</w:t>
      </w:r>
      <w:r w:rsidR="00FB69DA" w:rsidRPr="007B25AE">
        <w:rPr>
          <w:rFonts w:ascii="Baskerville" w:eastAsia="MS PMincho" w:hAnsi="Baskerville" w:cs="Arabic Typesetting"/>
        </w:rPr>
        <w:t>bing the nature</w:t>
      </w:r>
      <w:r w:rsidR="0091036C" w:rsidRPr="007B25AE">
        <w:rPr>
          <w:rFonts w:ascii="Baskerville" w:eastAsia="MS PMincho" w:hAnsi="Baskerville" w:cs="Arabic Typesetting"/>
        </w:rPr>
        <w:t xml:space="preserve"> </w:t>
      </w:r>
      <w:r w:rsidR="00AB22DF" w:rsidRPr="007B25AE">
        <w:rPr>
          <w:rFonts w:ascii="Baskerville" w:eastAsia="MS PMincho" w:hAnsi="Baskerville" w:cs="Arabic Typesetting"/>
        </w:rPr>
        <w:t>of</w:t>
      </w:r>
      <w:r w:rsidR="00321280" w:rsidRPr="007B25AE">
        <w:rPr>
          <w:rFonts w:ascii="Baskerville" w:eastAsia="MS PMincho" w:hAnsi="Baskerville" w:cs="Arabic Typesetting"/>
        </w:rPr>
        <w:t xml:space="preserve"> the</w:t>
      </w:r>
      <w:r w:rsidR="0047055F" w:rsidRPr="007B25AE">
        <w:rPr>
          <w:rFonts w:ascii="Baskerville" w:eastAsia="MS PMincho" w:hAnsi="Baskerville" w:cs="Arabic Typesetting"/>
        </w:rPr>
        <w:t>se</w:t>
      </w:r>
      <w:r w:rsidR="00321280" w:rsidRPr="007B25AE">
        <w:rPr>
          <w:rFonts w:ascii="Baskerville" w:eastAsia="MS PMincho" w:hAnsi="Baskerville" w:cs="Arabic Typesetting"/>
        </w:rPr>
        <w:t xml:space="preserve"> </w:t>
      </w:r>
      <w:r w:rsidR="00FB69DA" w:rsidRPr="007B25AE">
        <w:rPr>
          <w:rFonts w:ascii="Baskerville" w:eastAsia="MS PMincho" w:hAnsi="Baskerville" w:cs="Arabic Typesetting"/>
        </w:rPr>
        <w:t xml:space="preserve">two </w:t>
      </w:r>
      <w:r w:rsidR="00321280" w:rsidRPr="007B25AE">
        <w:rPr>
          <w:rFonts w:ascii="Baskerville" w:eastAsia="MS PMincho" w:hAnsi="Baskerville" w:cs="Arabic Typesetting"/>
        </w:rPr>
        <w:t>variables</w:t>
      </w:r>
      <w:r w:rsidR="009874E2" w:rsidRPr="007B25AE">
        <w:rPr>
          <w:rFonts w:ascii="Baskerville" w:eastAsia="MS PMincho" w:hAnsi="Baskerville" w:cs="Arabic Typesetting"/>
        </w:rPr>
        <w:t>,</w:t>
      </w:r>
      <w:r w:rsidR="00321280" w:rsidRPr="007B25AE">
        <w:rPr>
          <w:rFonts w:ascii="Baskerville" w:eastAsia="MS PMincho" w:hAnsi="Baskerville" w:cs="Arabic Typesetting"/>
        </w:rPr>
        <w:t xml:space="preserve"> </w:t>
      </w:r>
      <w:r w:rsidR="00AB22DF" w:rsidRPr="007B25AE">
        <w:rPr>
          <w:rFonts w:ascii="Baskerville" w:eastAsia="MS PMincho" w:hAnsi="Baskerville" w:cs="Arabic Typesetting"/>
        </w:rPr>
        <w:t>and the</w:t>
      </w:r>
      <w:r w:rsidR="00484800" w:rsidRPr="007B25AE">
        <w:rPr>
          <w:rFonts w:ascii="Baskerville" w:eastAsia="MS PMincho" w:hAnsi="Baskerville" w:cs="Arabic Typesetting"/>
        </w:rPr>
        <w:t xml:space="preserve"> way they interact</w:t>
      </w:r>
      <w:r w:rsidR="001F7A7B" w:rsidRPr="007B25AE">
        <w:rPr>
          <w:rFonts w:ascii="Baskerville" w:eastAsia="MS PMincho" w:hAnsi="Baskerville" w:cs="Arabic Typesetting"/>
        </w:rPr>
        <w:t xml:space="preserve"> with each other</w:t>
      </w:r>
      <w:r w:rsidR="009874E2" w:rsidRPr="007B25AE">
        <w:rPr>
          <w:rFonts w:ascii="Baskerville" w:eastAsia="MS PMincho" w:hAnsi="Baskerville" w:cs="Arabic Typesetting"/>
        </w:rPr>
        <w:t>,</w:t>
      </w:r>
      <w:r w:rsidR="00AB22DF" w:rsidRPr="007B25AE">
        <w:rPr>
          <w:rFonts w:ascii="Baskerville" w:eastAsia="MS PMincho" w:hAnsi="Baskerville" w:cs="Arabic Typesetting"/>
        </w:rPr>
        <w:t xml:space="preserve"> </w:t>
      </w:r>
      <w:r w:rsidR="000235CC" w:rsidRPr="007B25AE">
        <w:rPr>
          <w:rFonts w:ascii="Baskerville" w:eastAsia="MS PMincho" w:hAnsi="Baskerville" w:cs="Arabic Typesetting"/>
        </w:rPr>
        <w:t>may</w:t>
      </w:r>
      <w:r w:rsidR="00595ACC" w:rsidRPr="007B25AE">
        <w:rPr>
          <w:rFonts w:ascii="Baskerville" w:eastAsia="MS PMincho" w:hAnsi="Baskerville" w:cs="Arabic Typesetting"/>
        </w:rPr>
        <w:t xml:space="preserve"> once again</w:t>
      </w:r>
      <w:r w:rsidR="00AB64D6" w:rsidRPr="007B25AE">
        <w:rPr>
          <w:rFonts w:ascii="Baskerville" w:eastAsia="MS PMincho" w:hAnsi="Baskerville" w:cs="Arabic Typesetting"/>
        </w:rPr>
        <w:t>,</w:t>
      </w:r>
      <w:r w:rsidR="00595ACC" w:rsidRPr="007B25AE">
        <w:rPr>
          <w:rFonts w:ascii="Baskerville" w:eastAsia="MS PMincho" w:hAnsi="Baskerville" w:cs="Arabic Typesetting"/>
        </w:rPr>
        <w:t xml:space="preserve"> </w:t>
      </w:r>
      <w:r w:rsidR="000235CC" w:rsidRPr="007B25AE">
        <w:rPr>
          <w:rFonts w:ascii="Baskerville" w:eastAsia="MS PMincho" w:hAnsi="Baskerville" w:cs="Arabic Typesetting"/>
        </w:rPr>
        <w:t xml:space="preserve">be </w:t>
      </w:r>
      <w:r w:rsidR="001F7A7B" w:rsidRPr="007B25AE">
        <w:rPr>
          <w:rFonts w:ascii="Baskerville" w:eastAsia="MS PMincho" w:hAnsi="Baskerville" w:cs="Arabic Typesetting"/>
        </w:rPr>
        <w:t xml:space="preserve">a </w:t>
      </w:r>
      <w:r w:rsidR="00321280" w:rsidRPr="007B25AE">
        <w:rPr>
          <w:rFonts w:ascii="Baskerville" w:eastAsia="MS PMincho" w:hAnsi="Baskerville" w:cs="Arabic Typesetting"/>
        </w:rPr>
        <w:t>m</w:t>
      </w:r>
      <w:r w:rsidR="00BF4CBA" w:rsidRPr="007B25AE">
        <w:rPr>
          <w:rFonts w:ascii="Baskerville" w:eastAsia="MS PMincho" w:hAnsi="Baskerville" w:cs="Arabic Typesetting"/>
        </w:rPr>
        <w:t>athematical</w:t>
      </w:r>
      <w:r w:rsidR="00AB22DF" w:rsidRPr="007B25AE">
        <w:rPr>
          <w:rFonts w:ascii="Baskerville" w:eastAsia="MS PMincho" w:hAnsi="Baskerville" w:cs="Arabic Typesetting"/>
        </w:rPr>
        <w:t xml:space="preserve"> one. </w:t>
      </w:r>
      <w:r w:rsidR="00326850" w:rsidRPr="007B25AE">
        <w:rPr>
          <w:rFonts w:ascii="Baskerville" w:eastAsia="MS PMincho" w:hAnsi="Baskerville" w:cs="Arabic Typesetting"/>
          <w:vertAlign w:val="subscript"/>
        </w:rPr>
        <w:t xml:space="preserve"> </w:t>
      </w:r>
    </w:p>
    <w:p w14:paraId="242FB722" w14:textId="266F9404" w:rsidR="00061986" w:rsidRPr="007B25AE" w:rsidRDefault="009F5872" w:rsidP="00457080">
      <w:pPr>
        <w:spacing w:line="360" w:lineRule="auto"/>
        <w:ind w:firstLine="720"/>
        <w:rPr>
          <w:rFonts w:ascii="Baskerville" w:eastAsia="MS PMincho" w:hAnsi="Baskerville" w:cs="Arabic Typesetting"/>
        </w:rPr>
      </w:pPr>
      <w:proofErr w:type="gramStart"/>
      <w:r w:rsidRPr="007B25AE">
        <w:rPr>
          <w:rFonts w:ascii="Baskerville" w:eastAsia="MS PMincho" w:hAnsi="Baskerville" w:cs="Arabic Typesetting"/>
        </w:rPr>
        <w:t>In order t</w:t>
      </w:r>
      <w:r w:rsidR="000F0D5F" w:rsidRPr="007B25AE">
        <w:rPr>
          <w:rFonts w:ascii="Baskerville" w:eastAsia="MS PMincho" w:hAnsi="Baskerville" w:cs="Arabic Typesetting"/>
        </w:rPr>
        <w:t>o</w:t>
      </w:r>
      <w:proofErr w:type="gramEnd"/>
      <w:r w:rsidR="000F0D5F" w:rsidRPr="007B25AE">
        <w:rPr>
          <w:rFonts w:ascii="Baskerville" w:eastAsia="MS PMincho" w:hAnsi="Baskerville" w:cs="Arabic Typesetting"/>
        </w:rPr>
        <w:t xml:space="preserve"> </w:t>
      </w:r>
      <w:r w:rsidRPr="007B25AE">
        <w:rPr>
          <w:rFonts w:ascii="Baskerville" w:eastAsia="MS PMincho" w:hAnsi="Baskerville" w:cs="Arabic Typesetting"/>
        </w:rPr>
        <w:t>f</w:t>
      </w:r>
      <w:r w:rsidR="000F0D5F" w:rsidRPr="007B25AE">
        <w:rPr>
          <w:rFonts w:ascii="Baskerville" w:eastAsia="MS PMincho" w:hAnsi="Baskerville" w:cs="Arabic Typesetting"/>
        </w:rPr>
        <w:t>u</w:t>
      </w:r>
      <w:r w:rsidRPr="007B25AE">
        <w:rPr>
          <w:rFonts w:ascii="Baskerville" w:eastAsia="MS PMincho" w:hAnsi="Baskerville" w:cs="Arabic Typesetting"/>
        </w:rPr>
        <w:t>l</w:t>
      </w:r>
      <w:r w:rsidR="000F0D5F" w:rsidRPr="007B25AE">
        <w:rPr>
          <w:rFonts w:ascii="Baskerville" w:eastAsia="MS PMincho" w:hAnsi="Baskerville" w:cs="Arabic Typesetting"/>
        </w:rPr>
        <w:t xml:space="preserve">ly </w:t>
      </w:r>
      <w:r w:rsidRPr="007B25AE">
        <w:rPr>
          <w:rFonts w:ascii="Baskerville" w:eastAsia="MS PMincho" w:hAnsi="Baskerville" w:cs="Arabic Typesetting"/>
        </w:rPr>
        <w:t>appreciate</w:t>
      </w:r>
      <w:r w:rsidR="000C1B40" w:rsidRPr="007B25AE">
        <w:rPr>
          <w:rFonts w:ascii="Baskerville" w:eastAsia="MS PMincho" w:hAnsi="Baskerville" w:cs="Arabic Typesetting"/>
        </w:rPr>
        <w:t xml:space="preserve"> the nature of</w:t>
      </w:r>
      <w:r w:rsidR="000F0D5F" w:rsidRPr="007B25AE">
        <w:rPr>
          <w:rFonts w:ascii="Baskerville" w:eastAsia="MS PMincho" w:hAnsi="Baskerville" w:cs="Arabic Typesetting"/>
        </w:rPr>
        <w:t xml:space="preserve"> </w:t>
      </w:r>
      <w:r w:rsidR="00AB22DF" w:rsidRPr="007B25AE">
        <w:rPr>
          <w:rFonts w:ascii="Baskerville" w:eastAsia="MS PMincho" w:hAnsi="Baskerville" w:cs="Arabic Typesetting"/>
        </w:rPr>
        <w:t>the independent and dependent variables</w:t>
      </w:r>
      <w:r w:rsidR="001F7A7B" w:rsidRPr="007B25AE">
        <w:rPr>
          <w:rFonts w:ascii="Baskerville" w:eastAsia="MS PMincho" w:hAnsi="Baskerville" w:cs="Arabic Typesetting"/>
        </w:rPr>
        <w:t>,</w:t>
      </w:r>
      <w:r w:rsidR="00AB22DF" w:rsidRPr="007B25AE">
        <w:rPr>
          <w:rFonts w:ascii="Baskerville" w:eastAsia="MS PMincho" w:hAnsi="Baskerville" w:cs="Arabic Typesetting"/>
        </w:rPr>
        <w:t xml:space="preserve"> </w:t>
      </w:r>
      <w:r w:rsidR="000F0D5F" w:rsidRPr="007B25AE">
        <w:rPr>
          <w:rFonts w:ascii="Baskerville" w:eastAsia="MS PMincho" w:hAnsi="Baskerville" w:cs="Arabic Typesetting"/>
        </w:rPr>
        <w:t>in the</w:t>
      </w:r>
      <w:r w:rsidR="00857220" w:rsidRPr="007B25AE">
        <w:rPr>
          <w:rFonts w:ascii="Baskerville" w:eastAsia="MS PMincho" w:hAnsi="Baskerville" w:cs="Arabic Typesetting"/>
        </w:rPr>
        <w:t xml:space="preserve">ir </w:t>
      </w:r>
      <w:r w:rsidR="001F7A7B" w:rsidRPr="007B25AE">
        <w:rPr>
          <w:rFonts w:ascii="Baskerville" w:eastAsia="MS PMincho" w:hAnsi="Baskerville" w:cs="Arabic Typesetting"/>
        </w:rPr>
        <w:t>respective roles</w:t>
      </w:r>
      <w:r w:rsidR="00D5291F" w:rsidRPr="007B25AE">
        <w:rPr>
          <w:rFonts w:ascii="Baskerville" w:eastAsia="MS PMincho" w:hAnsi="Baskerville" w:cs="Arabic Typesetting"/>
        </w:rPr>
        <w:t xml:space="preserve"> as the vital </w:t>
      </w:r>
      <w:r w:rsidR="00167BC0" w:rsidRPr="007B25AE">
        <w:rPr>
          <w:rFonts w:ascii="Baskerville" w:eastAsia="MS PMincho" w:hAnsi="Baskerville" w:cs="Arabic Typesetting"/>
        </w:rPr>
        <w:t>essence of</w:t>
      </w:r>
      <w:r w:rsidR="00D5291F" w:rsidRPr="007B25AE">
        <w:rPr>
          <w:rFonts w:ascii="Baskerville" w:eastAsia="MS PMincho" w:hAnsi="Baskerville" w:cs="Arabic Typesetting"/>
        </w:rPr>
        <w:t xml:space="preserve"> </w:t>
      </w:r>
      <w:r w:rsidR="00635C41" w:rsidRPr="007B25AE">
        <w:rPr>
          <w:rFonts w:ascii="Baskerville" w:eastAsia="MS PMincho" w:hAnsi="Baskerville" w:cs="Arabic Typesetting"/>
        </w:rPr>
        <w:t>the</w:t>
      </w:r>
      <w:r w:rsidR="00EA5384" w:rsidRPr="007B25AE">
        <w:rPr>
          <w:rFonts w:ascii="Baskerville" w:eastAsia="MS PMincho" w:hAnsi="Baskerville" w:cs="Arabic Typesetting"/>
        </w:rPr>
        <w:t xml:space="preserve"> hypothesis</w:t>
      </w:r>
      <w:r w:rsidR="000C1B40" w:rsidRPr="007B25AE">
        <w:rPr>
          <w:rFonts w:ascii="Baskerville" w:eastAsia="MS PMincho" w:hAnsi="Baskerville" w:cs="Arabic Typesetting"/>
        </w:rPr>
        <w:t xml:space="preserve">, </w:t>
      </w:r>
      <w:r w:rsidR="00017DD0" w:rsidRPr="007B25AE">
        <w:rPr>
          <w:rFonts w:ascii="Baskerville" w:eastAsia="MS PMincho" w:hAnsi="Baskerville" w:cs="Arabic Typesetting"/>
        </w:rPr>
        <w:t xml:space="preserve">and hence, </w:t>
      </w:r>
      <w:r w:rsidR="009874E2" w:rsidRPr="007B25AE">
        <w:rPr>
          <w:rFonts w:ascii="Baskerville" w:eastAsia="MS PMincho" w:hAnsi="Baskerville" w:cs="Arabic Typesetting"/>
        </w:rPr>
        <w:t xml:space="preserve">the essence </w:t>
      </w:r>
      <w:r w:rsidR="00167BC0" w:rsidRPr="007B25AE">
        <w:rPr>
          <w:rFonts w:ascii="Baskerville" w:eastAsia="MS PMincho" w:hAnsi="Baskerville" w:cs="Arabic Typesetting"/>
        </w:rPr>
        <w:t>of</w:t>
      </w:r>
      <w:r w:rsidRPr="007B25AE">
        <w:rPr>
          <w:rFonts w:ascii="Baskerville" w:eastAsia="MS PMincho" w:hAnsi="Baskerville" w:cs="Arabic Typesetting"/>
        </w:rPr>
        <w:t xml:space="preserve"> </w:t>
      </w:r>
      <w:r w:rsidR="00017DD0" w:rsidRPr="007B25AE">
        <w:rPr>
          <w:rFonts w:ascii="Baskerville" w:eastAsia="MS PMincho" w:hAnsi="Baskerville" w:cs="Arabic Typesetting"/>
        </w:rPr>
        <w:t xml:space="preserve">the research, </w:t>
      </w:r>
      <w:r w:rsidR="000C1B40" w:rsidRPr="007B25AE">
        <w:rPr>
          <w:rFonts w:ascii="Baskerville" w:eastAsia="MS PMincho" w:hAnsi="Baskerville" w:cs="Arabic Typesetting"/>
        </w:rPr>
        <w:t xml:space="preserve">one </w:t>
      </w:r>
      <w:r w:rsidRPr="007B25AE">
        <w:rPr>
          <w:rFonts w:ascii="Baskerville" w:eastAsia="MS PMincho" w:hAnsi="Baskerville" w:cs="Arabic Typesetting"/>
        </w:rPr>
        <w:t>nee</w:t>
      </w:r>
      <w:r w:rsidR="000C1B40" w:rsidRPr="007B25AE">
        <w:rPr>
          <w:rFonts w:ascii="Baskerville" w:eastAsia="MS PMincho" w:hAnsi="Baskerville" w:cs="Arabic Typesetting"/>
        </w:rPr>
        <w:t>d</w:t>
      </w:r>
      <w:r w:rsidR="00484800" w:rsidRPr="007B25AE">
        <w:rPr>
          <w:rFonts w:ascii="Baskerville" w:eastAsia="MS PMincho" w:hAnsi="Baskerville" w:cs="Arabic Typesetting"/>
        </w:rPr>
        <w:t>,</w:t>
      </w:r>
      <w:r w:rsidR="000C1B40" w:rsidRPr="007B25AE">
        <w:rPr>
          <w:rFonts w:ascii="Baskerville" w:eastAsia="MS PMincho" w:hAnsi="Baskerville" w:cs="Arabic Typesetting"/>
        </w:rPr>
        <w:t xml:space="preserve"> first</w:t>
      </w:r>
      <w:r w:rsidRPr="007B25AE">
        <w:rPr>
          <w:rFonts w:ascii="Baskerville" w:eastAsia="MS PMincho" w:hAnsi="Baskerville" w:cs="Arabic Typesetting"/>
        </w:rPr>
        <w:t>,</w:t>
      </w:r>
      <w:r w:rsidR="00AD24B6" w:rsidRPr="007B25AE">
        <w:rPr>
          <w:rFonts w:ascii="Baskerville" w:eastAsia="MS PMincho" w:hAnsi="Baskerville" w:cs="Arabic Typesetting"/>
        </w:rPr>
        <w:t xml:space="preserve"> to</w:t>
      </w:r>
      <w:r w:rsidR="000C1B40" w:rsidRPr="007B25AE">
        <w:rPr>
          <w:rFonts w:ascii="Baskerville" w:eastAsia="MS PMincho" w:hAnsi="Baskerville" w:cs="Arabic Typesetting"/>
        </w:rPr>
        <w:t xml:space="preserve"> </w:t>
      </w:r>
      <w:r w:rsidR="00484800" w:rsidRPr="007B25AE">
        <w:rPr>
          <w:rFonts w:ascii="Baskerville" w:eastAsia="MS PMincho" w:hAnsi="Baskerville" w:cs="Arabic Typesetting"/>
        </w:rPr>
        <w:t>acknowledge</w:t>
      </w:r>
      <w:r w:rsidR="000C1B40" w:rsidRPr="007B25AE">
        <w:rPr>
          <w:rFonts w:ascii="Baskerville" w:eastAsia="MS PMincho" w:hAnsi="Baskerville" w:cs="Arabic Typesetting"/>
        </w:rPr>
        <w:t xml:space="preserve"> </w:t>
      </w:r>
      <w:r w:rsidR="00AD24B6" w:rsidRPr="007B25AE">
        <w:rPr>
          <w:rFonts w:ascii="Baskerville" w:eastAsia="MS PMincho" w:hAnsi="Baskerville" w:cs="Arabic Typesetting"/>
        </w:rPr>
        <w:t xml:space="preserve">the </w:t>
      </w:r>
      <w:r w:rsidR="00484800" w:rsidRPr="007B25AE">
        <w:rPr>
          <w:rFonts w:ascii="Baskerville" w:eastAsia="MS PMincho" w:hAnsi="Baskerville" w:cs="Arabic Typesetting"/>
        </w:rPr>
        <w:t>importance</w:t>
      </w:r>
      <w:r w:rsidR="00AD24B6" w:rsidRPr="007B25AE">
        <w:rPr>
          <w:rFonts w:ascii="Baskerville" w:eastAsia="MS PMincho" w:hAnsi="Baskerville" w:cs="Arabic Typesetting"/>
        </w:rPr>
        <w:t xml:space="preserve"> of the</w:t>
      </w:r>
      <w:r w:rsidR="00EC3990" w:rsidRPr="007B25AE">
        <w:rPr>
          <w:rFonts w:ascii="Baskerville" w:eastAsia="MS PMincho" w:hAnsi="Baskerville" w:cs="Arabic Typesetting"/>
        </w:rPr>
        <w:t xml:space="preserve"> </w:t>
      </w:r>
      <w:r w:rsidR="009778BE" w:rsidRPr="007B25AE">
        <w:rPr>
          <w:rFonts w:ascii="Baskerville" w:eastAsia="MS PMincho" w:hAnsi="Baskerville" w:cs="Arabic Typesetting"/>
        </w:rPr>
        <w:t xml:space="preserve">convention which assigns the </w:t>
      </w:r>
      <w:r w:rsidR="009874E2" w:rsidRPr="007B25AE">
        <w:rPr>
          <w:rFonts w:ascii="Baskerville" w:eastAsia="MS PMincho" w:hAnsi="Baskerville" w:cs="Arabic Typesetting"/>
        </w:rPr>
        <w:t xml:space="preserve">“linear </w:t>
      </w:r>
      <w:r w:rsidRPr="007B25AE">
        <w:rPr>
          <w:rFonts w:ascii="Baskerville" w:eastAsia="MS PMincho" w:hAnsi="Baskerville" w:cs="Arabic Typesetting"/>
        </w:rPr>
        <w:t>substitution</w:t>
      </w:r>
      <w:r w:rsidR="009874E2" w:rsidRPr="007B25AE">
        <w:rPr>
          <w:rFonts w:ascii="Baskerville" w:eastAsia="MS PMincho" w:hAnsi="Baskerville" w:cs="Arabic Typesetting"/>
        </w:rPr>
        <w:t>”</w:t>
      </w:r>
      <w:r w:rsidRPr="007B25AE">
        <w:rPr>
          <w:rFonts w:ascii="Baskerville" w:eastAsia="MS PMincho" w:hAnsi="Baskerville" w:cs="Arabic Typesetting"/>
        </w:rPr>
        <w:t xml:space="preserve"> of</w:t>
      </w:r>
      <w:r w:rsidR="00EC3990" w:rsidRPr="007B25AE">
        <w:rPr>
          <w:rFonts w:ascii="Baskerville" w:eastAsia="MS PMincho" w:hAnsi="Baskerville" w:cs="Arabic Typesetting"/>
        </w:rPr>
        <w:t xml:space="preserve"> the Cartesian variables,</w:t>
      </w:r>
      <w:r w:rsidR="00017DD0" w:rsidRPr="007B25AE">
        <w:rPr>
          <w:rFonts w:ascii="Baskerville" w:eastAsia="MS PMincho" w:hAnsi="Baskerville" w:cs="Arabic Typesetting"/>
        </w:rPr>
        <w:t xml:space="preserve"> </w:t>
      </w:r>
      <w:r w:rsidR="002D6ED4" w:rsidRPr="007B25AE">
        <w:rPr>
          <w:rFonts w:ascii="Baskerville" w:eastAsia="MS PMincho" w:hAnsi="Baskerville" w:cs="Arabic Typesetting"/>
        </w:rPr>
        <w:t>x and y</w:t>
      </w:r>
      <w:r w:rsidR="00DA4E79" w:rsidRPr="007B25AE">
        <w:rPr>
          <w:rFonts w:ascii="Baskerville" w:eastAsia="MS PMincho" w:hAnsi="Baskerville" w:cs="Arabic Typesetting"/>
        </w:rPr>
        <w:t xml:space="preserve"> </w:t>
      </w:r>
      <w:r w:rsidR="00187D85" w:rsidRPr="007B25AE">
        <w:rPr>
          <w:rFonts w:ascii="Baskerville" w:eastAsia="MS PMincho" w:hAnsi="Baskerville" w:cs="Arabic Typesetting"/>
        </w:rPr>
        <w:t>to</w:t>
      </w:r>
      <w:r w:rsidR="00DA4E79" w:rsidRPr="007B25AE">
        <w:rPr>
          <w:rFonts w:ascii="Baskerville" w:eastAsia="MS PMincho" w:hAnsi="Baskerville" w:cs="Arabic Typesetting"/>
        </w:rPr>
        <w:t xml:space="preserve"> the</w:t>
      </w:r>
      <w:r w:rsidR="009778BE" w:rsidRPr="007B25AE">
        <w:rPr>
          <w:rFonts w:ascii="Baskerville" w:eastAsia="MS PMincho" w:hAnsi="Baskerville" w:cs="Arabic Typesetting"/>
        </w:rPr>
        <w:t xml:space="preserve"> independent and dependent</w:t>
      </w:r>
      <w:r w:rsidR="00DA4E79" w:rsidRPr="007B25AE">
        <w:rPr>
          <w:rFonts w:ascii="Baskerville" w:eastAsia="MS PMincho" w:hAnsi="Baskerville" w:cs="Arabic Typesetting"/>
        </w:rPr>
        <w:t xml:space="preserve"> variables</w:t>
      </w:r>
      <w:r w:rsidR="00EC3990" w:rsidRPr="007B25AE">
        <w:rPr>
          <w:rFonts w:ascii="Baskerville" w:eastAsia="MS PMincho" w:hAnsi="Baskerville" w:cs="Arabic Typesetting"/>
        </w:rPr>
        <w:t>,</w:t>
      </w:r>
      <w:r w:rsidR="002D6ED4" w:rsidRPr="007B25AE">
        <w:rPr>
          <w:rFonts w:ascii="Baskerville" w:eastAsia="MS PMincho" w:hAnsi="Baskerville" w:cs="Arabic Typesetting"/>
        </w:rPr>
        <w:t xml:space="preserve"> </w:t>
      </w:r>
      <w:r w:rsidR="00D5291F" w:rsidRPr="007B25AE">
        <w:rPr>
          <w:rFonts w:ascii="Baskerville" w:eastAsia="MS PMincho" w:hAnsi="Baskerville" w:cs="Arabic Typesetting"/>
        </w:rPr>
        <w:t xml:space="preserve">in </w:t>
      </w:r>
      <w:r w:rsidR="00CB34C4" w:rsidRPr="007B25AE">
        <w:rPr>
          <w:rFonts w:ascii="Baskerville" w:eastAsia="MS PMincho" w:hAnsi="Baskerville" w:cs="Arabic Typesetting"/>
        </w:rPr>
        <w:t>respective</w:t>
      </w:r>
      <w:r w:rsidR="00D5291F" w:rsidRPr="007B25AE">
        <w:rPr>
          <w:rFonts w:ascii="Baskerville" w:eastAsia="MS PMincho" w:hAnsi="Baskerville" w:cs="Arabic Typesetting"/>
        </w:rPr>
        <w:t xml:space="preserve"> order</w:t>
      </w:r>
      <w:r w:rsidR="00017DD0" w:rsidRPr="007B25AE">
        <w:rPr>
          <w:rFonts w:ascii="Baskerville" w:eastAsia="MS PMincho" w:hAnsi="Baskerville" w:cs="Arabic Typesetting"/>
        </w:rPr>
        <w:t>.</w:t>
      </w:r>
      <w:r w:rsidR="00A425D4" w:rsidRPr="007B25AE">
        <w:rPr>
          <w:rFonts w:ascii="Baskerville" w:eastAsia="MS PMincho" w:hAnsi="Baskerville" w:cs="Arabic Typesetting"/>
        </w:rPr>
        <w:t xml:space="preserve"> As such, </w:t>
      </w:r>
      <w:r w:rsidR="00A02BC3" w:rsidRPr="007B25AE">
        <w:rPr>
          <w:rFonts w:ascii="Baskerville" w:eastAsia="MS PMincho" w:hAnsi="Baskerville" w:cs="Arabic Typesetting"/>
        </w:rPr>
        <w:t xml:space="preserve">when the statistician </w:t>
      </w:r>
      <w:r w:rsidR="00B8417B" w:rsidRPr="007B25AE">
        <w:rPr>
          <w:rFonts w:ascii="Baskerville" w:eastAsia="MS PMincho" w:hAnsi="Baskerville" w:cs="Arabic Typesetting"/>
        </w:rPr>
        <w:t>utilize</w:t>
      </w:r>
      <w:r w:rsidR="00DD1AC5" w:rsidRPr="007B25AE">
        <w:rPr>
          <w:rFonts w:ascii="Baskerville" w:eastAsia="MS PMincho" w:hAnsi="Baskerville" w:cs="Arabic Typesetting"/>
        </w:rPr>
        <w:t>s</w:t>
      </w:r>
      <w:r w:rsidR="00B8417B" w:rsidRPr="007B25AE">
        <w:rPr>
          <w:rFonts w:ascii="Baskerville" w:eastAsia="MS PMincho" w:hAnsi="Baskerville" w:cs="Arabic Typesetting"/>
        </w:rPr>
        <w:t xml:space="preserve"> </w:t>
      </w:r>
      <w:r w:rsidR="0022359F" w:rsidRPr="007B25AE">
        <w:rPr>
          <w:rFonts w:ascii="Baskerville" w:eastAsia="MS PMincho" w:hAnsi="Baskerville" w:cs="Arabic Typesetting"/>
        </w:rPr>
        <w:t xml:space="preserve">the </w:t>
      </w:r>
      <w:r w:rsidR="00DD1AC5" w:rsidRPr="007B25AE">
        <w:rPr>
          <w:rFonts w:ascii="Baskerville" w:eastAsia="MS PMincho" w:hAnsi="Baskerville" w:cs="Arabic Typesetting"/>
        </w:rPr>
        <w:t xml:space="preserve">x and y </w:t>
      </w:r>
      <w:r w:rsidR="0022359F" w:rsidRPr="007B25AE">
        <w:rPr>
          <w:rFonts w:ascii="Baskerville" w:eastAsia="MS PMincho" w:hAnsi="Baskerville" w:cs="Arabic Typesetting"/>
        </w:rPr>
        <w:t xml:space="preserve">variables </w:t>
      </w:r>
      <w:r w:rsidR="00A02BC3" w:rsidRPr="007B25AE">
        <w:rPr>
          <w:rFonts w:ascii="Baskerville" w:eastAsia="MS PMincho" w:hAnsi="Baskerville" w:cs="Arabic Typesetting"/>
        </w:rPr>
        <w:t xml:space="preserve">as </w:t>
      </w:r>
      <w:r w:rsidR="00DD1AC5" w:rsidRPr="007B25AE">
        <w:rPr>
          <w:rFonts w:ascii="Baskerville" w:eastAsia="MS PMincho" w:hAnsi="Baskerville" w:cs="Arabic Typesetting"/>
        </w:rPr>
        <w:t xml:space="preserve">substitutes </w:t>
      </w:r>
      <w:r w:rsidR="00F25D3E" w:rsidRPr="007B25AE">
        <w:rPr>
          <w:rFonts w:ascii="Baskerville" w:eastAsia="MS PMincho" w:hAnsi="Baskerville" w:cs="Arabic Typesetting"/>
        </w:rPr>
        <w:t>for</w:t>
      </w:r>
      <w:r w:rsidR="00DD1AC5" w:rsidRPr="007B25AE">
        <w:rPr>
          <w:rFonts w:ascii="Baskerville" w:eastAsia="MS PMincho" w:hAnsi="Baskerville" w:cs="Arabic Typesetting"/>
        </w:rPr>
        <w:t xml:space="preserve"> the </w:t>
      </w:r>
      <w:r w:rsidR="009874E2" w:rsidRPr="007B25AE">
        <w:rPr>
          <w:rFonts w:ascii="Baskerville" w:eastAsia="MS PMincho" w:hAnsi="Baskerville" w:cs="Arabic Typesetting"/>
        </w:rPr>
        <w:t>“</w:t>
      </w:r>
      <w:r w:rsidR="00DD1AC5" w:rsidRPr="007B25AE">
        <w:rPr>
          <w:rFonts w:ascii="Baskerville" w:eastAsia="MS PMincho" w:hAnsi="Baskerville" w:cs="Arabic Typesetting"/>
        </w:rPr>
        <w:t>independent</w:t>
      </w:r>
      <w:r w:rsidR="009874E2" w:rsidRPr="007B25AE">
        <w:rPr>
          <w:rFonts w:ascii="Baskerville" w:eastAsia="MS PMincho" w:hAnsi="Baskerville" w:cs="Arabic Typesetting"/>
        </w:rPr>
        <w:t>”</w:t>
      </w:r>
      <w:r w:rsidR="00DD1AC5" w:rsidRPr="007B25AE">
        <w:rPr>
          <w:rFonts w:ascii="Baskerville" w:eastAsia="MS PMincho" w:hAnsi="Baskerville" w:cs="Arabic Typesetting"/>
        </w:rPr>
        <w:t xml:space="preserve"> and </w:t>
      </w:r>
      <w:r w:rsidR="009874E2" w:rsidRPr="007B25AE">
        <w:rPr>
          <w:rFonts w:ascii="Baskerville" w:eastAsia="MS PMincho" w:hAnsi="Baskerville" w:cs="Arabic Typesetting"/>
        </w:rPr>
        <w:t>“</w:t>
      </w:r>
      <w:r w:rsidR="00DD1AC5" w:rsidRPr="007B25AE">
        <w:rPr>
          <w:rFonts w:ascii="Baskerville" w:eastAsia="MS PMincho" w:hAnsi="Baskerville" w:cs="Arabic Typesetting"/>
        </w:rPr>
        <w:t>dependent</w:t>
      </w:r>
      <w:r w:rsidR="009874E2" w:rsidRPr="007B25AE">
        <w:rPr>
          <w:rFonts w:ascii="Baskerville" w:eastAsia="MS PMincho" w:hAnsi="Baskerville" w:cs="Arabic Typesetting"/>
        </w:rPr>
        <w:t>”</w:t>
      </w:r>
      <w:r w:rsidR="00DD1AC5" w:rsidRPr="007B25AE">
        <w:rPr>
          <w:rFonts w:ascii="Baskerville" w:eastAsia="MS PMincho" w:hAnsi="Baskerville" w:cs="Arabic Typesetting"/>
        </w:rPr>
        <w:t xml:space="preserve"> variables</w:t>
      </w:r>
      <w:r w:rsidR="00A02BC3" w:rsidRPr="007B25AE">
        <w:rPr>
          <w:rFonts w:ascii="Baskerville" w:eastAsia="MS PMincho" w:hAnsi="Baskerville" w:cs="Arabic Typesetting"/>
        </w:rPr>
        <w:t xml:space="preserve"> </w:t>
      </w:r>
      <w:r w:rsidR="00D5291F" w:rsidRPr="007B25AE">
        <w:rPr>
          <w:rFonts w:ascii="Baskerville" w:eastAsia="MS PMincho" w:hAnsi="Baskerville" w:cs="Arabic Typesetting"/>
        </w:rPr>
        <w:t>in</w:t>
      </w:r>
      <w:r w:rsidR="00A02BC3" w:rsidRPr="007B25AE">
        <w:rPr>
          <w:rFonts w:ascii="Baskerville" w:eastAsia="MS PMincho" w:hAnsi="Baskerville" w:cs="Arabic Typesetting"/>
        </w:rPr>
        <w:t xml:space="preserve"> </w:t>
      </w:r>
      <w:r w:rsidR="006B3D35" w:rsidRPr="007B25AE">
        <w:rPr>
          <w:rFonts w:ascii="Baskerville" w:eastAsia="MS PMincho" w:hAnsi="Baskerville" w:cs="Arabic Typesetting"/>
        </w:rPr>
        <w:t>his</w:t>
      </w:r>
      <w:r w:rsidR="00A02BC3" w:rsidRPr="007B25AE">
        <w:rPr>
          <w:rFonts w:ascii="Baskerville" w:eastAsia="MS PMincho" w:hAnsi="Baskerville" w:cs="Arabic Typesetting"/>
        </w:rPr>
        <w:t xml:space="preserve"> “datapoint</w:t>
      </w:r>
      <w:r w:rsidR="00187D85" w:rsidRPr="007B25AE">
        <w:rPr>
          <w:rFonts w:ascii="Baskerville" w:eastAsia="MS PMincho" w:hAnsi="Baskerville" w:cs="Arabic Typesetting"/>
        </w:rPr>
        <w:t>s</w:t>
      </w:r>
      <w:r w:rsidR="0022359F" w:rsidRPr="007B25AE">
        <w:rPr>
          <w:rFonts w:ascii="Baskerville" w:eastAsia="MS PMincho" w:hAnsi="Baskerville" w:cs="Arabic Typesetting"/>
        </w:rPr>
        <w:t>,</w:t>
      </w:r>
      <w:r w:rsidR="00A02BC3" w:rsidRPr="007B25AE">
        <w:rPr>
          <w:rFonts w:ascii="Baskerville" w:eastAsia="MS PMincho" w:hAnsi="Baskerville" w:cs="Arabic Typesetting"/>
        </w:rPr>
        <w:t xml:space="preserve">” </w:t>
      </w:r>
      <w:r w:rsidR="0022359F" w:rsidRPr="007B25AE">
        <w:rPr>
          <w:rFonts w:ascii="Baskerville" w:eastAsia="MS PMincho" w:hAnsi="Baskerville" w:cs="Arabic Typesetting"/>
        </w:rPr>
        <w:t>he</w:t>
      </w:r>
      <w:r w:rsidR="00CF2974" w:rsidRPr="007B25AE">
        <w:rPr>
          <w:rFonts w:ascii="Baskerville" w:eastAsia="MS PMincho" w:hAnsi="Baskerville" w:cs="Arabic Typesetting"/>
        </w:rPr>
        <w:t xml:space="preserve"> </w:t>
      </w:r>
      <w:r w:rsidR="0022359F" w:rsidRPr="007B25AE">
        <w:rPr>
          <w:rFonts w:ascii="Baskerville" w:eastAsia="MS PMincho" w:hAnsi="Baskerville" w:cs="Arabic Typesetting"/>
        </w:rPr>
        <w:t xml:space="preserve">is </w:t>
      </w:r>
      <w:proofErr w:type="gramStart"/>
      <w:r w:rsidR="0042335E" w:rsidRPr="007B25AE">
        <w:rPr>
          <w:rFonts w:ascii="Baskerville" w:eastAsia="MS PMincho" w:hAnsi="Baskerville" w:cs="Arabic Typesetting"/>
        </w:rPr>
        <w:t xml:space="preserve">actually </w:t>
      </w:r>
      <w:r w:rsidR="009874E2" w:rsidRPr="007B25AE">
        <w:rPr>
          <w:rFonts w:ascii="Baskerville" w:eastAsia="MS PMincho" w:hAnsi="Baskerville" w:cs="Arabic Typesetting"/>
        </w:rPr>
        <w:t>register</w:t>
      </w:r>
      <w:r w:rsidR="00635C41" w:rsidRPr="007B25AE">
        <w:rPr>
          <w:rFonts w:ascii="Baskerville" w:eastAsia="MS PMincho" w:hAnsi="Baskerville" w:cs="Arabic Typesetting"/>
        </w:rPr>
        <w:t>ing</w:t>
      </w:r>
      <w:proofErr w:type="gramEnd"/>
      <w:r w:rsidR="00635C41" w:rsidRPr="007B25AE">
        <w:rPr>
          <w:rFonts w:ascii="Baskerville" w:eastAsia="MS PMincho" w:hAnsi="Baskerville" w:cs="Arabic Typesetting"/>
        </w:rPr>
        <w:t xml:space="preserve"> </w:t>
      </w:r>
      <w:r w:rsidR="00484800" w:rsidRPr="007B25AE">
        <w:rPr>
          <w:rFonts w:ascii="Baskerville" w:eastAsia="MS PMincho" w:hAnsi="Baskerville" w:cs="Arabic Typesetting"/>
        </w:rPr>
        <w:t>his</w:t>
      </w:r>
      <w:r w:rsidR="00CF2974" w:rsidRPr="007B25AE">
        <w:rPr>
          <w:rFonts w:ascii="Baskerville" w:eastAsia="MS PMincho" w:hAnsi="Baskerville" w:cs="Arabic Typesetting"/>
        </w:rPr>
        <w:t xml:space="preserve"> </w:t>
      </w:r>
      <w:r w:rsidR="00635C41" w:rsidRPr="007B25AE">
        <w:rPr>
          <w:rFonts w:ascii="Baskerville" w:eastAsia="MS PMincho" w:hAnsi="Baskerville" w:cs="Arabic Typesetting"/>
        </w:rPr>
        <w:t xml:space="preserve">recognition </w:t>
      </w:r>
      <w:r w:rsidR="00CF2974" w:rsidRPr="007B25AE">
        <w:rPr>
          <w:rFonts w:ascii="Baskerville" w:eastAsia="MS PMincho" w:hAnsi="Baskerville" w:cs="Arabic Typesetting"/>
        </w:rPr>
        <w:t>of</w:t>
      </w:r>
      <w:r w:rsidR="00635C41" w:rsidRPr="007B25AE">
        <w:rPr>
          <w:rFonts w:ascii="Baskerville" w:eastAsia="MS PMincho" w:hAnsi="Baskerville" w:cs="Arabic Typesetting"/>
        </w:rPr>
        <w:t xml:space="preserve"> </w:t>
      </w:r>
      <w:r w:rsidR="00CF2974" w:rsidRPr="007B25AE">
        <w:rPr>
          <w:rFonts w:ascii="Baskerville" w:eastAsia="MS PMincho" w:hAnsi="Baskerville" w:cs="Arabic Typesetting"/>
        </w:rPr>
        <w:t>a certain</w:t>
      </w:r>
      <w:r w:rsidR="00635C41" w:rsidRPr="007B25AE">
        <w:rPr>
          <w:rFonts w:ascii="Baskerville" w:eastAsia="MS PMincho" w:hAnsi="Baskerville" w:cs="Arabic Typesetting"/>
        </w:rPr>
        <w:t xml:space="preserve"> </w:t>
      </w:r>
      <w:r w:rsidR="00CF2974" w:rsidRPr="007B25AE">
        <w:rPr>
          <w:rFonts w:ascii="Baskerville" w:eastAsia="MS PMincho" w:hAnsi="Baskerville" w:cs="Arabic Typesetting"/>
        </w:rPr>
        <w:t xml:space="preserve">algebraic </w:t>
      </w:r>
      <w:r w:rsidR="00635C41" w:rsidRPr="007B25AE">
        <w:rPr>
          <w:rFonts w:ascii="Baskerville" w:eastAsia="MS PMincho" w:hAnsi="Baskerville" w:cs="Arabic Typesetting"/>
        </w:rPr>
        <w:t>convention</w:t>
      </w:r>
      <w:r w:rsidR="006B3D35" w:rsidRPr="007B25AE">
        <w:rPr>
          <w:rFonts w:ascii="Baskerville" w:eastAsia="MS PMincho" w:hAnsi="Baskerville" w:cs="Arabic Typesetting"/>
        </w:rPr>
        <w:t xml:space="preserve">. </w:t>
      </w:r>
      <w:r w:rsidR="0022359F" w:rsidRPr="007B25AE">
        <w:rPr>
          <w:rFonts w:ascii="Baskerville" w:eastAsia="MS PMincho" w:hAnsi="Baskerville" w:cs="Arabic Typesetting"/>
        </w:rPr>
        <w:t xml:space="preserve"> </w:t>
      </w:r>
      <w:r w:rsidR="006B3D35" w:rsidRPr="007B25AE">
        <w:rPr>
          <w:rFonts w:ascii="Baskerville" w:eastAsia="MS PMincho" w:hAnsi="Baskerville" w:cs="Arabic Typesetting"/>
        </w:rPr>
        <w:t>A</w:t>
      </w:r>
      <w:r w:rsidR="00061986" w:rsidRPr="007B25AE">
        <w:rPr>
          <w:rFonts w:ascii="Baskerville" w:eastAsia="MS PMincho" w:hAnsi="Baskerville" w:cs="Arabic Typesetting"/>
        </w:rPr>
        <w:t>nd</w:t>
      </w:r>
      <w:r w:rsidR="001F7A7B" w:rsidRPr="007B25AE">
        <w:rPr>
          <w:rFonts w:ascii="Baskerville" w:eastAsia="MS PMincho" w:hAnsi="Baskerville" w:cs="Arabic Typesetting"/>
        </w:rPr>
        <w:t>,</w:t>
      </w:r>
      <w:r w:rsidR="00061986" w:rsidRPr="007B25AE">
        <w:rPr>
          <w:rFonts w:ascii="Baskerville" w:eastAsia="MS PMincho" w:hAnsi="Baskerville" w:cs="Arabic Typesetting"/>
        </w:rPr>
        <w:t xml:space="preserve"> in </w:t>
      </w:r>
      <w:r w:rsidR="006B3D35" w:rsidRPr="007B25AE">
        <w:rPr>
          <w:rFonts w:ascii="Baskerville" w:eastAsia="MS PMincho" w:hAnsi="Baskerville" w:cs="Arabic Typesetting"/>
        </w:rPr>
        <w:t xml:space="preserve">so </w:t>
      </w:r>
      <w:r w:rsidR="00061986" w:rsidRPr="007B25AE">
        <w:rPr>
          <w:rFonts w:ascii="Baskerville" w:eastAsia="MS PMincho" w:hAnsi="Baskerville" w:cs="Arabic Typesetting"/>
        </w:rPr>
        <w:t>doing, he</w:t>
      </w:r>
      <w:r w:rsidR="006B3D35" w:rsidRPr="007B25AE">
        <w:rPr>
          <w:rFonts w:ascii="Baskerville" w:eastAsia="MS PMincho" w:hAnsi="Baskerville" w:cs="Arabic Typesetting"/>
        </w:rPr>
        <w:t xml:space="preserve"> </w:t>
      </w:r>
      <w:r w:rsidR="00061986" w:rsidRPr="007B25AE">
        <w:rPr>
          <w:rFonts w:ascii="Baskerville" w:eastAsia="MS PMincho" w:hAnsi="Baskerville" w:cs="Arabic Typesetting"/>
        </w:rPr>
        <w:t>is taking</w:t>
      </w:r>
      <w:r w:rsidR="00635C41" w:rsidRPr="007B25AE">
        <w:rPr>
          <w:rFonts w:ascii="Baskerville" w:eastAsia="MS PMincho" w:hAnsi="Baskerville" w:cs="Arabic Typesetting"/>
        </w:rPr>
        <w:t xml:space="preserve"> </w:t>
      </w:r>
      <w:r w:rsidR="00076DF6" w:rsidRPr="007B25AE">
        <w:rPr>
          <w:rFonts w:ascii="Baskerville" w:eastAsia="MS PMincho" w:hAnsi="Baskerville" w:cs="Arabic Typesetting"/>
        </w:rPr>
        <w:t>licence t</w:t>
      </w:r>
      <w:r w:rsidR="00635C41" w:rsidRPr="007B25AE">
        <w:rPr>
          <w:rFonts w:ascii="Baskerville" w:eastAsia="MS PMincho" w:hAnsi="Baskerville" w:cs="Arabic Typesetting"/>
        </w:rPr>
        <w:t>o do</w:t>
      </w:r>
      <w:r w:rsidR="0022359F" w:rsidRPr="007B25AE">
        <w:rPr>
          <w:rFonts w:ascii="Baskerville" w:eastAsia="MS PMincho" w:hAnsi="Baskerville" w:cs="Arabic Typesetting"/>
        </w:rPr>
        <w:t xml:space="preserve"> algorithmic </w:t>
      </w:r>
      <w:r w:rsidR="00A02BC3" w:rsidRPr="007B25AE">
        <w:rPr>
          <w:rFonts w:ascii="Baskerville" w:eastAsia="MS PMincho" w:hAnsi="Baskerville" w:cs="Arabic Typesetting"/>
        </w:rPr>
        <w:t>manipulat</w:t>
      </w:r>
      <w:r w:rsidR="0022359F" w:rsidRPr="007B25AE">
        <w:rPr>
          <w:rFonts w:ascii="Baskerville" w:eastAsia="MS PMincho" w:hAnsi="Baskerville" w:cs="Arabic Typesetting"/>
        </w:rPr>
        <w:t>ion</w:t>
      </w:r>
      <w:r w:rsidR="002E1C00" w:rsidRPr="007B25AE">
        <w:rPr>
          <w:rFonts w:ascii="Baskerville" w:eastAsia="MS PMincho" w:hAnsi="Baskerville" w:cs="Arabic Typesetting"/>
        </w:rPr>
        <w:t>s</w:t>
      </w:r>
      <w:r w:rsidR="0022359F" w:rsidRPr="007B25AE">
        <w:rPr>
          <w:rFonts w:ascii="Baskerville" w:eastAsia="MS PMincho" w:hAnsi="Baskerville" w:cs="Arabic Typesetting"/>
        </w:rPr>
        <w:t xml:space="preserve"> of statistical </w:t>
      </w:r>
      <w:r w:rsidR="00D1319B" w:rsidRPr="007B25AE">
        <w:rPr>
          <w:rFonts w:ascii="Baskerville" w:eastAsia="MS PMincho" w:hAnsi="Baskerville" w:cs="Arabic Typesetting"/>
        </w:rPr>
        <w:t>formula</w:t>
      </w:r>
      <w:r w:rsidR="0022359F" w:rsidRPr="007B25AE">
        <w:rPr>
          <w:rFonts w:ascii="Baskerville" w:eastAsia="MS PMincho" w:hAnsi="Baskerville" w:cs="Arabic Typesetting"/>
        </w:rPr>
        <w:t xml:space="preserve">s and graphic </w:t>
      </w:r>
      <w:r w:rsidR="00635C41" w:rsidRPr="007B25AE">
        <w:rPr>
          <w:rFonts w:ascii="Baskerville" w:eastAsia="MS PMincho" w:hAnsi="Baskerville" w:cs="Arabic Typesetting"/>
        </w:rPr>
        <w:t>illustrations</w:t>
      </w:r>
      <w:r w:rsidR="002E1C00" w:rsidRPr="007B25AE">
        <w:rPr>
          <w:rFonts w:ascii="Baskerville" w:eastAsia="MS PMincho" w:hAnsi="Baskerville" w:cs="Arabic Typesetting"/>
        </w:rPr>
        <w:t xml:space="preserve"> from the vantage point of</w:t>
      </w:r>
      <w:r w:rsidR="00076DF6" w:rsidRPr="007B25AE">
        <w:rPr>
          <w:rFonts w:ascii="Baskerville" w:eastAsia="MS PMincho" w:hAnsi="Baskerville" w:cs="Arabic Typesetting"/>
        </w:rPr>
        <w:t xml:space="preserve"> </w:t>
      </w:r>
      <w:r w:rsidR="002E1C00" w:rsidRPr="007B25AE">
        <w:rPr>
          <w:rFonts w:ascii="Baskerville" w:eastAsia="MS PMincho" w:hAnsi="Baskerville" w:cs="Arabic Typesetting"/>
        </w:rPr>
        <w:t>“ordered pair</w:t>
      </w:r>
      <w:r w:rsidR="00061986" w:rsidRPr="007B25AE">
        <w:rPr>
          <w:rFonts w:ascii="Baskerville" w:eastAsia="MS PMincho" w:hAnsi="Baskerville" w:cs="Arabic Typesetting"/>
        </w:rPr>
        <w:t>s</w:t>
      </w:r>
      <w:r w:rsidR="002E1C00" w:rsidRPr="007B25AE">
        <w:rPr>
          <w:rFonts w:ascii="Baskerville" w:eastAsia="MS PMincho" w:hAnsi="Baskerville" w:cs="Arabic Typesetting"/>
        </w:rPr>
        <w:t>”</w:t>
      </w:r>
      <w:r w:rsidR="00AB22DF" w:rsidRPr="007B25AE">
        <w:rPr>
          <w:rFonts w:ascii="Baskerville" w:eastAsia="MS PMincho" w:hAnsi="Baskerville" w:cs="Arabic Typesetting"/>
        </w:rPr>
        <w:t xml:space="preserve"> </w:t>
      </w:r>
      <w:r w:rsidR="00AC7715" w:rsidRPr="007B25AE">
        <w:rPr>
          <w:rFonts w:ascii="Baskerville" w:eastAsia="MS PMincho" w:hAnsi="Baskerville" w:cs="Arabic Typesetting"/>
        </w:rPr>
        <w:t>with</w:t>
      </w:r>
      <w:r w:rsidR="00061986" w:rsidRPr="007B25AE">
        <w:rPr>
          <w:rFonts w:ascii="Baskerville" w:eastAsia="MS PMincho" w:hAnsi="Baskerville" w:cs="Arabic Typesetting"/>
        </w:rPr>
        <w:t>in the Cartesian plane</w:t>
      </w:r>
      <w:r w:rsidR="00167BC0" w:rsidRPr="007B25AE">
        <w:rPr>
          <w:rFonts w:ascii="Baskerville" w:eastAsia="MS PMincho" w:hAnsi="Baskerville" w:cs="Arabic Typesetting"/>
        </w:rPr>
        <w:t xml:space="preserve">. </w:t>
      </w:r>
    </w:p>
    <w:p w14:paraId="33710BAE" w14:textId="114813CA" w:rsidR="00173002" w:rsidRPr="007B25AE" w:rsidRDefault="0042335E" w:rsidP="00457080">
      <w:pPr>
        <w:spacing w:line="360" w:lineRule="auto"/>
        <w:ind w:firstLine="720"/>
        <w:rPr>
          <w:rFonts w:ascii="Baskerville" w:eastAsia="MS PMincho" w:hAnsi="Baskerville" w:cs="Arabic Typesetting"/>
        </w:rPr>
      </w:pPr>
      <w:r w:rsidRPr="007B25AE">
        <w:rPr>
          <w:rFonts w:ascii="Baskerville" w:eastAsia="MS PMincho" w:hAnsi="Baskerville" w:cs="Arabic Typesetting"/>
        </w:rPr>
        <w:t>So, t</w:t>
      </w:r>
      <w:r w:rsidR="00AB22DF" w:rsidRPr="007B25AE">
        <w:rPr>
          <w:rFonts w:ascii="Baskerville" w:eastAsia="MS PMincho" w:hAnsi="Baskerville" w:cs="Arabic Typesetting"/>
        </w:rPr>
        <w:t>o say simp</w:t>
      </w:r>
      <w:r w:rsidR="0075576A" w:rsidRPr="007B25AE">
        <w:rPr>
          <w:rFonts w:ascii="Baskerville" w:eastAsia="MS PMincho" w:hAnsi="Baskerville" w:cs="Arabic Typesetting"/>
        </w:rPr>
        <w:t>ly</w:t>
      </w:r>
      <w:r w:rsidR="00BF4CBA" w:rsidRPr="007B25AE">
        <w:rPr>
          <w:rFonts w:ascii="Baskerville" w:eastAsia="MS PMincho" w:hAnsi="Baskerville" w:cs="Arabic Typesetting"/>
        </w:rPr>
        <w:t xml:space="preserve"> that the </w:t>
      </w:r>
      <w:r w:rsidR="0075576A" w:rsidRPr="007B25AE">
        <w:rPr>
          <w:rFonts w:ascii="Baskerville" w:eastAsia="MS PMincho" w:hAnsi="Baskerville" w:cs="Arabic Typesetting"/>
        </w:rPr>
        <w:t>independent</w:t>
      </w:r>
      <w:r w:rsidR="00AC7715" w:rsidRPr="007B25AE">
        <w:rPr>
          <w:rFonts w:ascii="Baskerville" w:eastAsia="MS PMincho" w:hAnsi="Baskerville" w:cs="Arabic Typesetting"/>
        </w:rPr>
        <w:t xml:space="preserve"> variable</w:t>
      </w:r>
      <w:r w:rsidR="0075576A" w:rsidRPr="007B25AE">
        <w:rPr>
          <w:rFonts w:ascii="Baskerville" w:eastAsia="MS PMincho" w:hAnsi="Baskerville" w:cs="Arabic Typesetting"/>
        </w:rPr>
        <w:t xml:space="preserve"> (x) and dependent variable</w:t>
      </w:r>
      <w:r w:rsidR="00AC7715" w:rsidRPr="007B25AE">
        <w:rPr>
          <w:rFonts w:ascii="Baskerville" w:eastAsia="MS PMincho" w:hAnsi="Baskerville" w:cs="Arabic Typesetting"/>
        </w:rPr>
        <w:t xml:space="preserve"> (y)</w:t>
      </w:r>
      <w:r w:rsidR="0075576A" w:rsidRPr="007B25AE">
        <w:rPr>
          <w:rFonts w:ascii="Baskerville" w:eastAsia="MS PMincho" w:hAnsi="Baskerville" w:cs="Arabic Typesetting"/>
        </w:rPr>
        <w:t xml:space="preserve"> are at the heart of the research</w:t>
      </w:r>
      <w:r w:rsidR="00061986" w:rsidRPr="007B25AE">
        <w:rPr>
          <w:rFonts w:ascii="Baskerville" w:eastAsia="MS PMincho" w:hAnsi="Baskerville" w:cs="Arabic Typesetting"/>
        </w:rPr>
        <w:t>,</w:t>
      </w:r>
      <w:r w:rsidR="0075576A" w:rsidRPr="007B25AE">
        <w:rPr>
          <w:rFonts w:ascii="Baskerville" w:eastAsia="MS PMincho" w:hAnsi="Baskerville" w:cs="Arabic Typesetting"/>
        </w:rPr>
        <w:t xml:space="preserve"> whe</w:t>
      </w:r>
      <w:r w:rsidR="00BB0474" w:rsidRPr="007B25AE">
        <w:rPr>
          <w:rFonts w:ascii="Baskerville" w:eastAsia="MS PMincho" w:hAnsi="Baskerville" w:cs="Arabic Typesetting"/>
        </w:rPr>
        <w:t>re</w:t>
      </w:r>
      <w:r w:rsidR="006B3D35" w:rsidRPr="007B25AE">
        <w:rPr>
          <w:rFonts w:ascii="Baskerville" w:eastAsia="MS PMincho" w:hAnsi="Baskerville" w:cs="Arabic Typesetting"/>
        </w:rPr>
        <w:t>in</w:t>
      </w:r>
      <w:r w:rsidR="00AC7715" w:rsidRPr="007B25AE">
        <w:rPr>
          <w:rFonts w:ascii="Baskerville" w:eastAsia="MS PMincho" w:hAnsi="Baskerville" w:cs="Arabic Typesetting"/>
        </w:rPr>
        <w:t xml:space="preserve"> </w:t>
      </w:r>
      <w:r w:rsidR="0075576A" w:rsidRPr="007B25AE">
        <w:rPr>
          <w:rFonts w:ascii="Baskerville" w:eastAsia="MS PMincho" w:hAnsi="Baskerville" w:cs="Arabic Typesetting"/>
        </w:rPr>
        <w:t>y</w:t>
      </w:r>
      <w:r w:rsidR="00BF4CBA" w:rsidRPr="007B25AE">
        <w:rPr>
          <w:rFonts w:ascii="Baskerville" w:eastAsia="MS PMincho" w:hAnsi="Baskerville" w:cs="Arabic Typesetting"/>
        </w:rPr>
        <w:t xml:space="preserve"> is the “function” of x</w:t>
      </w:r>
      <w:r w:rsidRPr="007B25AE">
        <w:rPr>
          <w:rFonts w:ascii="Baskerville" w:eastAsia="MS PMincho" w:hAnsi="Baskerville" w:cs="Arabic Typesetting"/>
        </w:rPr>
        <w:t>,</w:t>
      </w:r>
      <w:r w:rsidR="00076DF6" w:rsidRPr="007B25AE">
        <w:rPr>
          <w:rFonts w:ascii="Baskerville" w:eastAsia="MS PMincho" w:hAnsi="Baskerville" w:cs="Arabic Typesetting"/>
        </w:rPr>
        <w:t xml:space="preserve"> is </w:t>
      </w:r>
      <w:r w:rsidR="00AC7715" w:rsidRPr="007B25AE">
        <w:rPr>
          <w:rFonts w:ascii="Baskerville" w:eastAsia="MS PMincho" w:hAnsi="Baskerville" w:cs="Arabic Typesetting"/>
        </w:rPr>
        <w:t xml:space="preserve">to describe, in </w:t>
      </w:r>
      <w:r w:rsidR="00076DF6" w:rsidRPr="007B25AE">
        <w:rPr>
          <w:rFonts w:ascii="Baskerville" w:eastAsia="MS PMincho" w:hAnsi="Baskerville" w:cs="Arabic Typesetting"/>
        </w:rPr>
        <w:t>a</w:t>
      </w:r>
      <w:r w:rsidR="00AB64D6" w:rsidRPr="007B25AE">
        <w:rPr>
          <w:rFonts w:ascii="Baskerville" w:eastAsia="MS PMincho" w:hAnsi="Baskerville" w:cs="Arabic Typesetting"/>
        </w:rPr>
        <w:t xml:space="preserve"> r</w:t>
      </w:r>
      <w:r w:rsidR="00076DF6" w:rsidRPr="007B25AE">
        <w:rPr>
          <w:rFonts w:ascii="Baskerville" w:eastAsia="MS PMincho" w:hAnsi="Baskerville" w:cs="Arabic Typesetting"/>
        </w:rPr>
        <w:t>easonably</w:t>
      </w:r>
      <w:r w:rsidR="00700E51" w:rsidRPr="007B25AE">
        <w:rPr>
          <w:rFonts w:ascii="Baskerville" w:eastAsia="MS PMincho" w:hAnsi="Baskerville" w:cs="Arabic Typesetting"/>
        </w:rPr>
        <w:t xml:space="preserve"> laconic way</w:t>
      </w:r>
      <w:r w:rsidR="00BB0474" w:rsidRPr="007B25AE">
        <w:rPr>
          <w:rFonts w:ascii="Baskerville" w:eastAsia="MS PMincho" w:hAnsi="Baskerville" w:cs="Arabic Typesetting"/>
        </w:rPr>
        <w:t xml:space="preserve"> </w:t>
      </w:r>
      <w:r w:rsidR="00932D8F" w:rsidRPr="007B25AE">
        <w:rPr>
          <w:rFonts w:ascii="Baskerville" w:eastAsia="MS PMincho" w:hAnsi="Baskerville" w:cs="Arabic Typesetting"/>
        </w:rPr>
        <w:t>that</w:t>
      </w:r>
      <w:r w:rsidR="00CF2974" w:rsidRPr="007B25AE">
        <w:rPr>
          <w:rFonts w:ascii="Baskerville" w:eastAsia="MS PMincho" w:hAnsi="Baskerville" w:cs="Arabic Typesetting"/>
        </w:rPr>
        <w:t xml:space="preserve"> a hypo</w:t>
      </w:r>
      <w:r w:rsidR="00AC7715" w:rsidRPr="007B25AE">
        <w:rPr>
          <w:rFonts w:ascii="Baskerville" w:eastAsia="MS PMincho" w:hAnsi="Baskerville" w:cs="Arabic Typesetting"/>
        </w:rPr>
        <w:t>the</w:t>
      </w:r>
      <w:r w:rsidR="00CF2974" w:rsidRPr="007B25AE">
        <w:rPr>
          <w:rFonts w:ascii="Baskerville" w:eastAsia="MS PMincho" w:hAnsi="Baskerville" w:cs="Arabic Typesetting"/>
        </w:rPr>
        <w:t>sis is</w:t>
      </w:r>
      <w:r w:rsidR="00AC7715" w:rsidRPr="007B25AE">
        <w:rPr>
          <w:rFonts w:ascii="Baskerville" w:eastAsia="MS PMincho" w:hAnsi="Baskerville" w:cs="Arabic Typesetting"/>
        </w:rPr>
        <w:t xml:space="preserve"> </w:t>
      </w:r>
      <w:r w:rsidR="00932D8F" w:rsidRPr="007B25AE">
        <w:rPr>
          <w:rFonts w:ascii="Baskerville" w:eastAsia="MS PMincho" w:hAnsi="Baskerville" w:cs="Arabic Typesetting"/>
        </w:rPr>
        <w:t xml:space="preserve">in its </w:t>
      </w:r>
      <w:r w:rsidR="00AC7715" w:rsidRPr="007B25AE">
        <w:rPr>
          <w:rFonts w:ascii="Baskerville" w:eastAsia="MS PMincho" w:hAnsi="Baskerville" w:cs="Arabic Typesetting"/>
        </w:rPr>
        <w:t>internal</w:t>
      </w:r>
      <w:r w:rsidR="00BB0474" w:rsidRPr="007B25AE">
        <w:rPr>
          <w:rFonts w:ascii="Baskerville" w:eastAsia="MS PMincho" w:hAnsi="Baskerville" w:cs="Arabic Typesetting"/>
        </w:rPr>
        <w:t xml:space="preserve"> dynamic</w:t>
      </w:r>
      <w:r w:rsidR="00AC7715" w:rsidRPr="007B25AE">
        <w:rPr>
          <w:rFonts w:ascii="Baskerville" w:eastAsia="MS PMincho" w:hAnsi="Baskerville" w:cs="Arabic Typesetting"/>
        </w:rPr>
        <w:t>s</w:t>
      </w:r>
      <w:r w:rsidR="00932D8F" w:rsidRPr="007B25AE">
        <w:rPr>
          <w:rFonts w:ascii="Baskerville" w:eastAsia="MS PMincho" w:hAnsi="Baskerville" w:cs="Arabic Typesetting"/>
        </w:rPr>
        <w:t>, a theoretical</w:t>
      </w:r>
      <w:r w:rsidR="009874E2" w:rsidRPr="007B25AE">
        <w:rPr>
          <w:rFonts w:ascii="Baskerville" w:eastAsia="MS PMincho" w:hAnsi="Baskerville" w:cs="Arabic Typesetting"/>
        </w:rPr>
        <w:t xml:space="preserve"> </w:t>
      </w:r>
      <w:r w:rsidR="00BB0474" w:rsidRPr="007B25AE">
        <w:rPr>
          <w:rFonts w:ascii="Baskerville" w:eastAsia="MS PMincho" w:hAnsi="Baskerville" w:cs="Arabic Typesetting"/>
        </w:rPr>
        <w:t xml:space="preserve">relationship </w:t>
      </w:r>
      <w:r w:rsidR="00AC7715" w:rsidRPr="007B25AE">
        <w:rPr>
          <w:rFonts w:ascii="Baskerville" w:eastAsia="MS PMincho" w:hAnsi="Baskerville" w:cs="Arabic Typesetting"/>
        </w:rPr>
        <w:t xml:space="preserve">between the two variables </w:t>
      </w:r>
      <w:r w:rsidR="00BB0474" w:rsidRPr="007B25AE">
        <w:rPr>
          <w:rFonts w:ascii="Baskerville" w:eastAsia="MS PMincho" w:hAnsi="Baskerville" w:cs="Arabic Typesetting"/>
        </w:rPr>
        <w:t>at work</w:t>
      </w:r>
      <w:r w:rsidR="00BF4CBA" w:rsidRPr="007B25AE">
        <w:rPr>
          <w:rFonts w:ascii="Baskerville" w:eastAsia="MS PMincho" w:hAnsi="Baskerville" w:cs="Arabic Typesetting"/>
        </w:rPr>
        <w:t xml:space="preserve">. </w:t>
      </w:r>
      <w:r w:rsidR="00A25DE3" w:rsidRPr="007B25AE">
        <w:rPr>
          <w:rFonts w:ascii="Baskerville" w:eastAsia="MS PMincho" w:hAnsi="Baskerville" w:cs="Arabic Typesetting"/>
        </w:rPr>
        <w:t xml:space="preserve">As Hale and Carlson </w:t>
      </w:r>
      <w:r w:rsidR="00AB64D6" w:rsidRPr="007B25AE">
        <w:rPr>
          <w:rFonts w:ascii="Baskerville" w:eastAsia="MS PMincho" w:hAnsi="Baskerville" w:cs="Arabic Typesetting"/>
        </w:rPr>
        <w:t>(</w:t>
      </w:r>
      <w:r w:rsidR="0082197C" w:rsidRPr="007B25AE">
        <w:rPr>
          <w:rFonts w:ascii="Baskerville" w:eastAsia="MS PMincho" w:hAnsi="Baskerville" w:cs="Arabic Typesetting"/>
        </w:rPr>
        <w:t xml:space="preserve">2016) </w:t>
      </w:r>
      <w:r w:rsidR="00A25DE3" w:rsidRPr="007B25AE">
        <w:rPr>
          <w:rFonts w:ascii="Baskerville" w:eastAsia="MS PMincho" w:hAnsi="Baskerville" w:cs="Arabic Typesetting"/>
        </w:rPr>
        <w:t>put it, i</w:t>
      </w:r>
      <w:r w:rsidR="00BF4CBA" w:rsidRPr="007B25AE">
        <w:rPr>
          <w:rFonts w:ascii="Baskerville" w:eastAsia="MS PMincho" w:hAnsi="Baskerville" w:cs="Arabic Typesetting"/>
        </w:rPr>
        <w:t>n the absence of such a "</w:t>
      </w:r>
      <w:r w:rsidR="00A25DE3" w:rsidRPr="007B25AE">
        <w:rPr>
          <w:rFonts w:ascii="Baskerville" w:eastAsia="MS PMincho" w:hAnsi="Baskerville" w:cs="Arabic Typesetting"/>
        </w:rPr>
        <w:t>. . . .</w:t>
      </w:r>
      <w:r w:rsidR="00BF4CBA" w:rsidRPr="007B25AE">
        <w:rPr>
          <w:rFonts w:ascii="Baskerville" w:eastAsia="MS PMincho" w:hAnsi="Baskerville" w:cs="Arabic Typesetting"/>
        </w:rPr>
        <w:t xml:space="preserve">functional relationship between </w:t>
      </w:r>
      <w:r w:rsidR="00457080" w:rsidRPr="007B25AE">
        <w:rPr>
          <w:rFonts w:ascii="Baskerville" w:eastAsia="MS PMincho" w:hAnsi="Baskerville" w:cs="Arabic Typesetting"/>
        </w:rPr>
        <w:t>x and y</w:t>
      </w:r>
      <w:r w:rsidR="00BF4CBA" w:rsidRPr="007B25AE">
        <w:rPr>
          <w:rFonts w:ascii="Baskerville" w:eastAsia="MS PMincho" w:hAnsi="Baskerville" w:cs="Arabic Typesetting"/>
        </w:rPr>
        <w:t xml:space="preserve">, </w:t>
      </w:r>
      <w:r w:rsidR="0075576A" w:rsidRPr="007B25AE">
        <w:rPr>
          <w:rFonts w:ascii="Baskerville" w:eastAsia="MS PMincho" w:hAnsi="Baskerville" w:cs="Arabic Typesetting"/>
        </w:rPr>
        <w:t xml:space="preserve">neither </w:t>
      </w:r>
      <w:r w:rsidR="00E501BE" w:rsidRPr="007B25AE">
        <w:rPr>
          <w:rFonts w:ascii="Baskerville" w:eastAsia="MS PMincho" w:hAnsi="Baskerville" w:cs="Arabic Typesetting"/>
        </w:rPr>
        <w:t xml:space="preserve">the </w:t>
      </w:r>
      <w:r w:rsidR="00BF4CBA" w:rsidRPr="007B25AE">
        <w:rPr>
          <w:rFonts w:ascii="Baskerville" w:eastAsia="MS PMincho" w:hAnsi="Baskerville" w:cs="Arabic Typesetting"/>
        </w:rPr>
        <w:t>null hypothesis (H</w:t>
      </w:r>
      <w:r w:rsidR="00BF4CBA" w:rsidRPr="007B25AE">
        <w:rPr>
          <w:rFonts w:ascii="Baskerville" w:eastAsia="MS PMincho" w:hAnsi="Baskerville" w:cs="Arabic Typesetting"/>
          <w:vertAlign w:val="subscript"/>
        </w:rPr>
        <w:t>0</w:t>
      </w:r>
      <w:r w:rsidR="00BF4CBA" w:rsidRPr="007B25AE">
        <w:rPr>
          <w:rFonts w:ascii="Baskerville" w:eastAsia="MS PMincho" w:hAnsi="Baskerville" w:cs="Arabic Typesetting"/>
        </w:rPr>
        <w:t xml:space="preserve">) </w:t>
      </w:r>
      <w:r w:rsidR="0075576A" w:rsidRPr="007B25AE">
        <w:rPr>
          <w:rFonts w:ascii="Baskerville" w:eastAsia="MS PMincho" w:hAnsi="Baskerville" w:cs="Arabic Typesetting"/>
        </w:rPr>
        <w:t xml:space="preserve">nor </w:t>
      </w:r>
      <w:r w:rsidR="00195893" w:rsidRPr="007B25AE">
        <w:rPr>
          <w:rFonts w:ascii="Baskerville" w:eastAsia="MS PMincho" w:hAnsi="Baskerville" w:cs="Arabic Typesetting"/>
        </w:rPr>
        <w:t>the alternative hypothesis (H</w:t>
      </w:r>
      <w:r w:rsidR="00173002" w:rsidRPr="007B25AE">
        <w:rPr>
          <w:rFonts w:ascii="Baskerville" w:eastAsia="MS PMincho" w:hAnsi="Baskerville" w:cs="Arabic Typesetting"/>
          <w:sz w:val="32"/>
          <w:szCs w:val="32"/>
          <w:vertAlign w:val="subscript"/>
        </w:rPr>
        <w:t>a</w:t>
      </w:r>
      <w:r w:rsidR="00195893" w:rsidRPr="007B25AE">
        <w:rPr>
          <w:rFonts w:ascii="Baskerville" w:eastAsia="MS PMincho" w:hAnsi="Baskerville" w:cs="Arabic Typesetting"/>
        </w:rPr>
        <w:t xml:space="preserve">) </w:t>
      </w:r>
      <w:r w:rsidR="00E501BE" w:rsidRPr="007B25AE">
        <w:rPr>
          <w:rFonts w:ascii="Baskerville" w:eastAsia="MS PMincho" w:hAnsi="Baskerville" w:cs="Arabic Typesetting"/>
        </w:rPr>
        <w:t>could</w:t>
      </w:r>
      <w:r w:rsidR="00BF4CBA" w:rsidRPr="007B25AE">
        <w:rPr>
          <w:rFonts w:ascii="Baskerville" w:eastAsia="MS PMincho" w:hAnsi="Baskerville" w:cs="Arabic Typesetting"/>
        </w:rPr>
        <w:t xml:space="preserve"> be viable</w:t>
      </w:r>
      <w:r w:rsidR="00276A69" w:rsidRPr="007B25AE">
        <w:rPr>
          <w:rFonts w:ascii="Baskerville" w:eastAsia="MS PMincho" w:hAnsi="Baskerville" w:cs="Arabic Typesetting"/>
        </w:rPr>
        <w:t>” (Hale &amp; Carlson).</w:t>
      </w:r>
      <w:r w:rsidR="00BF4CBA" w:rsidRPr="007B25AE">
        <w:rPr>
          <w:rFonts w:ascii="Baskerville" w:eastAsia="MS PMincho" w:hAnsi="Baskerville" w:cs="Arabic Typesetting"/>
        </w:rPr>
        <w:t xml:space="preserve"> </w:t>
      </w:r>
      <w:r w:rsidR="00E501BE" w:rsidRPr="007B25AE">
        <w:rPr>
          <w:rFonts w:ascii="Baskerville" w:eastAsia="MS PMincho" w:hAnsi="Baskerville" w:cs="Arabic Typesetting"/>
        </w:rPr>
        <w:t>What</w:t>
      </w:r>
      <w:r w:rsidR="00BF4CBA" w:rsidRPr="007B25AE">
        <w:rPr>
          <w:rFonts w:ascii="Baskerville" w:eastAsia="MS PMincho" w:hAnsi="Baskerville" w:cs="Arabic Typesetting"/>
        </w:rPr>
        <w:t xml:space="preserve"> this means is that </w:t>
      </w:r>
      <w:r w:rsidR="00E501BE" w:rsidRPr="007B25AE">
        <w:rPr>
          <w:rFonts w:ascii="Baskerville" w:eastAsia="MS PMincho" w:hAnsi="Baskerville" w:cs="Arabic Typesetting"/>
        </w:rPr>
        <w:t>some of the most powerful</w:t>
      </w:r>
      <w:r w:rsidR="00BF4CBA" w:rsidRPr="007B25AE">
        <w:rPr>
          <w:rFonts w:ascii="Baskerville" w:eastAsia="MS PMincho" w:hAnsi="Baskerville" w:cs="Arabic Typesetting"/>
        </w:rPr>
        <w:t xml:space="preserve"> statistical instruments</w:t>
      </w:r>
      <w:r w:rsidR="00A9074D" w:rsidRPr="007B25AE">
        <w:rPr>
          <w:rFonts w:ascii="Baskerville" w:eastAsia="MS PMincho" w:hAnsi="Baskerville" w:cs="Arabic Typesetting"/>
        </w:rPr>
        <w:t xml:space="preserve"> that have evolved, over the years</w:t>
      </w:r>
      <w:r w:rsidR="00BF4CBA" w:rsidRPr="007B25AE">
        <w:rPr>
          <w:rFonts w:ascii="Baskerville" w:eastAsia="MS PMincho" w:hAnsi="Baskerville" w:cs="Arabic Typesetting"/>
        </w:rPr>
        <w:t xml:space="preserve">, including </w:t>
      </w:r>
      <w:r w:rsidR="00276A69" w:rsidRPr="007B25AE">
        <w:rPr>
          <w:rFonts w:ascii="Baskerville" w:eastAsia="MS PMincho" w:hAnsi="Baskerville" w:cs="Arabic Typesetting"/>
        </w:rPr>
        <w:t xml:space="preserve">the </w:t>
      </w:r>
      <w:r w:rsidR="00A7540E" w:rsidRPr="007B25AE">
        <w:rPr>
          <w:rFonts w:ascii="Baskerville" w:eastAsia="MS PMincho" w:hAnsi="Baskerville" w:cs="Arabic Typesetting"/>
        </w:rPr>
        <w:t xml:space="preserve">“Pearson Product </w:t>
      </w:r>
      <w:r w:rsidR="00A9074D" w:rsidRPr="007B25AE">
        <w:rPr>
          <w:rFonts w:ascii="Baskerville" w:eastAsia="MS PMincho" w:hAnsi="Baskerville" w:cs="Arabic Typesetting"/>
        </w:rPr>
        <w:t>M</w:t>
      </w:r>
      <w:r w:rsidR="00A7540E" w:rsidRPr="007B25AE">
        <w:rPr>
          <w:rFonts w:ascii="Baskerville" w:eastAsia="MS PMincho" w:hAnsi="Baskerville" w:cs="Arabic Typesetting"/>
        </w:rPr>
        <w:t>oment</w:t>
      </w:r>
      <w:r w:rsidR="00BF4CBA" w:rsidRPr="007B25AE">
        <w:rPr>
          <w:rFonts w:ascii="Baskerville" w:eastAsia="MS PMincho" w:hAnsi="Baskerville" w:cs="Arabic Typesetting"/>
        </w:rPr>
        <w:t>,</w:t>
      </w:r>
      <w:r w:rsidR="00A7540E" w:rsidRPr="007B25AE">
        <w:rPr>
          <w:rFonts w:ascii="Baskerville" w:eastAsia="MS PMincho" w:hAnsi="Baskerville" w:cs="Arabic Typesetting"/>
        </w:rPr>
        <w:t>”</w:t>
      </w:r>
      <w:r w:rsidR="00BF4CBA" w:rsidRPr="007B25AE">
        <w:rPr>
          <w:rFonts w:ascii="Baskerville" w:eastAsia="MS PMincho" w:hAnsi="Baskerville" w:cs="Arabic Typesetting"/>
        </w:rPr>
        <w:t xml:space="preserve"> could </w:t>
      </w:r>
      <w:r w:rsidR="00E501BE" w:rsidRPr="007B25AE">
        <w:rPr>
          <w:rFonts w:ascii="Baskerville" w:eastAsia="MS PMincho" w:hAnsi="Baskerville" w:cs="Arabic Typesetting"/>
        </w:rPr>
        <w:t xml:space="preserve">not </w:t>
      </w:r>
      <w:r w:rsidR="00BF4CBA" w:rsidRPr="007B25AE">
        <w:rPr>
          <w:rFonts w:ascii="Baskerville" w:eastAsia="MS PMincho" w:hAnsi="Baskerville" w:cs="Arabic Typesetting"/>
        </w:rPr>
        <w:t>be brought into play i</w:t>
      </w:r>
      <w:r w:rsidR="00E501BE" w:rsidRPr="007B25AE">
        <w:rPr>
          <w:rFonts w:ascii="Baskerville" w:eastAsia="MS PMincho" w:hAnsi="Baskerville" w:cs="Arabic Typesetting"/>
        </w:rPr>
        <w:t>f</w:t>
      </w:r>
      <w:r w:rsidR="00BF4CBA" w:rsidRPr="007B25AE">
        <w:rPr>
          <w:rFonts w:ascii="Baskerville" w:eastAsia="MS PMincho" w:hAnsi="Baskerville" w:cs="Arabic Typesetting"/>
        </w:rPr>
        <w:t xml:space="preserve"> </w:t>
      </w:r>
      <w:r w:rsidR="009A10C4" w:rsidRPr="007B25AE">
        <w:rPr>
          <w:rFonts w:ascii="Baskerville" w:eastAsia="MS PMincho" w:hAnsi="Baskerville" w:cs="Arabic Typesetting"/>
        </w:rPr>
        <w:t xml:space="preserve">either </w:t>
      </w:r>
      <w:r w:rsidR="00E501BE" w:rsidRPr="007B25AE">
        <w:rPr>
          <w:rFonts w:ascii="Baskerville" w:eastAsia="MS PMincho" w:hAnsi="Baskerville" w:cs="Arabic Typesetting"/>
        </w:rPr>
        <w:t xml:space="preserve">the independent </w:t>
      </w:r>
      <w:r w:rsidR="00457080" w:rsidRPr="007B25AE">
        <w:rPr>
          <w:rFonts w:ascii="Baskerville" w:eastAsia="MS PMincho" w:hAnsi="Baskerville" w:cs="Arabic Typesetting"/>
        </w:rPr>
        <w:t xml:space="preserve">variable </w:t>
      </w:r>
      <w:r w:rsidR="00E501BE" w:rsidRPr="007B25AE">
        <w:rPr>
          <w:rFonts w:ascii="Baskerville" w:eastAsia="MS PMincho" w:hAnsi="Baskerville" w:cs="Arabic Typesetting"/>
        </w:rPr>
        <w:t xml:space="preserve">or </w:t>
      </w:r>
      <w:r w:rsidR="00457080" w:rsidRPr="007B25AE">
        <w:rPr>
          <w:rFonts w:ascii="Baskerville" w:eastAsia="MS PMincho" w:hAnsi="Baskerville" w:cs="Arabic Typesetting"/>
        </w:rPr>
        <w:t xml:space="preserve">the </w:t>
      </w:r>
      <w:r w:rsidR="00E501BE" w:rsidRPr="007B25AE">
        <w:rPr>
          <w:rFonts w:ascii="Baskerville" w:eastAsia="MS PMincho" w:hAnsi="Baskerville" w:cs="Arabic Typesetting"/>
        </w:rPr>
        <w:t xml:space="preserve">dependent variable </w:t>
      </w:r>
      <w:r w:rsidR="00276A69" w:rsidRPr="007B25AE">
        <w:rPr>
          <w:rFonts w:ascii="Baskerville" w:eastAsia="MS PMincho" w:hAnsi="Baskerville" w:cs="Arabic Typesetting"/>
        </w:rPr>
        <w:t>w</w:t>
      </w:r>
      <w:r w:rsidR="00CD19D3" w:rsidRPr="007B25AE">
        <w:rPr>
          <w:rFonts w:ascii="Baskerville" w:eastAsia="MS PMincho" w:hAnsi="Baskerville" w:cs="Arabic Typesetting"/>
        </w:rPr>
        <w:t>as</w:t>
      </w:r>
      <w:r w:rsidR="00E501BE" w:rsidRPr="007B25AE">
        <w:rPr>
          <w:rFonts w:ascii="Baskerville" w:eastAsia="MS PMincho" w:hAnsi="Baskerville" w:cs="Arabic Typesetting"/>
        </w:rPr>
        <w:t xml:space="preserve"> absent from the</w:t>
      </w:r>
      <w:r w:rsidR="00BF4CBA" w:rsidRPr="007B25AE">
        <w:rPr>
          <w:rFonts w:ascii="Baskerville" w:eastAsia="MS PMincho" w:hAnsi="Baskerville" w:cs="Arabic Typesetting"/>
        </w:rPr>
        <w:t xml:space="preserve"> hypothesis (Hale &amp; Carlson, 2016).</w:t>
      </w:r>
    </w:p>
    <w:p w14:paraId="2210B177" w14:textId="7BB6FAB5" w:rsidR="00117D7E" w:rsidRPr="007B25AE" w:rsidRDefault="00BF4CBA" w:rsidP="00BF4CBA">
      <w:pPr>
        <w:spacing w:line="360" w:lineRule="auto"/>
        <w:rPr>
          <w:rFonts w:ascii="Baskerville" w:eastAsia="MS PMincho" w:hAnsi="Baskerville" w:cs="Arabic Typesetting"/>
        </w:rPr>
      </w:pPr>
      <w:r w:rsidRPr="007B25AE">
        <w:rPr>
          <w:rFonts w:ascii="Baskerville" w:eastAsia="MS PMincho" w:hAnsi="Baskerville" w:cs="Arabic Typesetting"/>
        </w:rPr>
        <w:tab/>
      </w:r>
      <w:r w:rsidR="00125CC9" w:rsidRPr="007B25AE">
        <w:rPr>
          <w:rFonts w:ascii="Baskerville" w:eastAsia="MS PMincho" w:hAnsi="Baskerville" w:cs="Arabic Typesetting"/>
        </w:rPr>
        <w:t xml:space="preserve">As </w:t>
      </w:r>
      <w:r w:rsidR="00EC06DD" w:rsidRPr="007B25AE">
        <w:rPr>
          <w:rFonts w:ascii="Baskerville" w:eastAsia="MS PMincho" w:hAnsi="Baskerville" w:cs="Arabic Typesetting"/>
        </w:rPr>
        <w:t>one</w:t>
      </w:r>
      <w:r w:rsidR="00125CC9" w:rsidRPr="007B25AE">
        <w:rPr>
          <w:rFonts w:ascii="Baskerville" w:eastAsia="MS PMincho" w:hAnsi="Baskerville" w:cs="Arabic Typesetting"/>
        </w:rPr>
        <w:t xml:space="preserve"> </w:t>
      </w:r>
      <w:r w:rsidR="00A25DE3" w:rsidRPr="007B25AE">
        <w:rPr>
          <w:rFonts w:ascii="Baskerville" w:eastAsia="MS PMincho" w:hAnsi="Baskerville" w:cs="Arabic Typesetting"/>
        </w:rPr>
        <w:t>concentrates</w:t>
      </w:r>
      <w:r w:rsidR="00EC2C56" w:rsidRPr="007B25AE">
        <w:rPr>
          <w:rFonts w:ascii="Baskerville" w:eastAsia="MS PMincho" w:hAnsi="Baskerville" w:cs="Arabic Typesetting"/>
        </w:rPr>
        <w:t xml:space="preserve"> </w:t>
      </w:r>
      <w:r w:rsidR="00A9074D" w:rsidRPr="007B25AE">
        <w:rPr>
          <w:rFonts w:ascii="Baskerville" w:eastAsia="MS PMincho" w:hAnsi="Baskerville" w:cs="Arabic Typesetting"/>
        </w:rPr>
        <w:t>one’s</w:t>
      </w:r>
      <w:r w:rsidR="00EC2C56" w:rsidRPr="007B25AE">
        <w:rPr>
          <w:rFonts w:ascii="Baskerville" w:eastAsia="MS PMincho" w:hAnsi="Baskerville" w:cs="Arabic Typesetting"/>
        </w:rPr>
        <w:t xml:space="preserve"> </w:t>
      </w:r>
      <w:r w:rsidR="00125CC9" w:rsidRPr="007B25AE">
        <w:rPr>
          <w:rFonts w:ascii="Baskerville" w:eastAsia="MS PMincho" w:hAnsi="Baskerville" w:cs="Arabic Typesetting"/>
        </w:rPr>
        <w:t xml:space="preserve">focus </w:t>
      </w:r>
      <w:r w:rsidR="006054FD" w:rsidRPr="007B25AE">
        <w:rPr>
          <w:rFonts w:ascii="Baskerville" w:eastAsia="MS PMincho" w:hAnsi="Baskerville" w:cs="Arabic Typesetting"/>
        </w:rPr>
        <w:t>o</w:t>
      </w:r>
      <w:r w:rsidR="00125CC9" w:rsidRPr="007B25AE">
        <w:rPr>
          <w:rFonts w:ascii="Baskerville" w:eastAsia="MS PMincho" w:hAnsi="Baskerville" w:cs="Arabic Typesetting"/>
        </w:rPr>
        <w:t>n</w:t>
      </w:r>
      <w:r w:rsidR="00F52884" w:rsidRPr="007B25AE">
        <w:rPr>
          <w:rFonts w:ascii="Baskerville" w:eastAsia="MS PMincho" w:hAnsi="Baskerville" w:cs="Arabic Typesetting"/>
        </w:rPr>
        <w:t xml:space="preserve"> </w:t>
      </w:r>
      <w:r w:rsidR="0082197C" w:rsidRPr="007B25AE">
        <w:rPr>
          <w:rFonts w:ascii="Baskerville" w:eastAsia="MS PMincho" w:hAnsi="Baskerville" w:cs="Arabic Typesetting"/>
        </w:rPr>
        <w:t>one of the</w:t>
      </w:r>
      <w:r w:rsidR="00A25DE3" w:rsidRPr="007B25AE">
        <w:rPr>
          <w:rFonts w:ascii="Baskerville" w:eastAsia="MS PMincho" w:hAnsi="Baskerville" w:cs="Arabic Typesetting"/>
        </w:rPr>
        <w:t xml:space="preserve"> typical American </w:t>
      </w:r>
      <w:r w:rsidR="0082197C" w:rsidRPr="007B25AE">
        <w:rPr>
          <w:rFonts w:ascii="Baskerville" w:eastAsia="MS PMincho" w:hAnsi="Baskerville" w:cs="Arabic Typesetting"/>
        </w:rPr>
        <w:t xml:space="preserve">public </w:t>
      </w:r>
      <w:r w:rsidR="00A25DE3" w:rsidRPr="007B25AE">
        <w:rPr>
          <w:rFonts w:ascii="Baskerville" w:eastAsia="MS PMincho" w:hAnsi="Baskerville" w:cs="Arabic Typesetting"/>
        </w:rPr>
        <w:t xml:space="preserve">school </w:t>
      </w:r>
      <w:r w:rsidR="005D544F" w:rsidRPr="007B25AE">
        <w:rPr>
          <w:rFonts w:ascii="Baskerville" w:eastAsia="MS PMincho" w:hAnsi="Baskerville" w:cs="Arabic Typesetting"/>
        </w:rPr>
        <w:t>system</w:t>
      </w:r>
      <w:r w:rsidR="00A25DE3" w:rsidRPr="007B25AE">
        <w:rPr>
          <w:rFonts w:ascii="Baskerville" w:eastAsia="MS PMincho" w:hAnsi="Baskerville" w:cs="Arabic Typesetting"/>
        </w:rPr>
        <w:t xml:space="preserve"> like </w:t>
      </w:r>
      <w:r w:rsidR="00E501BE" w:rsidRPr="007B25AE">
        <w:rPr>
          <w:rFonts w:ascii="Baskerville" w:eastAsia="MS PMincho" w:hAnsi="Baskerville" w:cs="Arabic Typesetting"/>
        </w:rPr>
        <w:t xml:space="preserve">New York </w:t>
      </w:r>
      <w:r w:rsidR="00117D7E" w:rsidRPr="007B25AE">
        <w:rPr>
          <w:rFonts w:ascii="Baskerville" w:eastAsia="MS PMincho" w:hAnsi="Baskerville" w:cs="Arabic Typesetting"/>
        </w:rPr>
        <w:t>City</w:t>
      </w:r>
      <w:r w:rsidRPr="007B25AE">
        <w:rPr>
          <w:rFonts w:ascii="Baskerville" w:eastAsia="MS PMincho" w:hAnsi="Baskerville" w:cs="Arabic Typesetting"/>
        </w:rPr>
        <w:t xml:space="preserve"> </w:t>
      </w:r>
      <w:r w:rsidR="00E501BE" w:rsidRPr="007B25AE">
        <w:rPr>
          <w:rFonts w:ascii="Baskerville" w:eastAsia="MS PMincho" w:hAnsi="Baskerville" w:cs="Arabic Typesetting"/>
        </w:rPr>
        <w:t>Department of Education</w:t>
      </w:r>
      <w:r w:rsidR="00E319F0" w:rsidRPr="007B25AE">
        <w:rPr>
          <w:rFonts w:ascii="Baskerville" w:eastAsia="MS PMincho" w:hAnsi="Baskerville" w:cs="Arabic Typesetting"/>
        </w:rPr>
        <w:t xml:space="preserve"> </w:t>
      </w:r>
      <w:r w:rsidR="00E501BE" w:rsidRPr="007B25AE">
        <w:rPr>
          <w:rFonts w:ascii="Baskerville" w:eastAsia="MS PMincho" w:hAnsi="Baskerville" w:cs="Arabic Typesetting"/>
        </w:rPr>
        <w:t>(DOE)</w:t>
      </w:r>
      <w:r w:rsidR="008B62D0" w:rsidRPr="007B25AE">
        <w:rPr>
          <w:rFonts w:ascii="Baskerville" w:eastAsia="MS PMincho" w:hAnsi="Baskerville" w:cs="Arabic Typesetting"/>
        </w:rPr>
        <w:t>,</w:t>
      </w:r>
      <w:r w:rsidR="00E319F0" w:rsidRPr="007B25AE">
        <w:rPr>
          <w:rFonts w:ascii="Baskerville" w:eastAsia="MS PMincho" w:hAnsi="Baskerville" w:cs="Arabic Typesetting"/>
        </w:rPr>
        <w:t xml:space="preserve"> </w:t>
      </w:r>
      <w:r w:rsidR="00EC06DD" w:rsidRPr="007B25AE">
        <w:rPr>
          <w:rFonts w:ascii="Baskerville" w:eastAsia="MS PMincho" w:hAnsi="Baskerville" w:cs="Arabic Typesetting"/>
        </w:rPr>
        <w:t xml:space="preserve">one finds it </w:t>
      </w:r>
      <w:r w:rsidR="00B33F1F" w:rsidRPr="007B25AE">
        <w:rPr>
          <w:rFonts w:ascii="Baskerville" w:eastAsia="MS PMincho" w:hAnsi="Baskerville" w:cs="Arabic Typesetting"/>
        </w:rPr>
        <w:t>perfectly</w:t>
      </w:r>
      <w:r w:rsidR="008A5E3C" w:rsidRPr="007B25AE">
        <w:rPr>
          <w:rFonts w:ascii="Baskerville" w:eastAsia="MS PMincho" w:hAnsi="Baskerville" w:cs="Arabic Typesetting"/>
        </w:rPr>
        <w:t xml:space="preserve"> </w:t>
      </w:r>
      <w:r w:rsidR="00B33F1F" w:rsidRPr="007B25AE">
        <w:rPr>
          <w:rFonts w:ascii="Baskerville" w:eastAsia="MS PMincho" w:hAnsi="Baskerville" w:cs="Arabic Typesetting"/>
        </w:rPr>
        <w:t>norm</w:t>
      </w:r>
      <w:r w:rsidR="00FC26C2" w:rsidRPr="007B25AE">
        <w:rPr>
          <w:rFonts w:ascii="Baskerville" w:eastAsia="MS PMincho" w:hAnsi="Baskerville" w:cs="Arabic Typesetting"/>
        </w:rPr>
        <w:t>al</w:t>
      </w:r>
      <w:r w:rsidR="00B33F1F" w:rsidRPr="007B25AE">
        <w:rPr>
          <w:rFonts w:ascii="Baskerville" w:eastAsia="MS PMincho" w:hAnsi="Baskerville" w:cs="Arabic Typesetting"/>
        </w:rPr>
        <w:t xml:space="preserve"> </w:t>
      </w:r>
      <w:r w:rsidR="00A25DE3" w:rsidRPr="007B25AE">
        <w:rPr>
          <w:rFonts w:ascii="Baskerville" w:eastAsia="MS PMincho" w:hAnsi="Baskerville" w:cs="Arabic Typesetting"/>
        </w:rPr>
        <w:t>that</w:t>
      </w:r>
      <w:r w:rsidR="00941CEC" w:rsidRPr="007B25AE">
        <w:rPr>
          <w:rFonts w:ascii="Baskerville" w:eastAsia="MS PMincho" w:hAnsi="Baskerville" w:cs="Arabic Typesetting"/>
        </w:rPr>
        <w:t xml:space="preserve"> </w:t>
      </w:r>
      <w:r w:rsidR="00A25DE3" w:rsidRPr="007B25AE">
        <w:rPr>
          <w:rFonts w:ascii="Baskerville" w:eastAsia="MS PMincho" w:hAnsi="Baskerville" w:cs="Arabic Typesetting"/>
        </w:rPr>
        <w:t xml:space="preserve">almost </w:t>
      </w:r>
      <w:r w:rsidR="00E37554" w:rsidRPr="007B25AE">
        <w:rPr>
          <w:rFonts w:ascii="Baskerville" w:eastAsia="MS PMincho" w:hAnsi="Baskerville" w:cs="Arabic Typesetting"/>
        </w:rPr>
        <w:t xml:space="preserve">any of </w:t>
      </w:r>
      <w:r w:rsidR="0046400F" w:rsidRPr="007B25AE">
        <w:rPr>
          <w:rFonts w:ascii="Baskerville" w:eastAsia="MS PMincho" w:hAnsi="Baskerville" w:cs="Arabic Typesetting"/>
        </w:rPr>
        <w:t>its</w:t>
      </w:r>
      <w:r w:rsidR="008A5E3C" w:rsidRPr="007B25AE">
        <w:rPr>
          <w:rFonts w:ascii="Baskerville" w:eastAsia="MS PMincho" w:hAnsi="Baskerville" w:cs="Arabic Typesetting"/>
        </w:rPr>
        <w:t xml:space="preserve"> </w:t>
      </w:r>
      <w:r w:rsidR="00A25DE3" w:rsidRPr="007B25AE">
        <w:rPr>
          <w:rFonts w:ascii="Baskerville" w:eastAsia="MS PMincho" w:hAnsi="Baskerville" w:cs="Arabic Typesetting"/>
        </w:rPr>
        <w:t xml:space="preserve">“regular” </w:t>
      </w:r>
      <w:r w:rsidR="00F52884" w:rsidRPr="007B25AE">
        <w:rPr>
          <w:rFonts w:ascii="Baskerville" w:eastAsia="MS PMincho" w:hAnsi="Baskerville" w:cs="Arabic Typesetting"/>
        </w:rPr>
        <w:t>public school</w:t>
      </w:r>
      <w:r w:rsidR="00E37554" w:rsidRPr="007B25AE">
        <w:rPr>
          <w:rFonts w:ascii="Baskerville" w:eastAsia="MS PMincho" w:hAnsi="Baskerville" w:cs="Arabic Typesetting"/>
        </w:rPr>
        <w:t>s</w:t>
      </w:r>
      <w:r w:rsidR="00A25DE3" w:rsidRPr="007B25AE">
        <w:rPr>
          <w:rFonts w:ascii="Baskerville" w:eastAsia="MS PMincho" w:hAnsi="Baskerville" w:cs="Arabic Typesetting"/>
        </w:rPr>
        <w:t xml:space="preserve">, picked </w:t>
      </w:r>
      <w:r w:rsidR="0082197C" w:rsidRPr="007B25AE">
        <w:rPr>
          <w:rFonts w:ascii="Baskerville" w:eastAsia="MS PMincho" w:hAnsi="Baskerville" w:cs="Arabic Typesetting"/>
        </w:rPr>
        <w:t>out of a hat</w:t>
      </w:r>
      <w:r w:rsidR="005D544F" w:rsidRPr="007B25AE">
        <w:rPr>
          <w:rFonts w:ascii="Baskerville" w:eastAsia="MS PMincho" w:hAnsi="Baskerville" w:cs="Arabic Typesetting"/>
        </w:rPr>
        <w:t>,</w:t>
      </w:r>
      <w:r w:rsidR="00A25DE3" w:rsidRPr="007B25AE">
        <w:rPr>
          <w:rFonts w:ascii="Baskerville" w:eastAsia="MS PMincho" w:hAnsi="Baskerville" w:cs="Arabic Typesetting"/>
        </w:rPr>
        <w:t xml:space="preserve"> </w:t>
      </w:r>
      <w:r w:rsidR="005D544F" w:rsidRPr="007B25AE">
        <w:rPr>
          <w:rFonts w:ascii="Baskerville" w:eastAsia="MS PMincho" w:hAnsi="Baskerville" w:cs="Arabic Typesetting"/>
        </w:rPr>
        <w:t>would</w:t>
      </w:r>
      <w:r w:rsidR="007C2867" w:rsidRPr="007B25AE">
        <w:rPr>
          <w:rFonts w:ascii="Baskerville" w:eastAsia="MS PMincho" w:hAnsi="Baskerville" w:cs="Arabic Typesetting"/>
        </w:rPr>
        <w:t xml:space="preserve"> </w:t>
      </w:r>
      <w:r w:rsidR="00EC06DD" w:rsidRPr="007B25AE">
        <w:rPr>
          <w:rFonts w:ascii="Baskerville" w:eastAsia="MS PMincho" w:hAnsi="Baskerville" w:cs="Arabic Typesetting"/>
        </w:rPr>
        <w:t xml:space="preserve">be </w:t>
      </w:r>
      <w:r w:rsidR="008B20E0" w:rsidRPr="007B25AE">
        <w:rPr>
          <w:rFonts w:ascii="Baskerville" w:eastAsia="MS PMincho" w:hAnsi="Baskerville" w:cs="Arabic Typesetting"/>
        </w:rPr>
        <w:t xml:space="preserve">decked out </w:t>
      </w:r>
      <w:r w:rsidR="007C2867" w:rsidRPr="007B25AE">
        <w:rPr>
          <w:rFonts w:ascii="Baskerville" w:eastAsia="MS PMincho" w:hAnsi="Baskerville" w:cs="Arabic Typesetting"/>
        </w:rPr>
        <w:t>with</w:t>
      </w:r>
      <w:r w:rsidR="00EC2C56" w:rsidRPr="007B25AE">
        <w:rPr>
          <w:rFonts w:ascii="Baskerville" w:eastAsia="MS PMincho" w:hAnsi="Baskerville" w:cs="Arabic Typesetting"/>
        </w:rPr>
        <w:t xml:space="preserve"> </w:t>
      </w:r>
      <w:r w:rsidR="00125CC9" w:rsidRPr="007B25AE">
        <w:rPr>
          <w:rFonts w:ascii="Baskerville" w:eastAsia="MS PMincho" w:hAnsi="Baskerville" w:cs="Arabic Typesetting"/>
        </w:rPr>
        <w:t>s</w:t>
      </w:r>
      <w:r w:rsidR="005D544F" w:rsidRPr="007B25AE">
        <w:rPr>
          <w:rFonts w:ascii="Baskerville" w:eastAsia="MS PMincho" w:hAnsi="Baskerville" w:cs="Arabic Typesetting"/>
        </w:rPr>
        <w:t>cant</w:t>
      </w:r>
      <w:r w:rsidR="00125CC9" w:rsidRPr="007B25AE">
        <w:rPr>
          <w:rFonts w:ascii="Baskerville" w:eastAsia="MS PMincho" w:hAnsi="Baskerville" w:cs="Arabic Typesetting"/>
        </w:rPr>
        <w:t>y</w:t>
      </w:r>
      <w:r w:rsidR="008A5E3C" w:rsidRPr="007B25AE">
        <w:rPr>
          <w:rFonts w:ascii="Baskerville" w:eastAsia="MS PMincho" w:hAnsi="Baskerville" w:cs="Arabic Typesetting"/>
        </w:rPr>
        <w:t xml:space="preserve"> </w:t>
      </w:r>
      <w:r w:rsidR="00EC06DD" w:rsidRPr="007B25AE">
        <w:rPr>
          <w:rFonts w:ascii="Baskerville" w:eastAsia="MS PMincho" w:hAnsi="Baskerville" w:cs="Arabic Typesetting"/>
        </w:rPr>
        <w:t>little clusters</w:t>
      </w:r>
      <w:r w:rsidR="00A7540E" w:rsidRPr="007B25AE">
        <w:rPr>
          <w:rFonts w:ascii="Baskerville" w:eastAsia="MS PMincho" w:hAnsi="Baskerville" w:cs="Arabic Typesetting"/>
        </w:rPr>
        <w:t xml:space="preserve"> </w:t>
      </w:r>
      <w:r w:rsidR="008A5E3C" w:rsidRPr="007B25AE">
        <w:rPr>
          <w:rFonts w:ascii="Baskerville" w:eastAsia="MS PMincho" w:hAnsi="Baskerville" w:cs="Arabic Typesetting"/>
        </w:rPr>
        <w:t>of</w:t>
      </w:r>
      <w:r w:rsidR="008B62D0" w:rsidRPr="007B25AE">
        <w:rPr>
          <w:rFonts w:ascii="Baskerville" w:eastAsia="MS PMincho" w:hAnsi="Baskerville" w:cs="Arabic Typesetting"/>
        </w:rPr>
        <w:t xml:space="preserve"> </w:t>
      </w:r>
      <w:r w:rsidR="00B75F97" w:rsidRPr="007B25AE">
        <w:rPr>
          <w:rFonts w:ascii="Baskerville" w:eastAsia="MS PMincho" w:hAnsi="Baskerville" w:cs="Arabic Typesetting"/>
        </w:rPr>
        <w:t>Black</w:t>
      </w:r>
      <w:r w:rsidR="001979AF" w:rsidRPr="007B25AE">
        <w:rPr>
          <w:rFonts w:ascii="Baskerville" w:eastAsia="MS PMincho" w:hAnsi="Baskerville" w:cs="Arabic Typesetting"/>
        </w:rPr>
        <w:t xml:space="preserve"> </w:t>
      </w:r>
      <w:r w:rsidRPr="007B25AE">
        <w:rPr>
          <w:rFonts w:ascii="Baskerville" w:eastAsia="MS PMincho" w:hAnsi="Baskerville" w:cs="Arabic Typesetting"/>
        </w:rPr>
        <w:t>teacher</w:t>
      </w:r>
      <w:r w:rsidR="00CD19D3" w:rsidRPr="007B25AE">
        <w:rPr>
          <w:rFonts w:ascii="Baskerville" w:eastAsia="MS PMincho" w:hAnsi="Baskerville" w:cs="Arabic Typesetting"/>
        </w:rPr>
        <w:t>s</w:t>
      </w:r>
      <w:r w:rsidR="00EC06DD" w:rsidRPr="007B25AE">
        <w:rPr>
          <w:rFonts w:ascii="Baskerville" w:eastAsia="MS PMincho" w:hAnsi="Baskerville" w:cs="Arabic Typesetting"/>
        </w:rPr>
        <w:t>,</w:t>
      </w:r>
      <w:r w:rsidR="00941CEC" w:rsidRPr="007B25AE">
        <w:rPr>
          <w:rFonts w:ascii="Baskerville" w:eastAsia="MS PMincho" w:hAnsi="Baskerville" w:cs="Arabic Typesetting"/>
        </w:rPr>
        <w:t xml:space="preserve"> </w:t>
      </w:r>
      <w:r w:rsidR="00EC2C56" w:rsidRPr="007B25AE">
        <w:rPr>
          <w:rFonts w:ascii="Baskerville" w:eastAsia="MS PMincho" w:hAnsi="Baskerville" w:cs="Arabic Typesetting"/>
        </w:rPr>
        <w:t>who</w:t>
      </w:r>
      <w:r w:rsidR="00932D8F" w:rsidRPr="007B25AE">
        <w:rPr>
          <w:rFonts w:ascii="Baskerville" w:eastAsia="MS PMincho" w:hAnsi="Baskerville" w:cs="Arabic Typesetting"/>
        </w:rPr>
        <w:t>se wee numbers</w:t>
      </w:r>
      <w:r w:rsidR="00EC2C56" w:rsidRPr="007B25AE">
        <w:rPr>
          <w:rFonts w:ascii="Baskerville" w:eastAsia="MS PMincho" w:hAnsi="Baskerville" w:cs="Arabic Typesetting"/>
        </w:rPr>
        <w:t xml:space="preserve"> </w:t>
      </w:r>
      <w:r w:rsidR="0082197C" w:rsidRPr="007B25AE">
        <w:rPr>
          <w:rFonts w:ascii="Baskerville" w:eastAsia="MS PMincho" w:hAnsi="Baskerville" w:cs="Arabic Typesetting"/>
        </w:rPr>
        <w:t>we</w:t>
      </w:r>
      <w:r w:rsidR="00EC2C56" w:rsidRPr="007B25AE">
        <w:rPr>
          <w:rFonts w:ascii="Baskerville" w:eastAsia="MS PMincho" w:hAnsi="Baskerville" w:cs="Arabic Typesetting"/>
        </w:rPr>
        <w:t xml:space="preserve">re </w:t>
      </w:r>
      <w:r w:rsidR="00941CEC" w:rsidRPr="007B25AE">
        <w:rPr>
          <w:rFonts w:ascii="Baskerville" w:eastAsia="MS PMincho" w:hAnsi="Baskerville" w:cs="Arabic Typesetting"/>
        </w:rPr>
        <w:t xml:space="preserve">nearly </w:t>
      </w:r>
      <w:r w:rsidR="00EC2C56" w:rsidRPr="007B25AE">
        <w:rPr>
          <w:rFonts w:ascii="Baskerville" w:eastAsia="MS PMincho" w:hAnsi="Baskerville" w:cs="Arabic Typesetting"/>
        </w:rPr>
        <w:t xml:space="preserve">always </w:t>
      </w:r>
      <w:r w:rsidR="00941CEC" w:rsidRPr="007B25AE">
        <w:rPr>
          <w:rFonts w:ascii="Baskerville" w:eastAsia="MS PMincho" w:hAnsi="Baskerville" w:cs="Arabic Typesetting"/>
        </w:rPr>
        <w:t xml:space="preserve">swallowed up </w:t>
      </w:r>
      <w:r w:rsidR="00E37554" w:rsidRPr="007B25AE">
        <w:rPr>
          <w:rFonts w:ascii="Baskerville" w:eastAsia="MS PMincho" w:hAnsi="Baskerville" w:cs="Arabic Typesetting"/>
        </w:rPr>
        <w:t>by</w:t>
      </w:r>
      <w:r w:rsidR="00941CEC" w:rsidRPr="007B25AE">
        <w:rPr>
          <w:rFonts w:ascii="Baskerville" w:eastAsia="MS PMincho" w:hAnsi="Baskerville" w:cs="Arabic Typesetting"/>
        </w:rPr>
        <w:t xml:space="preserve"> enormous crowd</w:t>
      </w:r>
      <w:r w:rsidR="00EC06DD" w:rsidRPr="007B25AE">
        <w:rPr>
          <w:rFonts w:ascii="Baskerville" w:eastAsia="MS PMincho" w:hAnsi="Baskerville" w:cs="Arabic Typesetting"/>
        </w:rPr>
        <w:t>s</w:t>
      </w:r>
      <w:r w:rsidR="00941CEC" w:rsidRPr="007B25AE">
        <w:rPr>
          <w:rFonts w:ascii="Baskerville" w:eastAsia="MS PMincho" w:hAnsi="Baskerville" w:cs="Arabic Typesetting"/>
        </w:rPr>
        <w:t xml:space="preserve"> of</w:t>
      </w:r>
      <w:r w:rsidR="008B20E0" w:rsidRPr="007B25AE">
        <w:rPr>
          <w:rFonts w:ascii="Baskerville" w:eastAsia="MS PMincho" w:hAnsi="Baskerville" w:cs="Arabic Typesetting"/>
        </w:rPr>
        <w:t xml:space="preserve"> </w:t>
      </w:r>
      <w:r w:rsidR="00E37554" w:rsidRPr="007B25AE">
        <w:rPr>
          <w:rFonts w:ascii="Baskerville" w:eastAsia="MS PMincho" w:hAnsi="Baskerville" w:cs="Arabic Typesetting"/>
        </w:rPr>
        <w:t xml:space="preserve">their </w:t>
      </w:r>
      <w:r w:rsidR="008B20E0" w:rsidRPr="007B25AE">
        <w:rPr>
          <w:rFonts w:ascii="Baskerville" w:eastAsia="MS PMincho" w:hAnsi="Baskerville" w:cs="Arabic Typesetting"/>
        </w:rPr>
        <w:t>White</w:t>
      </w:r>
      <w:r w:rsidR="00E37554" w:rsidRPr="007B25AE">
        <w:rPr>
          <w:rFonts w:ascii="Baskerville" w:eastAsia="MS PMincho" w:hAnsi="Baskerville" w:cs="Arabic Typesetting"/>
        </w:rPr>
        <w:t xml:space="preserve"> counterparts</w:t>
      </w:r>
      <w:r w:rsidR="006054FD" w:rsidRPr="007B25AE">
        <w:rPr>
          <w:rFonts w:ascii="Baskerville" w:eastAsia="MS PMincho" w:hAnsi="Baskerville" w:cs="Arabic Typesetting"/>
        </w:rPr>
        <w:t xml:space="preserve">, </w:t>
      </w:r>
      <w:r w:rsidR="006D5395" w:rsidRPr="007B25AE">
        <w:rPr>
          <w:rFonts w:ascii="Baskerville" w:eastAsia="MS PMincho" w:hAnsi="Baskerville" w:cs="Arabic Typesetting"/>
        </w:rPr>
        <w:t>moving about</w:t>
      </w:r>
      <w:r w:rsidR="001979AF" w:rsidRPr="007B25AE">
        <w:rPr>
          <w:rFonts w:ascii="Baskerville" w:eastAsia="MS PMincho" w:hAnsi="Baskerville" w:cs="Arabic Typesetting"/>
        </w:rPr>
        <w:t xml:space="preserve"> </w:t>
      </w:r>
      <w:r w:rsidR="00764922" w:rsidRPr="007B25AE">
        <w:rPr>
          <w:rFonts w:ascii="Baskerville" w:eastAsia="MS PMincho" w:hAnsi="Baskerville" w:cs="Arabic Typesetting"/>
        </w:rPr>
        <w:t>in hall</w:t>
      </w:r>
      <w:r w:rsidR="00412E39" w:rsidRPr="007B25AE">
        <w:rPr>
          <w:rFonts w:ascii="Baskerville" w:eastAsia="MS PMincho" w:hAnsi="Baskerville" w:cs="Arabic Typesetting"/>
        </w:rPr>
        <w:t>ways</w:t>
      </w:r>
      <w:r w:rsidR="00764922" w:rsidRPr="007B25AE">
        <w:rPr>
          <w:rFonts w:ascii="Baskerville" w:eastAsia="MS PMincho" w:hAnsi="Baskerville" w:cs="Arabic Typesetting"/>
        </w:rPr>
        <w:t xml:space="preserve"> and class</w:t>
      </w:r>
      <w:r w:rsidR="008B20E0" w:rsidRPr="007B25AE">
        <w:rPr>
          <w:rFonts w:ascii="Baskerville" w:eastAsia="MS PMincho" w:hAnsi="Baskerville" w:cs="Arabic Typesetting"/>
        </w:rPr>
        <w:t xml:space="preserve">rooms </w:t>
      </w:r>
      <w:r w:rsidR="00EC06DD" w:rsidRPr="007B25AE">
        <w:rPr>
          <w:rFonts w:ascii="Baskerville" w:eastAsia="MS PMincho" w:hAnsi="Baskerville" w:cs="Arabic Typesetting"/>
        </w:rPr>
        <w:t xml:space="preserve">that </w:t>
      </w:r>
      <w:r w:rsidR="0082197C" w:rsidRPr="007B25AE">
        <w:rPr>
          <w:rFonts w:ascii="Baskerville" w:eastAsia="MS PMincho" w:hAnsi="Baskerville" w:cs="Arabic Typesetting"/>
        </w:rPr>
        <w:t>we</w:t>
      </w:r>
      <w:r w:rsidR="00EC06DD" w:rsidRPr="007B25AE">
        <w:rPr>
          <w:rFonts w:ascii="Baskerville" w:eastAsia="MS PMincho" w:hAnsi="Baskerville" w:cs="Arabic Typesetting"/>
        </w:rPr>
        <w:t xml:space="preserve">re </w:t>
      </w:r>
      <w:r w:rsidR="008B20E0" w:rsidRPr="007B25AE">
        <w:rPr>
          <w:rFonts w:ascii="Baskerville" w:eastAsia="MS PMincho" w:hAnsi="Baskerville" w:cs="Arabic Typesetting"/>
        </w:rPr>
        <w:t xml:space="preserve">filled </w:t>
      </w:r>
      <w:r w:rsidR="00DC0293" w:rsidRPr="007B25AE">
        <w:rPr>
          <w:rFonts w:ascii="Baskerville" w:eastAsia="MS PMincho" w:hAnsi="Baskerville" w:cs="Arabic Typesetting"/>
        </w:rPr>
        <w:t xml:space="preserve">almost entirely </w:t>
      </w:r>
      <w:r w:rsidR="008B20E0" w:rsidRPr="007B25AE">
        <w:rPr>
          <w:rFonts w:ascii="Baskerville" w:eastAsia="MS PMincho" w:hAnsi="Baskerville" w:cs="Arabic Typesetting"/>
        </w:rPr>
        <w:t>with</w:t>
      </w:r>
      <w:r w:rsidR="00F22173" w:rsidRPr="007B25AE">
        <w:rPr>
          <w:rFonts w:ascii="Baskerville" w:eastAsia="MS PMincho" w:hAnsi="Baskerville" w:cs="Arabic Typesetting"/>
        </w:rPr>
        <w:t xml:space="preserve"> </w:t>
      </w:r>
      <w:r w:rsidR="008B20E0" w:rsidRPr="007B25AE">
        <w:rPr>
          <w:rFonts w:ascii="Baskerville" w:eastAsia="MS PMincho" w:hAnsi="Baskerville" w:cs="Arabic Typesetting"/>
        </w:rPr>
        <w:t>students</w:t>
      </w:r>
      <w:r w:rsidRPr="007B25AE">
        <w:rPr>
          <w:rFonts w:ascii="Baskerville" w:eastAsia="MS PMincho" w:hAnsi="Baskerville" w:cs="Arabic Typesetting"/>
        </w:rPr>
        <w:t xml:space="preserve"> </w:t>
      </w:r>
      <w:r w:rsidR="008B20E0" w:rsidRPr="007B25AE">
        <w:rPr>
          <w:rFonts w:ascii="Baskerville" w:eastAsia="MS PMincho" w:hAnsi="Baskerville" w:cs="Arabic Typesetting"/>
        </w:rPr>
        <w:t xml:space="preserve">of </w:t>
      </w:r>
      <w:r w:rsidR="00932D8F" w:rsidRPr="007B25AE">
        <w:rPr>
          <w:rFonts w:ascii="Baskerville" w:eastAsia="MS PMincho" w:hAnsi="Baskerville" w:cs="Arabic Typesetting"/>
        </w:rPr>
        <w:t>C</w:t>
      </w:r>
      <w:r w:rsidR="008B20E0" w:rsidRPr="007B25AE">
        <w:rPr>
          <w:rFonts w:ascii="Baskerville" w:eastAsia="MS PMincho" w:hAnsi="Baskerville" w:cs="Arabic Typesetting"/>
        </w:rPr>
        <w:t>olor</w:t>
      </w:r>
      <w:r w:rsidR="0082197C" w:rsidRPr="007B25AE">
        <w:rPr>
          <w:rFonts w:ascii="Baskerville" w:eastAsia="MS PMincho" w:hAnsi="Baskerville" w:cs="Arabic Typesetting"/>
        </w:rPr>
        <w:t>—Blacks and Hispanics</w:t>
      </w:r>
      <w:r w:rsidR="00932D8F" w:rsidRPr="007B25AE">
        <w:rPr>
          <w:rFonts w:ascii="Baskerville" w:eastAsia="MS PMincho" w:hAnsi="Baskerville" w:cs="Arabic Typesetting"/>
        </w:rPr>
        <w:t xml:space="preserve"> students</w:t>
      </w:r>
      <w:r w:rsidR="00EC2C56" w:rsidRPr="007B25AE">
        <w:rPr>
          <w:rFonts w:ascii="Baskerville" w:eastAsia="MS PMincho" w:hAnsi="Baskerville" w:cs="Arabic Typesetting"/>
        </w:rPr>
        <w:t xml:space="preserve">. </w:t>
      </w:r>
      <w:r w:rsidR="00117D7E" w:rsidRPr="007B25AE">
        <w:rPr>
          <w:rFonts w:ascii="Baskerville" w:eastAsia="MS PMincho" w:hAnsi="Baskerville" w:cs="Arabic Typesetting"/>
        </w:rPr>
        <w:t xml:space="preserve"> The frightening truth is that the hiring-retention malady</w:t>
      </w:r>
      <w:r w:rsidR="0082197C" w:rsidRPr="007B25AE">
        <w:rPr>
          <w:rFonts w:ascii="Baskerville" w:eastAsia="MS PMincho" w:hAnsi="Baskerville" w:cs="Arabic Typesetting"/>
        </w:rPr>
        <w:t>,</w:t>
      </w:r>
      <w:r w:rsidR="00117D7E" w:rsidRPr="007B25AE">
        <w:rPr>
          <w:rFonts w:ascii="Baskerville" w:eastAsia="MS PMincho" w:hAnsi="Baskerville" w:cs="Arabic Typesetting"/>
        </w:rPr>
        <w:t xml:space="preserve"> that </w:t>
      </w:r>
      <w:r w:rsidR="0082197C" w:rsidRPr="007B25AE">
        <w:rPr>
          <w:rFonts w:ascii="Baskerville" w:eastAsia="MS PMincho" w:hAnsi="Baskerville" w:cs="Arabic Typesetting"/>
        </w:rPr>
        <w:t>ha</w:t>
      </w:r>
      <w:r w:rsidR="00117D7E" w:rsidRPr="007B25AE">
        <w:rPr>
          <w:rFonts w:ascii="Baskerville" w:eastAsia="MS PMincho" w:hAnsi="Baskerville" w:cs="Arabic Typesetting"/>
        </w:rPr>
        <w:t xml:space="preserve">s </w:t>
      </w:r>
      <w:r w:rsidR="0082197C" w:rsidRPr="007B25AE">
        <w:rPr>
          <w:rFonts w:ascii="Baskerville" w:eastAsia="MS PMincho" w:hAnsi="Baskerville" w:cs="Arabic Typesetting"/>
        </w:rPr>
        <w:t xml:space="preserve">become well-nigh </w:t>
      </w:r>
      <w:r w:rsidR="00117D7E" w:rsidRPr="007B25AE">
        <w:rPr>
          <w:rFonts w:ascii="Baskerville" w:eastAsia="MS PMincho" w:hAnsi="Baskerville" w:cs="Arabic Typesetting"/>
        </w:rPr>
        <w:t xml:space="preserve">rampant </w:t>
      </w:r>
      <w:r w:rsidR="0082197C" w:rsidRPr="007B25AE">
        <w:rPr>
          <w:rFonts w:ascii="Baskerville" w:eastAsia="MS PMincho" w:hAnsi="Baskerville" w:cs="Arabic Typesetting"/>
        </w:rPr>
        <w:t xml:space="preserve">over the boroughs of the </w:t>
      </w:r>
      <w:r w:rsidR="00A41BB0" w:rsidRPr="007B25AE">
        <w:rPr>
          <w:rFonts w:ascii="Baskerville" w:eastAsia="MS PMincho" w:hAnsi="Baskerville" w:cs="Arabic Typesetting"/>
        </w:rPr>
        <w:t>C</w:t>
      </w:r>
      <w:r w:rsidR="0082197C" w:rsidRPr="007B25AE">
        <w:rPr>
          <w:rFonts w:ascii="Baskerville" w:eastAsia="MS PMincho" w:hAnsi="Baskerville" w:cs="Arabic Typesetting"/>
        </w:rPr>
        <w:t>ity</w:t>
      </w:r>
      <w:r w:rsidR="00A41BB0" w:rsidRPr="007B25AE">
        <w:rPr>
          <w:rFonts w:ascii="Baskerville" w:eastAsia="MS PMincho" w:hAnsi="Baskerville" w:cs="Arabic Typesetting"/>
        </w:rPr>
        <w:t xml:space="preserve"> of New York</w:t>
      </w:r>
      <w:r w:rsidR="0082197C" w:rsidRPr="007B25AE">
        <w:rPr>
          <w:rFonts w:ascii="Baskerville" w:eastAsia="MS PMincho" w:hAnsi="Baskerville" w:cs="Arabic Typesetting"/>
        </w:rPr>
        <w:t>,</w:t>
      </w:r>
      <w:r w:rsidR="00EC2C56" w:rsidRPr="007B25AE">
        <w:rPr>
          <w:rFonts w:ascii="Baskerville" w:eastAsia="MS PMincho" w:hAnsi="Baskerville" w:cs="Arabic Typesetting"/>
        </w:rPr>
        <w:t xml:space="preserve"> </w:t>
      </w:r>
      <w:r w:rsidR="00117D7E" w:rsidRPr="007B25AE">
        <w:rPr>
          <w:rFonts w:ascii="Baskerville" w:eastAsia="MS PMincho" w:hAnsi="Baskerville" w:cs="Arabic Typesetting"/>
        </w:rPr>
        <w:t xml:space="preserve">is pretty much </w:t>
      </w:r>
      <w:r w:rsidR="00A41BB0" w:rsidRPr="007B25AE">
        <w:rPr>
          <w:rFonts w:ascii="Baskerville" w:eastAsia="MS PMincho" w:hAnsi="Baskerville" w:cs="Arabic Typesetting"/>
        </w:rPr>
        <w:t xml:space="preserve">reflective of the </w:t>
      </w:r>
      <w:r w:rsidR="00117D7E" w:rsidRPr="007B25AE">
        <w:rPr>
          <w:rFonts w:ascii="Baskerville" w:eastAsia="MS PMincho" w:hAnsi="Baskerville" w:cs="Arabic Typesetting"/>
        </w:rPr>
        <w:t xml:space="preserve">pandemic </w:t>
      </w:r>
      <w:r w:rsidR="00A41BB0" w:rsidRPr="007B25AE">
        <w:rPr>
          <w:rFonts w:ascii="Baskerville" w:eastAsia="MS PMincho" w:hAnsi="Baskerville" w:cs="Arabic Typesetting"/>
        </w:rPr>
        <w:t xml:space="preserve">that is raging </w:t>
      </w:r>
      <w:r w:rsidR="00117D7E" w:rsidRPr="007B25AE">
        <w:rPr>
          <w:rFonts w:ascii="Baskerville" w:eastAsia="MS PMincho" w:hAnsi="Baskerville" w:cs="Arabic Typesetting"/>
        </w:rPr>
        <w:t xml:space="preserve">throughout the </w:t>
      </w:r>
      <w:r w:rsidR="001531DF" w:rsidRPr="007B25AE">
        <w:rPr>
          <w:rFonts w:ascii="Baskerville" w:eastAsia="MS PMincho" w:hAnsi="Baskerville" w:cs="Arabic Typesetting"/>
        </w:rPr>
        <w:t>S</w:t>
      </w:r>
      <w:r w:rsidR="00117D7E" w:rsidRPr="007B25AE">
        <w:rPr>
          <w:rFonts w:ascii="Baskerville" w:eastAsia="MS PMincho" w:hAnsi="Baskerville" w:cs="Arabic Typesetting"/>
        </w:rPr>
        <w:t xml:space="preserve">tate of New York. </w:t>
      </w:r>
    </w:p>
    <w:p w14:paraId="1E62707D" w14:textId="207E7144" w:rsidR="00117D7E" w:rsidRPr="007B25AE" w:rsidRDefault="001531DF" w:rsidP="00BF6EFC">
      <w:pPr>
        <w:spacing w:line="360" w:lineRule="auto"/>
        <w:rPr>
          <w:rFonts w:ascii="Baskerville" w:eastAsia="MS PMincho" w:hAnsi="Baskerville" w:cs="Arabic Typesetting"/>
        </w:rPr>
      </w:pPr>
      <w:r w:rsidRPr="007B25AE">
        <w:rPr>
          <w:rFonts w:ascii="Baskerville" w:eastAsia="MS PMincho" w:hAnsi="Baskerville" w:cs="Arabic Typesetting"/>
        </w:rPr>
        <w:tab/>
        <w:t xml:space="preserve">Even </w:t>
      </w:r>
      <w:r w:rsidR="00DC2639" w:rsidRPr="007B25AE">
        <w:rPr>
          <w:rFonts w:ascii="Baskerville" w:eastAsia="MS PMincho" w:hAnsi="Baskerville" w:cs="Arabic Typesetting"/>
        </w:rPr>
        <w:t xml:space="preserve">in </w:t>
      </w:r>
      <w:r w:rsidRPr="007B25AE">
        <w:rPr>
          <w:rFonts w:ascii="Baskerville" w:eastAsia="MS PMincho" w:hAnsi="Baskerville" w:cs="Arabic Typesetting"/>
        </w:rPr>
        <w:t>the best of school districts across the State of New York</w:t>
      </w:r>
      <w:r w:rsidR="00ED46C2" w:rsidRPr="007B25AE">
        <w:rPr>
          <w:rFonts w:ascii="Baskerville" w:eastAsia="MS PMincho" w:hAnsi="Baskerville" w:cs="Arabic Typesetting"/>
        </w:rPr>
        <w:t>,</w:t>
      </w:r>
      <w:r w:rsidRPr="007B25AE">
        <w:rPr>
          <w:rFonts w:ascii="Baskerville" w:eastAsia="MS PMincho" w:hAnsi="Baskerville" w:cs="Arabic Typesetting"/>
        </w:rPr>
        <w:t xml:space="preserve"> in </w:t>
      </w:r>
      <w:r w:rsidR="00CE7175" w:rsidRPr="007B25AE">
        <w:rPr>
          <w:rFonts w:ascii="Baskerville" w:eastAsia="MS PMincho" w:hAnsi="Baskerville" w:cs="Arabic Typesetting"/>
        </w:rPr>
        <w:t>respect to</w:t>
      </w:r>
      <w:r w:rsidRPr="007B25AE">
        <w:rPr>
          <w:rFonts w:ascii="Baskerville" w:eastAsia="MS PMincho" w:hAnsi="Baskerville" w:cs="Arabic Typesetting"/>
        </w:rPr>
        <w:t xml:space="preserve"> hiring-retention practices</w:t>
      </w:r>
      <w:r w:rsidR="00546DE1" w:rsidRPr="007B25AE">
        <w:rPr>
          <w:rFonts w:ascii="Baskerville" w:eastAsia="MS PMincho" w:hAnsi="Baskerville" w:cs="Arabic Typesetting"/>
        </w:rPr>
        <w:t>,</w:t>
      </w:r>
      <w:r w:rsidRPr="007B25AE">
        <w:rPr>
          <w:rFonts w:ascii="Baskerville" w:eastAsia="MS PMincho" w:hAnsi="Baskerville" w:cs="Arabic Typesetting"/>
        </w:rPr>
        <w:t xml:space="preserve"> when it comes to qualified teachers of color</w:t>
      </w:r>
      <w:r w:rsidR="00546DE1" w:rsidRPr="007B25AE">
        <w:rPr>
          <w:rFonts w:ascii="Baskerville" w:eastAsia="MS PMincho" w:hAnsi="Baskerville" w:cs="Arabic Typesetting"/>
        </w:rPr>
        <w:t>, it</w:t>
      </w:r>
      <w:r w:rsidRPr="007B25AE">
        <w:rPr>
          <w:rFonts w:ascii="Baskerville" w:eastAsia="MS PMincho" w:hAnsi="Baskerville" w:cs="Arabic Typesetting"/>
        </w:rPr>
        <w:t xml:space="preserve"> </w:t>
      </w:r>
      <w:r w:rsidR="00CE7175" w:rsidRPr="007B25AE">
        <w:rPr>
          <w:rFonts w:ascii="Baskerville" w:eastAsia="MS PMincho" w:hAnsi="Baskerville" w:cs="Arabic Typesetting"/>
        </w:rPr>
        <w:t>seem</w:t>
      </w:r>
      <w:r w:rsidR="00546DE1" w:rsidRPr="007B25AE">
        <w:rPr>
          <w:rFonts w:ascii="Baskerville" w:eastAsia="MS PMincho" w:hAnsi="Baskerville" w:cs="Arabic Typesetting"/>
        </w:rPr>
        <w:t>s</w:t>
      </w:r>
      <w:r w:rsidR="00CE7175" w:rsidRPr="007B25AE">
        <w:rPr>
          <w:rFonts w:ascii="Baskerville" w:eastAsia="MS PMincho" w:hAnsi="Baskerville" w:cs="Arabic Typesetting"/>
        </w:rPr>
        <w:t xml:space="preserve">, at best, </w:t>
      </w:r>
      <w:r w:rsidR="00546DE1" w:rsidRPr="007B25AE">
        <w:rPr>
          <w:rFonts w:ascii="Baskerville" w:eastAsia="MS PMincho" w:hAnsi="Baskerville" w:cs="Arabic Typesetting"/>
        </w:rPr>
        <w:t>that those who are in charge</w:t>
      </w:r>
      <w:r w:rsidR="0082197C" w:rsidRPr="007B25AE">
        <w:rPr>
          <w:rFonts w:ascii="Baskerville" w:eastAsia="MS PMincho" w:hAnsi="Baskerville" w:cs="Arabic Typesetting"/>
        </w:rPr>
        <w:t xml:space="preserve"> </w:t>
      </w:r>
      <w:r w:rsidR="00E26ABD" w:rsidRPr="007B25AE">
        <w:rPr>
          <w:rFonts w:ascii="Baskerville" w:eastAsia="MS PMincho" w:hAnsi="Baskerville" w:cs="Arabic Typesetting"/>
        </w:rPr>
        <w:t xml:space="preserve">are </w:t>
      </w:r>
      <w:r w:rsidR="00CE7175" w:rsidRPr="007B25AE">
        <w:rPr>
          <w:rFonts w:ascii="Baskerville" w:eastAsia="MS PMincho" w:hAnsi="Baskerville" w:cs="Arabic Typesetting"/>
        </w:rPr>
        <w:t xml:space="preserve">little moved </w:t>
      </w:r>
      <w:r w:rsidR="00A41BB0" w:rsidRPr="007B25AE">
        <w:rPr>
          <w:rFonts w:ascii="Baskerville" w:eastAsia="MS PMincho" w:hAnsi="Baskerville" w:cs="Arabic Typesetting"/>
        </w:rPr>
        <w:t>to hire and retain teachers with a sensitivity to</w:t>
      </w:r>
      <w:r w:rsidR="00CE7175" w:rsidRPr="007B25AE">
        <w:rPr>
          <w:rFonts w:ascii="Baskerville" w:eastAsia="MS PMincho" w:hAnsi="Baskerville" w:cs="Arabic Typesetting"/>
        </w:rPr>
        <w:t xml:space="preserve"> moral and economic imperatives. These more enlightened school systems across the state, including “. . . . all N</w:t>
      </w:r>
      <w:r w:rsidR="00E26ABD" w:rsidRPr="007B25AE">
        <w:rPr>
          <w:rFonts w:ascii="Baskerville" w:eastAsia="MS PMincho" w:hAnsi="Baskerville" w:cs="Arabic Typesetting"/>
        </w:rPr>
        <w:t xml:space="preserve">ew </w:t>
      </w:r>
      <w:r w:rsidR="00CE7175" w:rsidRPr="007B25AE">
        <w:rPr>
          <w:rFonts w:ascii="Baskerville" w:eastAsia="MS PMincho" w:hAnsi="Baskerville" w:cs="Arabic Typesetting"/>
        </w:rPr>
        <w:t>Y</w:t>
      </w:r>
      <w:r w:rsidR="00E26ABD" w:rsidRPr="007B25AE">
        <w:rPr>
          <w:rFonts w:ascii="Baskerville" w:eastAsia="MS PMincho" w:hAnsi="Baskerville" w:cs="Arabic Typesetting"/>
        </w:rPr>
        <w:t xml:space="preserve">ork </w:t>
      </w:r>
      <w:r w:rsidR="00CE7175" w:rsidRPr="007B25AE">
        <w:rPr>
          <w:rFonts w:ascii="Baskerville" w:eastAsia="MS PMincho" w:hAnsi="Baskerville" w:cs="Arabic Typesetting"/>
        </w:rPr>
        <w:t>C</w:t>
      </w:r>
      <w:r w:rsidR="00E26ABD" w:rsidRPr="007B25AE">
        <w:rPr>
          <w:rFonts w:ascii="Baskerville" w:eastAsia="MS PMincho" w:hAnsi="Baskerville" w:cs="Arabic Typesetting"/>
        </w:rPr>
        <w:t>ity</w:t>
      </w:r>
      <w:r w:rsidR="00CE7175" w:rsidRPr="007B25AE">
        <w:rPr>
          <w:rFonts w:ascii="Baskerville" w:eastAsia="MS PMincho" w:hAnsi="Baskerville" w:cs="Arabic Typesetting"/>
        </w:rPr>
        <w:t xml:space="preserve"> school districts—employed 3 times as many White teachers as</w:t>
      </w:r>
      <w:r w:rsidR="00DC2639" w:rsidRPr="007B25AE">
        <w:rPr>
          <w:rFonts w:ascii="Baskerville" w:eastAsia="MS PMincho" w:hAnsi="Baskerville" w:cs="Arabic Typesetting"/>
        </w:rPr>
        <w:t xml:space="preserve"> teachers of color, 7 times as many White teachers as Black . . . teachers, and 8 times as many White teachers as </w:t>
      </w:r>
      <w:r w:rsidR="00CE7175" w:rsidRPr="007B25AE">
        <w:rPr>
          <w:rFonts w:ascii="Baskerville" w:eastAsia="MS PMincho" w:hAnsi="Baskerville" w:cs="Arabic Typesetting"/>
        </w:rPr>
        <w:t>Hispanic</w:t>
      </w:r>
      <w:r w:rsidR="00DC2639" w:rsidRPr="007B25AE">
        <w:rPr>
          <w:rFonts w:ascii="Baskerville" w:eastAsia="MS PMincho" w:hAnsi="Baskerville" w:cs="Arabic Typesetting"/>
        </w:rPr>
        <w:t xml:space="preserve"> or Latino teachers</w:t>
      </w:r>
      <w:r w:rsidR="00ED46C2" w:rsidRPr="007B25AE">
        <w:rPr>
          <w:rFonts w:ascii="Baskerville" w:eastAsia="MS PMincho" w:hAnsi="Baskerville" w:cs="Arabic Typesetting"/>
        </w:rPr>
        <w:t>”</w:t>
      </w:r>
      <w:r w:rsidR="00DC2639" w:rsidRPr="007B25AE">
        <w:rPr>
          <w:rFonts w:ascii="Baskerville" w:eastAsia="MS PMincho" w:hAnsi="Baskerville" w:cs="Arabic Typesetting"/>
        </w:rPr>
        <w:t xml:space="preserve"> (NYSED data).</w:t>
      </w:r>
      <w:r w:rsidR="0023014E" w:rsidRPr="007B25AE">
        <w:rPr>
          <w:rFonts w:ascii="Baskerville" w:eastAsia="MS PMincho" w:hAnsi="Baskerville" w:cs="Arabic Typesetting"/>
        </w:rPr>
        <w:t xml:space="preserve"> </w:t>
      </w:r>
    </w:p>
    <w:p w14:paraId="59E30373" w14:textId="64ABAABA" w:rsidR="004201D8" w:rsidRPr="007B25AE" w:rsidRDefault="0023014E" w:rsidP="00117D7E">
      <w:pPr>
        <w:spacing w:line="360" w:lineRule="auto"/>
        <w:ind w:firstLine="720"/>
        <w:rPr>
          <w:rFonts w:ascii="Baskerville" w:eastAsia="MS PMincho" w:hAnsi="Baskerville" w:cs="Arabic Typesetting"/>
        </w:rPr>
      </w:pPr>
      <w:r w:rsidRPr="007B25AE">
        <w:rPr>
          <w:rFonts w:ascii="Baskerville" w:eastAsia="MS PMincho" w:hAnsi="Baskerville" w:cs="Arabic Typesetting"/>
        </w:rPr>
        <w:t>One</w:t>
      </w:r>
      <w:r w:rsidR="000D4AEC" w:rsidRPr="007B25AE">
        <w:rPr>
          <w:rFonts w:ascii="Baskerville" w:eastAsia="MS PMincho" w:hAnsi="Baskerville" w:cs="Arabic Typesetting"/>
        </w:rPr>
        <w:t xml:space="preserve"> is</w:t>
      </w:r>
      <w:r w:rsidRPr="007B25AE">
        <w:rPr>
          <w:rFonts w:ascii="Baskerville" w:eastAsia="MS PMincho" w:hAnsi="Baskerville" w:cs="Arabic Typesetting"/>
        </w:rPr>
        <w:t xml:space="preserve"> inclined to think that </w:t>
      </w:r>
      <w:r w:rsidR="00C85F31" w:rsidRPr="007B25AE">
        <w:rPr>
          <w:rFonts w:ascii="Baskerville" w:eastAsia="MS PMincho" w:hAnsi="Baskerville" w:cs="Arabic Typesetting"/>
        </w:rPr>
        <w:t xml:space="preserve">the </w:t>
      </w:r>
      <w:r w:rsidRPr="007B25AE">
        <w:rPr>
          <w:rFonts w:ascii="Baskerville" w:eastAsia="MS PMincho" w:hAnsi="Baskerville" w:cs="Arabic Typesetting"/>
        </w:rPr>
        <w:t xml:space="preserve">hiring-retention practices </w:t>
      </w:r>
      <w:r w:rsidR="00C85F31" w:rsidRPr="007B25AE">
        <w:rPr>
          <w:rFonts w:ascii="Baskerville" w:eastAsia="MS PMincho" w:hAnsi="Baskerville" w:cs="Arabic Typesetting"/>
        </w:rPr>
        <w:t xml:space="preserve">of both the </w:t>
      </w:r>
      <w:r w:rsidR="00674BDC" w:rsidRPr="007B25AE">
        <w:rPr>
          <w:rFonts w:ascii="Baskerville" w:eastAsia="MS PMincho" w:hAnsi="Baskerville" w:cs="Arabic Typesetting"/>
        </w:rPr>
        <w:t>S</w:t>
      </w:r>
      <w:r w:rsidR="00C85F31" w:rsidRPr="007B25AE">
        <w:rPr>
          <w:rFonts w:ascii="Baskerville" w:eastAsia="MS PMincho" w:hAnsi="Baskerville" w:cs="Arabic Typesetting"/>
        </w:rPr>
        <w:t xml:space="preserve">tate and </w:t>
      </w:r>
      <w:r w:rsidR="00674BDC" w:rsidRPr="007B25AE">
        <w:rPr>
          <w:rFonts w:ascii="Baskerville" w:eastAsia="MS PMincho" w:hAnsi="Baskerville" w:cs="Arabic Typesetting"/>
        </w:rPr>
        <w:t>City of New York</w:t>
      </w:r>
      <w:r w:rsidR="00C85F31" w:rsidRPr="007B25AE">
        <w:rPr>
          <w:rFonts w:ascii="Baskerville" w:eastAsia="MS PMincho" w:hAnsi="Baskerville" w:cs="Arabic Typesetting"/>
        </w:rPr>
        <w:t xml:space="preserve"> </w:t>
      </w:r>
      <w:r w:rsidR="00031F3F" w:rsidRPr="007B25AE">
        <w:rPr>
          <w:rFonts w:ascii="Baskerville" w:eastAsia="MS PMincho" w:hAnsi="Baskerville" w:cs="Arabic Typesetting"/>
        </w:rPr>
        <w:t xml:space="preserve">are </w:t>
      </w:r>
      <w:r w:rsidR="000D4AEC" w:rsidRPr="007B25AE">
        <w:rPr>
          <w:rFonts w:ascii="Baskerville" w:eastAsia="MS PMincho" w:hAnsi="Baskerville" w:cs="Arabic Typesetting"/>
        </w:rPr>
        <w:t>com</w:t>
      </w:r>
      <w:r w:rsidR="00031F3F" w:rsidRPr="007B25AE">
        <w:rPr>
          <w:rFonts w:ascii="Baskerville" w:eastAsia="MS PMincho" w:hAnsi="Baskerville" w:cs="Arabic Typesetting"/>
        </w:rPr>
        <w:t>ing out of a</w:t>
      </w:r>
      <w:r w:rsidR="00564259" w:rsidRPr="007B25AE">
        <w:rPr>
          <w:rFonts w:ascii="Baskerville" w:eastAsia="MS PMincho" w:hAnsi="Baskerville" w:cs="Arabic Typesetting"/>
        </w:rPr>
        <w:t xml:space="preserve"> </w:t>
      </w:r>
      <w:r w:rsidR="00031F3F" w:rsidRPr="007B25AE">
        <w:rPr>
          <w:rFonts w:ascii="Baskerville" w:eastAsia="MS PMincho" w:hAnsi="Baskerville" w:cs="Arabic Typesetting"/>
        </w:rPr>
        <w:t xml:space="preserve">belief system </w:t>
      </w:r>
      <w:r w:rsidR="00674BDC" w:rsidRPr="007B25AE">
        <w:rPr>
          <w:rFonts w:ascii="Baskerville" w:eastAsia="MS PMincho" w:hAnsi="Baskerville" w:cs="Arabic Typesetting"/>
        </w:rPr>
        <w:t>which</w:t>
      </w:r>
      <w:r w:rsidR="00031F3F" w:rsidRPr="007B25AE">
        <w:rPr>
          <w:rFonts w:ascii="Baskerville" w:eastAsia="MS PMincho" w:hAnsi="Baskerville" w:cs="Arabic Typesetting"/>
        </w:rPr>
        <w:t xml:space="preserve"> promotes the idea that </w:t>
      </w:r>
      <w:r w:rsidR="000D4AEC" w:rsidRPr="007B25AE">
        <w:rPr>
          <w:rFonts w:ascii="Baskerville" w:eastAsia="MS PMincho" w:hAnsi="Baskerville" w:cs="Arabic Typesetting"/>
        </w:rPr>
        <w:t>in being</w:t>
      </w:r>
      <w:r w:rsidRPr="007B25AE">
        <w:rPr>
          <w:rFonts w:ascii="Baskerville" w:eastAsia="MS PMincho" w:hAnsi="Baskerville" w:cs="Arabic Typesetting"/>
        </w:rPr>
        <w:t xml:space="preserve"> </w:t>
      </w:r>
      <w:r w:rsidR="00B12901" w:rsidRPr="007B25AE">
        <w:rPr>
          <w:rFonts w:ascii="Baskerville" w:eastAsia="MS PMincho" w:hAnsi="Baskerville" w:cs="Arabic Typesetting"/>
        </w:rPr>
        <w:t>careful to seek</w:t>
      </w:r>
      <w:r w:rsidR="00FE71E2" w:rsidRPr="007B25AE">
        <w:rPr>
          <w:rFonts w:ascii="Baskerville" w:eastAsia="MS PMincho" w:hAnsi="Baskerville" w:cs="Arabic Typesetting"/>
        </w:rPr>
        <w:t xml:space="preserve"> out</w:t>
      </w:r>
      <w:r w:rsidR="00B12901" w:rsidRPr="007B25AE">
        <w:rPr>
          <w:rFonts w:ascii="Baskerville" w:eastAsia="MS PMincho" w:hAnsi="Baskerville" w:cs="Arabic Typesetting"/>
        </w:rPr>
        <w:t xml:space="preserve"> and keep</w:t>
      </w:r>
      <w:r w:rsidRPr="007B25AE">
        <w:rPr>
          <w:rFonts w:ascii="Baskerville" w:eastAsia="MS PMincho" w:hAnsi="Baskerville" w:cs="Arabic Typesetting"/>
        </w:rPr>
        <w:t xml:space="preserve"> </w:t>
      </w:r>
      <w:r w:rsidR="00FE71E2" w:rsidRPr="007B25AE">
        <w:rPr>
          <w:rFonts w:ascii="Baskerville" w:eastAsia="MS PMincho" w:hAnsi="Baskerville" w:cs="Arabic Typesetting"/>
        </w:rPr>
        <w:t xml:space="preserve">in place </w:t>
      </w:r>
      <w:r w:rsidR="00315385" w:rsidRPr="007B25AE">
        <w:rPr>
          <w:rFonts w:ascii="Baskerville" w:eastAsia="MS PMincho" w:hAnsi="Baskerville" w:cs="Arabic Typesetting"/>
        </w:rPr>
        <w:t xml:space="preserve">the </w:t>
      </w:r>
      <w:r w:rsidRPr="007B25AE">
        <w:rPr>
          <w:rFonts w:ascii="Baskerville" w:eastAsia="MS PMincho" w:hAnsi="Baskerville" w:cs="Arabic Typesetting"/>
        </w:rPr>
        <w:t>best</w:t>
      </w:r>
      <w:r w:rsidR="00315385" w:rsidRPr="007B25AE">
        <w:rPr>
          <w:rFonts w:ascii="Baskerville" w:eastAsia="MS PMincho" w:hAnsi="Baskerville" w:cs="Arabic Typesetting"/>
        </w:rPr>
        <w:t xml:space="preserve"> qualified</w:t>
      </w:r>
      <w:r w:rsidR="00106EA4" w:rsidRPr="007B25AE">
        <w:rPr>
          <w:rFonts w:ascii="Baskerville" w:eastAsia="MS PMincho" w:hAnsi="Baskerville" w:cs="Arabic Typesetting"/>
        </w:rPr>
        <w:t xml:space="preserve"> teachers</w:t>
      </w:r>
      <w:r w:rsidR="000D4AEC" w:rsidRPr="007B25AE">
        <w:rPr>
          <w:rFonts w:ascii="Baskerville" w:eastAsia="MS PMincho" w:hAnsi="Baskerville" w:cs="Arabic Typesetting"/>
        </w:rPr>
        <w:t xml:space="preserve">, attention </w:t>
      </w:r>
      <w:proofErr w:type="gramStart"/>
      <w:r w:rsidR="000D4AEC" w:rsidRPr="007B25AE">
        <w:rPr>
          <w:rFonts w:ascii="Baskerville" w:eastAsia="MS PMincho" w:hAnsi="Baskerville" w:cs="Arabic Typesetting"/>
        </w:rPr>
        <w:t>has to</w:t>
      </w:r>
      <w:proofErr w:type="gramEnd"/>
      <w:r w:rsidR="000D4AEC" w:rsidRPr="007B25AE">
        <w:rPr>
          <w:rFonts w:ascii="Baskerville" w:eastAsia="MS PMincho" w:hAnsi="Baskerville" w:cs="Arabic Typesetting"/>
        </w:rPr>
        <w:t xml:space="preserve"> be paid to the </w:t>
      </w:r>
      <w:r w:rsidR="00106EA4" w:rsidRPr="007B25AE">
        <w:rPr>
          <w:rFonts w:ascii="Baskerville" w:eastAsia="MS PMincho" w:hAnsi="Baskerville" w:cs="Arabic Typesetting"/>
        </w:rPr>
        <w:t xml:space="preserve">mistaken </w:t>
      </w:r>
      <w:r w:rsidR="000D4AEC" w:rsidRPr="007B25AE">
        <w:rPr>
          <w:rFonts w:ascii="Baskerville" w:eastAsia="MS PMincho" w:hAnsi="Baskerville" w:cs="Arabic Typesetting"/>
        </w:rPr>
        <w:t>notion that</w:t>
      </w:r>
      <w:r w:rsidRPr="007B25AE">
        <w:rPr>
          <w:rFonts w:ascii="Baskerville" w:eastAsia="MS PMincho" w:hAnsi="Baskerville" w:cs="Arabic Typesetting"/>
        </w:rPr>
        <w:t xml:space="preserve"> teachers of color just do not make the cut</w:t>
      </w:r>
      <w:r w:rsidR="00315385" w:rsidRPr="007B25AE">
        <w:rPr>
          <w:rFonts w:ascii="Baskerville" w:eastAsia="MS PMincho" w:hAnsi="Baskerville" w:cs="Arabic Typesetting"/>
        </w:rPr>
        <w:t>.</w:t>
      </w:r>
      <w:r w:rsidRPr="007B25AE">
        <w:rPr>
          <w:rFonts w:ascii="Baskerville" w:eastAsia="MS PMincho" w:hAnsi="Baskerville" w:cs="Arabic Typesetting"/>
        </w:rPr>
        <w:t xml:space="preserve"> </w:t>
      </w:r>
      <w:r w:rsidR="00E4146E" w:rsidRPr="007B25AE">
        <w:rPr>
          <w:rFonts w:ascii="Baskerville" w:eastAsia="MS PMincho" w:hAnsi="Baskerville" w:cs="Arabic Typesetting"/>
        </w:rPr>
        <w:t>Ultimately</w:t>
      </w:r>
      <w:r w:rsidR="00076B9A" w:rsidRPr="007B25AE">
        <w:rPr>
          <w:rFonts w:ascii="Baskerville" w:eastAsia="MS PMincho" w:hAnsi="Baskerville" w:cs="Arabic Typesetting"/>
        </w:rPr>
        <w:t xml:space="preserve">, </w:t>
      </w:r>
      <w:r w:rsidR="00C85F31" w:rsidRPr="007B25AE">
        <w:rPr>
          <w:rFonts w:ascii="Baskerville" w:eastAsia="MS PMincho" w:hAnsi="Baskerville" w:cs="Arabic Typesetting"/>
        </w:rPr>
        <w:t>it goes without saying</w:t>
      </w:r>
      <w:r w:rsidR="00076B9A" w:rsidRPr="007B25AE">
        <w:rPr>
          <w:rFonts w:ascii="Baskerville" w:eastAsia="MS PMincho" w:hAnsi="Baskerville" w:cs="Arabic Typesetting"/>
        </w:rPr>
        <w:t xml:space="preserve"> </w:t>
      </w:r>
      <w:r w:rsidR="00106EA4" w:rsidRPr="007B25AE">
        <w:rPr>
          <w:rFonts w:ascii="Baskerville" w:eastAsia="MS PMincho" w:hAnsi="Baskerville" w:cs="Arabic Typesetting"/>
        </w:rPr>
        <w:t>that a successful teaching</w:t>
      </w:r>
      <w:r w:rsidR="00143DF7" w:rsidRPr="007B25AE">
        <w:rPr>
          <w:rFonts w:ascii="Baskerville" w:eastAsia="MS PMincho" w:hAnsi="Baskerville" w:cs="Arabic Typesetting"/>
        </w:rPr>
        <w:t>-</w:t>
      </w:r>
      <w:r w:rsidR="00106EA4" w:rsidRPr="007B25AE">
        <w:rPr>
          <w:rFonts w:ascii="Baskerville" w:eastAsia="MS PMincho" w:hAnsi="Baskerville" w:cs="Arabic Typesetting"/>
        </w:rPr>
        <w:t>force is one whose students succe</w:t>
      </w:r>
      <w:r w:rsidR="005773DD" w:rsidRPr="007B25AE">
        <w:rPr>
          <w:rFonts w:ascii="Baskerville" w:eastAsia="MS PMincho" w:hAnsi="Baskerville" w:cs="Arabic Typesetting"/>
        </w:rPr>
        <w:t>ed</w:t>
      </w:r>
      <w:r w:rsidR="00BB2C67" w:rsidRPr="007B25AE">
        <w:rPr>
          <w:rFonts w:ascii="Baskerville" w:eastAsia="MS PMincho" w:hAnsi="Baskerville" w:cs="Arabic Typesetting"/>
        </w:rPr>
        <w:t xml:space="preserve">. </w:t>
      </w:r>
      <w:r w:rsidR="00E4146E" w:rsidRPr="007B25AE">
        <w:rPr>
          <w:rFonts w:ascii="Baskerville" w:eastAsia="MS PMincho" w:hAnsi="Baskerville" w:cs="Arabic Typesetting"/>
        </w:rPr>
        <w:t>And</w:t>
      </w:r>
      <w:r w:rsidR="00BB2C67" w:rsidRPr="007B25AE">
        <w:rPr>
          <w:rFonts w:ascii="Baskerville" w:eastAsia="MS PMincho" w:hAnsi="Baskerville" w:cs="Arabic Typesetting"/>
        </w:rPr>
        <w:t xml:space="preserve"> a good part of </w:t>
      </w:r>
      <w:r w:rsidR="00E4146E" w:rsidRPr="007B25AE">
        <w:rPr>
          <w:rFonts w:ascii="Baskerville" w:eastAsia="MS PMincho" w:hAnsi="Baskerville" w:cs="Arabic Typesetting"/>
        </w:rPr>
        <w:t>student-</w:t>
      </w:r>
      <w:r w:rsidR="00BB2C67" w:rsidRPr="007B25AE">
        <w:rPr>
          <w:rFonts w:ascii="Baskerville" w:eastAsia="MS PMincho" w:hAnsi="Baskerville" w:cs="Arabic Typesetting"/>
        </w:rPr>
        <w:t xml:space="preserve">success requires that </w:t>
      </w:r>
      <w:r w:rsidR="00F34F4B" w:rsidRPr="007B25AE">
        <w:rPr>
          <w:rFonts w:ascii="Baskerville" w:eastAsia="MS PMincho" w:hAnsi="Baskerville" w:cs="Arabic Typesetting"/>
        </w:rPr>
        <w:t>teachers</w:t>
      </w:r>
      <w:r w:rsidR="00BB2C67" w:rsidRPr="007B25AE">
        <w:rPr>
          <w:rFonts w:ascii="Baskerville" w:eastAsia="MS PMincho" w:hAnsi="Baskerville" w:cs="Arabic Typesetting"/>
        </w:rPr>
        <w:t xml:space="preserve"> </w:t>
      </w:r>
      <w:r w:rsidR="00C85F31" w:rsidRPr="007B25AE">
        <w:rPr>
          <w:rFonts w:ascii="Baskerville" w:eastAsia="MS PMincho" w:hAnsi="Baskerville" w:cs="Arabic Typesetting"/>
        </w:rPr>
        <w:t xml:space="preserve">who </w:t>
      </w:r>
      <w:r w:rsidR="002E211E" w:rsidRPr="007B25AE">
        <w:rPr>
          <w:rFonts w:ascii="Baskerville" w:eastAsia="MS PMincho" w:hAnsi="Baskerville" w:cs="Arabic Typesetting"/>
        </w:rPr>
        <w:t xml:space="preserve">are hired and retained include an ample supply of </w:t>
      </w:r>
      <w:r w:rsidR="002777A9" w:rsidRPr="007B25AE">
        <w:rPr>
          <w:rFonts w:ascii="Baskerville" w:eastAsia="MS PMincho" w:hAnsi="Baskerville" w:cs="Arabic Typesetting"/>
        </w:rPr>
        <w:t>those</w:t>
      </w:r>
      <w:r w:rsidR="002E211E" w:rsidRPr="007B25AE">
        <w:rPr>
          <w:rFonts w:ascii="Baskerville" w:eastAsia="MS PMincho" w:hAnsi="Baskerville" w:cs="Arabic Typesetting"/>
        </w:rPr>
        <w:t xml:space="preserve"> who </w:t>
      </w:r>
      <w:r w:rsidR="00C85F31" w:rsidRPr="007B25AE">
        <w:rPr>
          <w:rFonts w:ascii="Baskerville" w:eastAsia="MS PMincho" w:hAnsi="Baskerville" w:cs="Arabic Typesetting"/>
        </w:rPr>
        <w:t>match the student</w:t>
      </w:r>
      <w:r w:rsidR="00674BDC" w:rsidRPr="007B25AE">
        <w:rPr>
          <w:rFonts w:ascii="Baskerville" w:eastAsia="MS PMincho" w:hAnsi="Baskerville" w:cs="Arabic Typesetting"/>
        </w:rPr>
        <w:t xml:space="preserve"> population</w:t>
      </w:r>
      <w:r w:rsidR="00BB2C67" w:rsidRPr="007B25AE">
        <w:rPr>
          <w:rFonts w:ascii="Baskerville" w:eastAsia="MS PMincho" w:hAnsi="Baskerville" w:cs="Arabic Typesetting"/>
        </w:rPr>
        <w:t xml:space="preserve"> </w:t>
      </w:r>
      <w:r w:rsidR="00674BDC" w:rsidRPr="007B25AE">
        <w:rPr>
          <w:rFonts w:ascii="Baskerville" w:eastAsia="MS PMincho" w:hAnsi="Baskerville" w:cs="Arabic Typesetting"/>
        </w:rPr>
        <w:t xml:space="preserve">in respect to </w:t>
      </w:r>
      <w:r w:rsidR="00BB2C67" w:rsidRPr="007B25AE">
        <w:rPr>
          <w:rFonts w:ascii="Baskerville" w:eastAsia="MS PMincho" w:hAnsi="Baskerville" w:cs="Arabic Typesetting"/>
        </w:rPr>
        <w:t>demography</w:t>
      </w:r>
      <w:r w:rsidR="0057667B" w:rsidRPr="007B25AE">
        <w:rPr>
          <w:rFonts w:ascii="Baskerville" w:eastAsia="MS PMincho" w:hAnsi="Baskerville" w:cs="Arabic Typesetting"/>
        </w:rPr>
        <w:t>,</w:t>
      </w:r>
      <w:r w:rsidR="00D24724" w:rsidRPr="007B25AE">
        <w:rPr>
          <w:rFonts w:ascii="Baskerville" w:eastAsia="MS PMincho" w:hAnsi="Baskerville" w:cs="Arabic Typesetting"/>
        </w:rPr>
        <w:t xml:space="preserve"> if for no other reason than to answer the roll</w:t>
      </w:r>
      <w:r w:rsidR="002777A9" w:rsidRPr="007B25AE">
        <w:rPr>
          <w:rFonts w:ascii="Baskerville" w:eastAsia="MS PMincho" w:hAnsi="Baskerville" w:cs="Arabic Typesetting"/>
        </w:rPr>
        <w:t xml:space="preserve"> </w:t>
      </w:r>
      <w:r w:rsidR="00D24724" w:rsidRPr="007B25AE">
        <w:rPr>
          <w:rFonts w:ascii="Baskerville" w:eastAsia="MS PMincho" w:hAnsi="Baskerville" w:cs="Arabic Typesetting"/>
        </w:rPr>
        <w:t>call</w:t>
      </w:r>
      <w:r w:rsidR="009E0764" w:rsidRPr="007B25AE">
        <w:rPr>
          <w:rFonts w:ascii="Baskerville" w:eastAsia="MS PMincho" w:hAnsi="Baskerville" w:cs="Arabic Typesetting"/>
        </w:rPr>
        <w:t xml:space="preserve">. </w:t>
      </w:r>
      <w:r w:rsidR="00E4146E" w:rsidRPr="007B25AE">
        <w:rPr>
          <w:rFonts w:ascii="Baskerville" w:eastAsia="MS PMincho" w:hAnsi="Baskerville" w:cs="Arabic Typesetting"/>
        </w:rPr>
        <w:t>One can see</w:t>
      </w:r>
      <w:r w:rsidR="00076B9A" w:rsidRPr="007B25AE">
        <w:rPr>
          <w:rFonts w:ascii="Baskerville" w:eastAsia="MS PMincho" w:hAnsi="Baskerville" w:cs="Arabic Typesetting"/>
        </w:rPr>
        <w:t xml:space="preserve"> </w:t>
      </w:r>
      <w:r w:rsidR="00E4146E" w:rsidRPr="007B25AE">
        <w:rPr>
          <w:rFonts w:ascii="Baskerville" w:eastAsia="MS PMincho" w:hAnsi="Baskerville" w:cs="Arabic Typesetting"/>
        </w:rPr>
        <w:t xml:space="preserve">how this practical principle </w:t>
      </w:r>
      <w:r w:rsidR="005773DD" w:rsidRPr="007B25AE">
        <w:rPr>
          <w:rFonts w:ascii="Baskerville" w:eastAsia="MS PMincho" w:hAnsi="Baskerville" w:cs="Arabic Typesetting"/>
        </w:rPr>
        <w:t>fits tidily into</w:t>
      </w:r>
      <w:r w:rsidR="00076B9A" w:rsidRPr="007B25AE">
        <w:rPr>
          <w:rFonts w:ascii="Baskerville" w:eastAsia="MS PMincho" w:hAnsi="Baskerville" w:cs="Arabic Typesetting"/>
        </w:rPr>
        <w:t xml:space="preserve"> John Milton</w:t>
      </w:r>
      <w:r w:rsidR="00E4146E" w:rsidRPr="007B25AE">
        <w:rPr>
          <w:rFonts w:ascii="Baskerville" w:eastAsia="MS PMincho" w:hAnsi="Baskerville" w:cs="Arabic Typesetting"/>
        </w:rPr>
        <w:t>’s</w:t>
      </w:r>
      <w:r w:rsidR="009E0764" w:rsidRPr="007B25AE">
        <w:rPr>
          <w:rFonts w:ascii="Baskerville" w:eastAsia="MS PMincho" w:hAnsi="Baskerville" w:cs="Arabic Typesetting"/>
        </w:rPr>
        <w:t xml:space="preserve"> “Sonnet 26” </w:t>
      </w:r>
      <w:r w:rsidR="00076B9A" w:rsidRPr="007B25AE">
        <w:rPr>
          <w:rFonts w:ascii="Baskerville" w:eastAsia="MS PMincho" w:hAnsi="Baskerville" w:cs="Arabic Typesetting"/>
        </w:rPr>
        <w:t>whe</w:t>
      </w:r>
      <w:r w:rsidR="00143DF7" w:rsidRPr="007B25AE">
        <w:rPr>
          <w:rFonts w:ascii="Baskerville" w:eastAsia="MS PMincho" w:hAnsi="Baskerville" w:cs="Arabic Typesetting"/>
        </w:rPr>
        <w:t>re</w:t>
      </w:r>
      <w:r w:rsidR="00076B9A" w:rsidRPr="007B25AE">
        <w:rPr>
          <w:rFonts w:ascii="Baskerville" w:eastAsia="MS PMincho" w:hAnsi="Baskerville" w:cs="Arabic Typesetting"/>
        </w:rPr>
        <w:t xml:space="preserve"> he wr</w:t>
      </w:r>
      <w:r w:rsidR="00143DF7" w:rsidRPr="007B25AE">
        <w:rPr>
          <w:rFonts w:ascii="Baskerville" w:eastAsia="MS PMincho" w:hAnsi="Baskerville" w:cs="Arabic Typesetting"/>
        </w:rPr>
        <w:t>i</w:t>
      </w:r>
      <w:r w:rsidR="00076B9A" w:rsidRPr="007B25AE">
        <w:rPr>
          <w:rFonts w:ascii="Baskerville" w:eastAsia="MS PMincho" w:hAnsi="Baskerville" w:cs="Arabic Typesetting"/>
        </w:rPr>
        <w:t>te</w:t>
      </w:r>
      <w:r w:rsidR="00143DF7" w:rsidRPr="007B25AE">
        <w:rPr>
          <w:rFonts w:ascii="Baskerville" w:eastAsia="MS PMincho" w:hAnsi="Baskerville" w:cs="Arabic Typesetting"/>
        </w:rPr>
        <w:t>s that</w:t>
      </w:r>
      <w:r w:rsidR="00076B9A" w:rsidRPr="007B25AE">
        <w:rPr>
          <w:rFonts w:ascii="Baskerville" w:eastAsia="MS PMincho" w:hAnsi="Baskerville" w:cs="Arabic Typesetting"/>
        </w:rPr>
        <w:t xml:space="preserve">, “They also serve who </w:t>
      </w:r>
      <w:r w:rsidR="009E0764" w:rsidRPr="007B25AE">
        <w:rPr>
          <w:rFonts w:ascii="Baskerville" w:eastAsia="MS PMincho" w:hAnsi="Baskerville" w:cs="Arabic Typesetting"/>
        </w:rPr>
        <w:t xml:space="preserve">only </w:t>
      </w:r>
      <w:r w:rsidR="00076B9A" w:rsidRPr="007B25AE">
        <w:rPr>
          <w:rFonts w:ascii="Baskerville" w:eastAsia="MS PMincho" w:hAnsi="Baskerville" w:cs="Arabic Typesetting"/>
        </w:rPr>
        <w:t>stand and wait</w:t>
      </w:r>
      <w:r w:rsidR="00ED4FE4" w:rsidRPr="007B25AE">
        <w:rPr>
          <w:rFonts w:ascii="Baskerville" w:eastAsia="MS PMincho" w:hAnsi="Baskerville" w:cs="Arabic Typesetting"/>
        </w:rPr>
        <w:t>.</w:t>
      </w:r>
      <w:r w:rsidR="00076B9A" w:rsidRPr="007B25AE">
        <w:rPr>
          <w:rFonts w:ascii="Baskerville" w:eastAsia="MS PMincho" w:hAnsi="Baskerville" w:cs="Arabic Typesetting"/>
        </w:rPr>
        <w:t>”</w:t>
      </w:r>
    </w:p>
    <w:p w14:paraId="71B165C1" w14:textId="237A8E66" w:rsidR="00DC0293" w:rsidRPr="007B25AE" w:rsidRDefault="00E37554" w:rsidP="00117D7E">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To </w:t>
      </w:r>
      <w:r w:rsidR="00DC0293" w:rsidRPr="007B25AE">
        <w:rPr>
          <w:rFonts w:ascii="Baskerville" w:eastAsia="MS PMincho" w:hAnsi="Baskerville" w:cs="Arabic Typesetting"/>
        </w:rPr>
        <w:t>this, we cannot deny the implication that</w:t>
      </w:r>
      <w:r w:rsidR="00412E39" w:rsidRPr="007B25AE">
        <w:rPr>
          <w:rFonts w:ascii="Baskerville" w:eastAsia="MS PMincho" w:hAnsi="Baskerville" w:cs="Arabic Typesetting"/>
        </w:rPr>
        <w:t xml:space="preserve"> </w:t>
      </w:r>
      <w:r w:rsidR="00DC0293" w:rsidRPr="007B25AE">
        <w:rPr>
          <w:rFonts w:ascii="Baskerville" w:eastAsia="MS PMincho" w:hAnsi="Baskerville" w:cs="Arabic Typesetting"/>
        </w:rPr>
        <w:t>the</w:t>
      </w:r>
      <w:r w:rsidR="0046400F" w:rsidRPr="007B25AE">
        <w:rPr>
          <w:rFonts w:ascii="Baskerville" w:eastAsia="MS PMincho" w:hAnsi="Baskerville" w:cs="Arabic Typesetting"/>
        </w:rPr>
        <w:t xml:space="preserve"> </w:t>
      </w:r>
      <w:r w:rsidR="007C2E01" w:rsidRPr="007B25AE">
        <w:rPr>
          <w:rFonts w:ascii="Baskerville" w:eastAsia="MS PMincho" w:hAnsi="Baskerville" w:cs="Arabic Typesetting"/>
        </w:rPr>
        <w:t>lopsided</w:t>
      </w:r>
      <w:r w:rsidR="007517AD" w:rsidRPr="007B25AE">
        <w:rPr>
          <w:rFonts w:ascii="Baskerville" w:eastAsia="MS PMincho" w:hAnsi="Baskerville" w:cs="Arabic Typesetting"/>
        </w:rPr>
        <w:t xml:space="preserve"> </w:t>
      </w:r>
      <w:r w:rsidR="00BE56FF" w:rsidRPr="007B25AE">
        <w:rPr>
          <w:rFonts w:ascii="Baskerville" w:eastAsia="MS PMincho" w:hAnsi="Baskerville" w:cs="Arabic Typesetting"/>
        </w:rPr>
        <w:t>teacher</w:t>
      </w:r>
      <w:r w:rsidR="0046400F" w:rsidRPr="007B25AE">
        <w:rPr>
          <w:rFonts w:ascii="Baskerville" w:eastAsia="MS PMincho" w:hAnsi="Baskerville" w:cs="Arabic Typesetting"/>
        </w:rPr>
        <w:t>/</w:t>
      </w:r>
      <w:r w:rsidR="00BE56FF" w:rsidRPr="007B25AE">
        <w:rPr>
          <w:rFonts w:ascii="Baskerville" w:eastAsia="MS PMincho" w:hAnsi="Baskerville" w:cs="Arabic Typesetting"/>
        </w:rPr>
        <w:t>student</w:t>
      </w:r>
      <w:r w:rsidR="0046400F" w:rsidRPr="007B25AE">
        <w:rPr>
          <w:rFonts w:ascii="Baskerville" w:eastAsia="MS PMincho" w:hAnsi="Baskerville" w:cs="Arabic Typesetting"/>
        </w:rPr>
        <w:t xml:space="preserve"> ratio</w:t>
      </w:r>
      <w:r w:rsidR="0066785C" w:rsidRPr="007B25AE">
        <w:rPr>
          <w:rFonts w:ascii="Baskerville" w:eastAsia="MS PMincho" w:hAnsi="Baskerville" w:cs="Arabic Typesetting"/>
        </w:rPr>
        <w:t>,</w:t>
      </w:r>
      <w:r w:rsidR="0046400F" w:rsidRPr="007B25AE">
        <w:rPr>
          <w:rFonts w:ascii="Baskerville" w:eastAsia="MS PMincho" w:hAnsi="Baskerville" w:cs="Arabic Typesetting"/>
        </w:rPr>
        <w:t xml:space="preserve"> </w:t>
      </w:r>
      <w:r w:rsidR="007517AD" w:rsidRPr="007B25AE">
        <w:rPr>
          <w:rFonts w:ascii="Baskerville" w:eastAsia="MS PMincho" w:hAnsi="Baskerville" w:cs="Arabic Typesetting"/>
        </w:rPr>
        <w:t xml:space="preserve">created by </w:t>
      </w:r>
      <w:r w:rsidR="009E0764" w:rsidRPr="007B25AE">
        <w:rPr>
          <w:rFonts w:ascii="Baskerville" w:eastAsia="MS PMincho" w:hAnsi="Baskerville" w:cs="Arabic Typesetting"/>
        </w:rPr>
        <w:t xml:space="preserve">New York State and City </w:t>
      </w:r>
      <w:r w:rsidR="00412E39" w:rsidRPr="007B25AE">
        <w:rPr>
          <w:rFonts w:ascii="Baskerville" w:eastAsia="MS PMincho" w:hAnsi="Baskerville" w:cs="Arabic Typesetting"/>
        </w:rPr>
        <w:t>hiring</w:t>
      </w:r>
      <w:r w:rsidR="00DB1D68" w:rsidRPr="007B25AE">
        <w:rPr>
          <w:rFonts w:ascii="Baskerville" w:eastAsia="MS PMincho" w:hAnsi="Baskerville" w:cs="Arabic Typesetting"/>
        </w:rPr>
        <w:t>-</w:t>
      </w:r>
      <w:r w:rsidR="00412E39" w:rsidRPr="007B25AE">
        <w:rPr>
          <w:rFonts w:ascii="Baskerville" w:eastAsia="MS PMincho" w:hAnsi="Baskerville" w:cs="Arabic Typesetting"/>
        </w:rPr>
        <w:t>retention practice</w:t>
      </w:r>
      <w:r w:rsidR="00315385" w:rsidRPr="007B25AE">
        <w:rPr>
          <w:rFonts w:ascii="Baskerville" w:eastAsia="MS PMincho" w:hAnsi="Baskerville" w:cs="Arabic Typesetting"/>
        </w:rPr>
        <w:t>s</w:t>
      </w:r>
      <w:r w:rsidR="00EC2C56" w:rsidRPr="007B25AE">
        <w:rPr>
          <w:rFonts w:ascii="Baskerville" w:eastAsia="MS PMincho" w:hAnsi="Baskerville" w:cs="Arabic Typesetting"/>
        </w:rPr>
        <w:t>,</w:t>
      </w:r>
      <w:r w:rsidR="00125CC9" w:rsidRPr="007B25AE">
        <w:rPr>
          <w:rFonts w:ascii="Baskerville" w:eastAsia="MS PMincho" w:hAnsi="Baskerville" w:cs="Arabic Typesetting"/>
        </w:rPr>
        <w:t xml:space="preserve"> </w:t>
      </w:r>
      <w:r w:rsidR="00DB1D68" w:rsidRPr="007B25AE">
        <w:rPr>
          <w:rFonts w:ascii="Baskerville" w:eastAsia="MS PMincho" w:hAnsi="Baskerville" w:cs="Arabic Typesetting"/>
        </w:rPr>
        <w:t>in respect to race</w:t>
      </w:r>
      <w:r w:rsidR="00412E39" w:rsidRPr="007B25AE">
        <w:rPr>
          <w:rFonts w:ascii="Baskerville" w:eastAsia="MS PMincho" w:hAnsi="Baskerville" w:cs="Arabic Typesetting"/>
        </w:rPr>
        <w:t>,</w:t>
      </w:r>
      <w:r w:rsidR="00DC0293" w:rsidRPr="007B25AE">
        <w:rPr>
          <w:rFonts w:ascii="Baskerville" w:eastAsia="MS PMincho" w:hAnsi="Baskerville" w:cs="Arabic Typesetting"/>
        </w:rPr>
        <w:t xml:space="preserve"> </w:t>
      </w:r>
      <w:r w:rsidR="00DB1D68" w:rsidRPr="007B25AE">
        <w:rPr>
          <w:rFonts w:ascii="Baskerville" w:eastAsia="MS PMincho" w:hAnsi="Baskerville" w:cs="Arabic Typesetting"/>
        </w:rPr>
        <w:t xml:space="preserve">is </w:t>
      </w:r>
      <w:r w:rsidR="002E211E" w:rsidRPr="007B25AE">
        <w:rPr>
          <w:rFonts w:ascii="Baskerville" w:eastAsia="MS PMincho" w:hAnsi="Baskerville" w:cs="Arabic Typesetting"/>
        </w:rPr>
        <w:t>that</w:t>
      </w:r>
      <w:r w:rsidR="00076B9A" w:rsidRPr="007B25AE">
        <w:rPr>
          <w:rFonts w:ascii="Baskerville" w:eastAsia="MS PMincho" w:hAnsi="Baskerville" w:cs="Arabic Typesetting"/>
        </w:rPr>
        <w:t xml:space="preserve"> </w:t>
      </w:r>
      <w:r w:rsidR="00EC2C56" w:rsidRPr="007B25AE">
        <w:rPr>
          <w:rFonts w:ascii="Baskerville" w:eastAsia="MS PMincho" w:hAnsi="Baskerville" w:cs="Arabic Typesetting"/>
        </w:rPr>
        <w:t xml:space="preserve">enormously </w:t>
      </w:r>
      <w:r w:rsidR="00DB1D68" w:rsidRPr="007B25AE">
        <w:rPr>
          <w:rFonts w:ascii="Baskerville" w:eastAsia="MS PMincho" w:hAnsi="Baskerville" w:cs="Arabic Typesetting"/>
        </w:rPr>
        <w:t>powerful</w:t>
      </w:r>
      <w:r w:rsidR="005773DD" w:rsidRPr="007B25AE">
        <w:rPr>
          <w:rFonts w:ascii="Baskerville" w:eastAsia="MS PMincho" w:hAnsi="Baskerville" w:cs="Arabic Typesetting"/>
        </w:rPr>
        <w:t>, though damning</w:t>
      </w:r>
      <w:r w:rsidR="00412E39" w:rsidRPr="007B25AE">
        <w:rPr>
          <w:rFonts w:ascii="Baskerville" w:eastAsia="MS PMincho" w:hAnsi="Baskerville" w:cs="Arabic Typesetting"/>
        </w:rPr>
        <w:t xml:space="preserve"> </w:t>
      </w:r>
      <w:r w:rsidR="00BF4CBA" w:rsidRPr="007B25AE">
        <w:rPr>
          <w:rFonts w:ascii="Baskerville" w:eastAsia="MS PMincho" w:hAnsi="Baskerville" w:cs="Arabic Typesetting"/>
        </w:rPr>
        <w:t>independent variable</w:t>
      </w:r>
      <w:r w:rsidR="00125CC9" w:rsidRPr="007B25AE">
        <w:rPr>
          <w:rFonts w:ascii="Baskerville" w:eastAsia="MS PMincho" w:hAnsi="Baskerville" w:cs="Arabic Typesetting"/>
        </w:rPr>
        <w:t xml:space="preserve"> (</w:t>
      </w:r>
      <w:r w:rsidR="00BF4CBA" w:rsidRPr="007B25AE">
        <w:rPr>
          <w:rFonts w:ascii="Baskerville" w:eastAsia="MS PMincho" w:hAnsi="Baskerville" w:cs="Arabic Typesetting"/>
        </w:rPr>
        <w:t>x</w:t>
      </w:r>
      <w:r w:rsidR="00125CC9" w:rsidRPr="007B25AE">
        <w:rPr>
          <w:rFonts w:ascii="Baskerville" w:eastAsia="MS PMincho" w:hAnsi="Baskerville" w:cs="Arabic Typesetting"/>
        </w:rPr>
        <w:t>)</w:t>
      </w:r>
      <w:r w:rsidR="002E211E" w:rsidRPr="007B25AE">
        <w:rPr>
          <w:rFonts w:ascii="Baskerville" w:eastAsia="MS PMincho" w:hAnsi="Baskerville" w:cs="Arabic Typesetting"/>
        </w:rPr>
        <w:t xml:space="preserve"> </w:t>
      </w:r>
      <w:r w:rsidR="007C2E01" w:rsidRPr="007B25AE">
        <w:rPr>
          <w:rFonts w:ascii="Baskerville" w:eastAsia="MS PMincho" w:hAnsi="Baskerville" w:cs="Arabic Typesetting"/>
        </w:rPr>
        <w:t xml:space="preserve">that </w:t>
      </w:r>
      <w:r w:rsidR="002E211E" w:rsidRPr="007B25AE">
        <w:rPr>
          <w:rFonts w:ascii="Baskerville" w:eastAsia="MS PMincho" w:hAnsi="Baskerville" w:cs="Arabic Typesetting"/>
        </w:rPr>
        <w:t>is</w:t>
      </w:r>
      <w:r w:rsidR="0066785C" w:rsidRPr="007B25AE">
        <w:rPr>
          <w:rFonts w:ascii="Baskerville" w:eastAsia="MS PMincho" w:hAnsi="Baskerville" w:cs="Arabic Typesetting"/>
        </w:rPr>
        <w:t xml:space="preserve"> hard</w:t>
      </w:r>
      <w:r w:rsidR="002777A9" w:rsidRPr="007B25AE">
        <w:rPr>
          <w:rFonts w:ascii="Baskerville" w:eastAsia="MS PMincho" w:hAnsi="Baskerville" w:cs="Arabic Typesetting"/>
        </w:rPr>
        <w:t xml:space="preserve"> </w:t>
      </w:r>
      <w:r w:rsidR="00125CC9" w:rsidRPr="007B25AE">
        <w:rPr>
          <w:rFonts w:ascii="Baskerville" w:eastAsia="MS PMincho" w:hAnsi="Baskerville" w:cs="Arabic Typesetting"/>
        </w:rPr>
        <w:t>at work</w:t>
      </w:r>
      <w:r w:rsidR="00BF4CBA" w:rsidRPr="007B25AE">
        <w:rPr>
          <w:rFonts w:ascii="Baskerville" w:eastAsia="MS PMincho" w:hAnsi="Baskerville" w:cs="Arabic Typesetting"/>
        </w:rPr>
        <w:t xml:space="preserve">. </w:t>
      </w:r>
      <w:r w:rsidR="00FE0285" w:rsidRPr="007B25AE">
        <w:rPr>
          <w:rFonts w:ascii="Baskerville" w:eastAsia="MS PMincho" w:hAnsi="Baskerville" w:cs="Arabic Typesetting"/>
        </w:rPr>
        <w:t>On</w:t>
      </w:r>
      <w:r w:rsidR="0031547D" w:rsidRPr="007B25AE">
        <w:rPr>
          <w:rFonts w:ascii="Baskerville" w:eastAsia="MS PMincho" w:hAnsi="Baskerville" w:cs="Arabic Typesetting"/>
        </w:rPr>
        <w:t xml:space="preserve"> the </w:t>
      </w:r>
      <w:r w:rsidR="00A90E13" w:rsidRPr="007B25AE">
        <w:rPr>
          <w:rFonts w:ascii="Baskerville" w:eastAsia="MS PMincho" w:hAnsi="Baskerville" w:cs="Arabic Typesetting"/>
        </w:rPr>
        <w:t>y-</w:t>
      </w:r>
      <w:r w:rsidR="00143DF7" w:rsidRPr="007B25AE">
        <w:rPr>
          <w:rFonts w:ascii="Baskerville" w:eastAsia="MS PMincho" w:hAnsi="Baskerville" w:cs="Arabic Typesetting"/>
        </w:rPr>
        <w:t>side</w:t>
      </w:r>
      <w:r w:rsidR="00315385" w:rsidRPr="007B25AE">
        <w:rPr>
          <w:rFonts w:ascii="Baskerville" w:eastAsia="MS PMincho" w:hAnsi="Baskerville" w:cs="Arabic Typesetting"/>
        </w:rPr>
        <w:t xml:space="preserve"> of the equation</w:t>
      </w:r>
      <w:r w:rsidR="00B75F97" w:rsidRPr="007B25AE">
        <w:rPr>
          <w:rFonts w:ascii="Baskerville" w:eastAsia="MS PMincho" w:hAnsi="Baskerville" w:cs="Arabic Typesetting"/>
        </w:rPr>
        <w:t>,</w:t>
      </w:r>
      <w:r w:rsidR="00BF4CBA" w:rsidRPr="007B25AE">
        <w:rPr>
          <w:rFonts w:ascii="Baskerville" w:eastAsia="MS PMincho" w:hAnsi="Baskerville" w:cs="Arabic Typesetting"/>
        </w:rPr>
        <w:t xml:space="preserve"> </w:t>
      </w:r>
      <w:r w:rsidR="00EF12BB" w:rsidRPr="007B25AE">
        <w:rPr>
          <w:rFonts w:ascii="Baskerville" w:eastAsia="MS PMincho" w:hAnsi="Baskerville" w:cs="Arabic Typesetting"/>
        </w:rPr>
        <w:t xml:space="preserve">where </w:t>
      </w:r>
      <w:r w:rsidR="0057667B" w:rsidRPr="007B25AE">
        <w:rPr>
          <w:rFonts w:ascii="Baskerville" w:eastAsia="MS PMincho" w:hAnsi="Baskerville" w:cs="Arabic Typesetting"/>
        </w:rPr>
        <w:t>th</w:t>
      </w:r>
      <w:r w:rsidR="004B63C7" w:rsidRPr="007B25AE">
        <w:rPr>
          <w:rFonts w:ascii="Baskerville" w:eastAsia="MS PMincho" w:hAnsi="Baskerville" w:cs="Arabic Typesetting"/>
        </w:rPr>
        <w:t>a</w:t>
      </w:r>
      <w:r w:rsidR="0057667B" w:rsidRPr="007B25AE">
        <w:rPr>
          <w:rFonts w:ascii="Baskerville" w:eastAsia="MS PMincho" w:hAnsi="Baskerville" w:cs="Arabic Typesetting"/>
        </w:rPr>
        <w:t>t</w:t>
      </w:r>
      <w:r w:rsidR="0092334D" w:rsidRPr="007B25AE">
        <w:rPr>
          <w:rFonts w:ascii="Baskerville" w:eastAsia="MS PMincho" w:hAnsi="Baskerville" w:cs="Arabic Typesetting"/>
        </w:rPr>
        <w:t xml:space="preserve"> </w:t>
      </w:r>
      <w:r w:rsidR="00EF12BB" w:rsidRPr="007B25AE">
        <w:rPr>
          <w:rFonts w:ascii="Baskerville" w:eastAsia="MS PMincho" w:hAnsi="Baskerville" w:cs="Arabic Typesetting"/>
        </w:rPr>
        <w:t>scanty</w:t>
      </w:r>
      <w:r w:rsidR="000250CB" w:rsidRPr="007B25AE">
        <w:rPr>
          <w:rFonts w:ascii="Baskerville" w:eastAsia="MS PMincho" w:hAnsi="Baskerville" w:cs="Arabic Typesetting"/>
        </w:rPr>
        <w:t xml:space="preserve"> </w:t>
      </w:r>
      <w:r w:rsidR="0031547D" w:rsidRPr="007B25AE">
        <w:rPr>
          <w:rFonts w:ascii="Baskerville" w:eastAsia="MS PMincho" w:hAnsi="Baskerville" w:cs="Arabic Typesetting"/>
        </w:rPr>
        <w:t xml:space="preserve">presence </w:t>
      </w:r>
      <w:r w:rsidR="00196AD8" w:rsidRPr="007B25AE">
        <w:rPr>
          <w:rFonts w:ascii="Baskerville" w:eastAsia="MS PMincho" w:hAnsi="Baskerville" w:cs="Arabic Typesetting"/>
        </w:rPr>
        <w:t>of Black teacher-role-model</w:t>
      </w:r>
      <w:r w:rsidR="0092334D" w:rsidRPr="007B25AE">
        <w:rPr>
          <w:rFonts w:ascii="Baskerville" w:eastAsia="MS PMincho" w:hAnsi="Baskerville" w:cs="Arabic Typesetting"/>
        </w:rPr>
        <w:t>s</w:t>
      </w:r>
      <w:r w:rsidR="00196AD8" w:rsidRPr="007B25AE">
        <w:rPr>
          <w:rFonts w:ascii="Baskerville" w:eastAsia="MS PMincho" w:hAnsi="Baskerville" w:cs="Arabic Typesetting"/>
        </w:rPr>
        <w:t xml:space="preserve"> </w:t>
      </w:r>
      <w:r w:rsidR="00CA6C97" w:rsidRPr="007B25AE">
        <w:rPr>
          <w:rFonts w:ascii="Baskerville" w:eastAsia="MS PMincho" w:hAnsi="Baskerville" w:cs="Arabic Typesetting"/>
        </w:rPr>
        <w:t xml:space="preserve">is </w:t>
      </w:r>
      <w:r w:rsidR="00DD5ACD" w:rsidRPr="007B25AE">
        <w:rPr>
          <w:rFonts w:ascii="Baskerville" w:eastAsia="MS PMincho" w:hAnsi="Baskerville" w:cs="Arabic Typesetting"/>
        </w:rPr>
        <w:t>bare</w:t>
      </w:r>
      <w:r w:rsidR="00CA6C97" w:rsidRPr="007B25AE">
        <w:rPr>
          <w:rFonts w:ascii="Baskerville" w:eastAsia="MS PMincho" w:hAnsi="Baskerville" w:cs="Arabic Typesetting"/>
        </w:rPr>
        <w:t xml:space="preserve">ly visible </w:t>
      </w:r>
      <w:r w:rsidR="002E211E" w:rsidRPr="007B25AE">
        <w:rPr>
          <w:rFonts w:ascii="Baskerville" w:eastAsia="MS PMincho" w:hAnsi="Baskerville" w:cs="Arabic Typesetting"/>
        </w:rPr>
        <w:t>against</w:t>
      </w:r>
      <w:r w:rsidR="00EE108A" w:rsidRPr="007B25AE">
        <w:rPr>
          <w:rFonts w:ascii="Baskerville" w:eastAsia="MS PMincho" w:hAnsi="Baskerville" w:cs="Arabic Typesetting"/>
        </w:rPr>
        <w:t xml:space="preserve"> </w:t>
      </w:r>
      <w:r w:rsidR="00EF12BB" w:rsidRPr="007B25AE">
        <w:rPr>
          <w:rFonts w:ascii="Baskerville" w:eastAsia="MS PMincho" w:hAnsi="Baskerville" w:cs="Arabic Typesetting"/>
        </w:rPr>
        <w:t xml:space="preserve">the </w:t>
      </w:r>
      <w:r w:rsidR="00EE108A" w:rsidRPr="007B25AE">
        <w:rPr>
          <w:rFonts w:ascii="Baskerville" w:eastAsia="MS PMincho" w:hAnsi="Baskerville" w:cs="Arabic Typesetting"/>
        </w:rPr>
        <w:t xml:space="preserve">large </w:t>
      </w:r>
      <w:r w:rsidR="00A90E13" w:rsidRPr="007B25AE">
        <w:rPr>
          <w:rFonts w:ascii="Baskerville" w:eastAsia="MS PMincho" w:hAnsi="Baskerville" w:cs="Arabic Typesetting"/>
        </w:rPr>
        <w:t>backdrop</w:t>
      </w:r>
      <w:r w:rsidR="00DD5ACD" w:rsidRPr="007B25AE">
        <w:rPr>
          <w:rFonts w:ascii="Baskerville" w:eastAsia="MS PMincho" w:hAnsi="Baskerville" w:cs="Arabic Typesetting"/>
        </w:rPr>
        <w:t xml:space="preserve"> </w:t>
      </w:r>
      <w:r w:rsidR="00EE108A" w:rsidRPr="007B25AE">
        <w:rPr>
          <w:rFonts w:ascii="Baskerville" w:eastAsia="MS PMincho" w:hAnsi="Baskerville" w:cs="Arabic Typesetting"/>
        </w:rPr>
        <w:t xml:space="preserve">of </w:t>
      </w:r>
      <w:r w:rsidR="0031547D" w:rsidRPr="007B25AE">
        <w:rPr>
          <w:rFonts w:ascii="Baskerville" w:eastAsia="MS PMincho" w:hAnsi="Baskerville" w:cs="Arabic Typesetting"/>
        </w:rPr>
        <w:t xml:space="preserve">Black </w:t>
      </w:r>
      <w:r w:rsidR="007C2E01" w:rsidRPr="007B25AE">
        <w:rPr>
          <w:rFonts w:ascii="Baskerville" w:eastAsia="MS PMincho" w:hAnsi="Baskerville" w:cs="Arabic Typesetting"/>
        </w:rPr>
        <w:t>children</w:t>
      </w:r>
      <w:r w:rsidR="00286809" w:rsidRPr="007B25AE">
        <w:rPr>
          <w:rFonts w:ascii="Baskerville" w:eastAsia="MS PMincho" w:hAnsi="Baskerville" w:cs="Arabic Typesetting"/>
        </w:rPr>
        <w:t>,</w:t>
      </w:r>
      <w:r w:rsidR="00EE108A" w:rsidRPr="007B25AE">
        <w:rPr>
          <w:rFonts w:ascii="Baskerville" w:eastAsia="MS PMincho" w:hAnsi="Baskerville" w:cs="Arabic Typesetting"/>
        </w:rPr>
        <w:t xml:space="preserve"> </w:t>
      </w:r>
      <w:r w:rsidR="007C2E01" w:rsidRPr="007B25AE">
        <w:rPr>
          <w:rFonts w:ascii="Baskerville" w:eastAsia="MS PMincho" w:hAnsi="Baskerville" w:cs="Arabic Typesetting"/>
        </w:rPr>
        <w:t>who</w:t>
      </w:r>
      <w:r w:rsidR="004B63C7" w:rsidRPr="007B25AE">
        <w:rPr>
          <w:rFonts w:ascii="Baskerville" w:eastAsia="MS PMincho" w:hAnsi="Baskerville" w:cs="Arabic Typesetting"/>
        </w:rPr>
        <w:t>,</w:t>
      </w:r>
      <w:r w:rsidR="007C2E01" w:rsidRPr="007B25AE">
        <w:rPr>
          <w:rFonts w:ascii="Baskerville" w:eastAsia="MS PMincho" w:hAnsi="Baskerville" w:cs="Arabic Typesetting"/>
        </w:rPr>
        <w:t xml:space="preserve"> </w:t>
      </w:r>
      <w:r w:rsidR="00286809" w:rsidRPr="007B25AE">
        <w:rPr>
          <w:rFonts w:ascii="Baskerville" w:eastAsia="MS PMincho" w:hAnsi="Baskerville" w:cs="Arabic Typesetting"/>
        </w:rPr>
        <w:t>almost always</w:t>
      </w:r>
      <w:r w:rsidR="002777A9" w:rsidRPr="007B25AE">
        <w:rPr>
          <w:rFonts w:ascii="Baskerville" w:eastAsia="MS PMincho" w:hAnsi="Baskerville" w:cs="Arabic Typesetting"/>
        </w:rPr>
        <w:t xml:space="preserve"> </w:t>
      </w:r>
      <w:r w:rsidR="004201D8" w:rsidRPr="007B25AE">
        <w:rPr>
          <w:rFonts w:ascii="Baskerville" w:eastAsia="MS PMincho" w:hAnsi="Baskerville" w:cs="Arabic Typesetting"/>
        </w:rPr>
        <w:t>end</w:t>
      </w:r>
      <w:r w:rsidR="00DD5ACD" w:rsidRPr="007B25AE">
        <w:rPr>
          <w:rFonts w:ascii="Baskerville" w:eastAsia="MS PMincho" w:hAnsi="Baskerville" w:cs="Arabic Typesetting"/>
        </w:rPr>
        <w:t xml:space="preserve"> </w:t>
      </w:r>
      <w:r w:rsidR="004201D8" w:rsidRPr="007B25AE">
        <w:rPr>
          <w:rFonts w:ascii="Baskerville" w:eastAsia="MS PMincho" w:hAnsi="Baskerville" w:cs="Arabic Typesetting"/>
        </w:rPr>
        <w:t xml:space="preserve">up </w:t>
      </w:r>
      <w:r w:rsidR="0066785C" w:rsidRPr="007B25AE">
        <w:rPr>
          <w:rFonts w:ascii="Baskerville" w:eastAsia="MS PMincho" w:hAnsi="Baskerville" w:cs="Arabic Typesetting"/>
        </w:rPr>
        <w:t>on a trajectory</w:t>
      </w:r>
      <w:r w:rsidR="00DD5ACD" w:rsidRPr="007B25AE">
        <w:rPr>
          <w:rFonts w:ascii="Baskerville" w:eastAsia="MS PMincho" w:hAnsi="Baskerville" w:cs="Arabic Typesetting"/>
        </w:rPr>
        <w:t xml:space="preserve"> </w:t>
      </w:r>
      <w:r w:rsidR="004B63C7" w:rsidRPr="007B25AE">
        <w:rPr>
          <w:rFonts w:ascii="Baskerville" w:eastAsia="MS PMincho" w:hAnsi="Baskerville" w:cs="Arabic Typesetting"/>
        </w:rPr>
        <w:t>that</w:t>
      </w:r>
      <w:r w:rsidR="002777A9" w:rsidRPr="007B25AE">
        <w:rPr>
          <w:rFonts w:ascii="Baskerville" w:eastAsia="MS PMincho" w:hAnsi="Baskerville" w:cs="Arabic Typesetting"/>
        </w:rPr>
        <w:t xml:space="preserve"> </w:t>
      </w:r>
      <w:r w:rsidR="0066785C" w:rsidRPr="007B25AE">
        <w:rPr>
          <w:rFonts w:ascii="Baskerville" w:eastAsia="MS PMincho" w:hAnsi="Baskerville" w:cs="Arabic Typesetting"/>
        </w:rPr>
        <w:t xml:space="preserve">neither </w:t>
      </w:r>
      <w:r w:rsidR="002777A9" w:rsidRPr="007B25AE">
        <w:rPr>
          <w:rFonts w:ascii="Baskerville" w:eastAsia="MS PMincho" w:hAnsi="Baskerville" w:cs="Arabic Typesetting"/>
        </w:rPr>
        <w:t>the</w:t>
      </w:r>
      <w:r w:rsidR="004201D8" w:rsidRPr="007B25AE">
        <w:rPr>
          <w:rFonts w:ascii="Baskerville" w:eastAsia="MS PMincho" w:hAnsi="Baskerville" w:cs="Arabic Typesetting"/>
        </w:rPr>
        <w:t>y</w:t>
      </w:r>
      <w:r w:rsidR="0066785C" w:rsidRPr="007B25AE">
        <w:rPr>
          <w:rFonts w:ascii="Baskerville" w:eastAsia="MS PMincho" w:hAnsi="Baskerville" w:cs="Arabic Typesetting"/>
        </w:rPr>
        <w:t>,</w:t>
      </w:r>
      <w:r w:rsidR="004201D8" w:rsidRPr="007B25AE">
        <w:rPr>
          <w:rFonts w:ascii="Baskerville" w:eastAsia="MS PMincho" w:hAnsi="Baskerville" w:cs="Arabic Typesetting"/>
        </w:rPr>
        <w:t xml:space="preserve"> </w:t>
      </w:r>
      <w:r w:rsidR="007C2E01" w:rsidRPr="007B25AE">
        <w:rPr>
          <w:rFonts w:ascii="Baskerville" w:eastAsia="MS PMincho" w:hAnsi="Baskerville" w:cs="Arabic Typesetting"/>
        </w:rPr>
        <w:t>n</w:t>
      </w:r>
      <w:r w:rsidR="0066785C" w:rsidRPr="007B25AE">
        <w:rPr>
          <w:rFonts w:ascii="Baskerville" w:eastAsia="MS PMincho" w:hAnsi="Baskerville" w:cs="Arabic Typesetting"/>
        </w:rPr>
        <w:t xml:space="preserve">or anyone else </w:t>
      </w:r>
      <w:r w:rsidR="004201D8" w:rsidRPr="007B25AE">
        <w:rPr>
          <w:rFonts w:ascii="Baskerville" w:eastAsia="MS PMincho" w:hAnsi="Baskerville" w:cs="Arabic Typesetting"/>
        </w:rPr>
        <w:t>expect to</w:t>
      </w:r>
      <w:r w:rsidR="00EE108A" w:rsidRPr="007B25AE">
        <w:rPr>
          <w:rFonts w:ascii="Baskerville" w:eastAsia="MS PMincho" w:hAnsi="Baskerville" w:cs="Arabic Typesetting"/>
        </w:rPr>
        <w:t xml:space="preserve"> </w:t>
      </w:r>
      <w:r w:rsidR="004B63C7" w:rsidRPr="007B25AE">
        <w:rPr>
          <w:rFonts w:ascii="Baskerville" w:eastAsia="MS PMincho" w:hAnsi="Baskerville" w:cs="Arabic Typesetting"/>
        </w:rPr>
        <w:t>lead</w:t>
      </w:r>
      <w:r w:rsidR="00286809" w:rsidRPr="007B25AE">
        <w:rPr>
          <w:rFonts w:ascii="Baskerville" w:eastAsia="MS PMincho" w:hAnsi="Baskerville" w:cs="Arabic Typesetting"/>
        </w:rPr>
        <w:t xml:space="preserve"> </w:t>
      </w:r>
      <w:r w:rsidR="004B63C7" w:rsidRPr="007B25AE">
        <w:rPr>
          <w:rFonts w:ascii="Baskerville" w:eastAsia="MS PMincho" w:hAnsi="Baskerville" w:cs="Arabic Typesetting"/>
        </w:rPr>
        <w:t>into</w:t>
      </w:r>
      <w:r w:rsidR="00286809" w:rsidRPr="007B25AE">
        <w:rPr>
          <w:rFonts w:ascii="Baskerville" w:eastAsia="MS PMincho" w:hAnsi="Baskerville" w:cs="Arabic Typesetting"/>
        </w:rPr>
        <w:t xml:space="preserve"> a</w:t>
      </w:r>
      <w:r w:rsidR="00DD5ACD" w:rsidRPr="007B25AE">
        <w:rPr>
          <w:rFonts w:ascii="Baskerville" w:eastAsia="MS PMincho" w:hAnsi="Baskerville" w:cs="Arabic Typesetting"/>
        </w:rPr>
        <w:t xml:space="preserve"> </w:t>
      </w:r>
      <w:r w:rsidR="000250CB" w:rsidRPr="007B25AE">
        <w:rPr>
          <w:rFonts w:ascii="Baskerville" w:eastAsia="MS PMincho" w:hAnsi="Baskerville" w:cs="Arabic Typesetting"/>
        </w:rPr>
        <w:t xml:space="preserve">post-secondary </w:t>
      </w:r>
      <w:r w:rsidR="007C2E01" w:rsidRPr="007B25AE">
        <w:rPr>
          <w:rFonts w:ascii="Baskerville" w:eastAsia="MS PMincho" w:hAnsi="Baskerville" w:cs="Arabic Typesetting"/>
        </w:rPr>
        <w:t>career</w:t>
      </w:r>
      <w:r w:rsidR="00DD5ACD" w:rsidRPr="007B25AE">
        <w:rPr>
          <w:rFonts w:ascii="Baskerville" w:eastAsia="MS PMincho" w:hAnsi="Baskerville" w:cs="Arabic Typesetting"/>
        </w:rPr>
        <w:t xml:space="preserve"> in </w:t>
      </w:r>
      <w:r w:rsidR="004201D8" w:rsidRPr="007B25AE">
        <w:rPr>
          <w:rFonts w:ascii="Baskerville" w:eastAsia="MS PMincho" w:hAnsi="Baskerville" w:cs="Arabic Typesetting"/>
        </w:rPr>
        <w:t>pedagogy</w:t>
      </w:r>
      <w:r w:rsidR="002E211E" w:rsidRPr="007B25AE">
        <w:rPr>
          <w:rFonts w:ascii="Baskerville" w:eastAsia="MS PMincho" w:hAnsi="Baskerville" w:cs="Arabic Typesetting"/>
        </w:rPr>
        <w:t>,</w:t>
      </w:r>
      <w:r w:rsidR="00196AD8" w:rsidRPr="007B25AE">
        <w:rPr>
          <w:rFonts w:ascii="Baskerville" w:eastAsia="MS PMincho" w:hAnsi="Baskerville" w:cs="Arabic Typesetting"/>
        </w:rPr>
        <w:t xml:space="preserve"> or</w:t>
      </w:r>
      <w:r w:rsidR="00BF4CBA" w:rsidRPr="007B25AE">
        <w:rPr>
          <w:rFonts w:ascii="Baskerville" w:eastAsia="MS PMincho" w:hAnsi="Baskerville" w:cs="Arabic Typesetting"/>
        </w:rPr>
        <w:t xml:space="preserve"> </w:t>
      </w:r>
      <w:r w:rsidR="002265FE" w:rsidRPr="007B25AE">
        <w:rPr>
          <w:rFonts w:ascii="Baskerville" w:eastAsia="MS PMincho" w:hAnsi="Baskerville" w:cs="Arabic Typesetting"/>
        </w:rPr>
        <w:t xml:space="preserve">in some other </w:t>
      </w:r>
      <w:r w:rsidR="007C2E01" w:rsidRPr="007B25AE">
        <w:rPr>
          <w:rFonts w:ascii="Baskerville" w:eastAsia="MS PMincho" w:hAnsi="Baskerville" w:cs="Arabic Typesetting"/>
        </w:rPr>
        <w:t>specialization</w:t>
      </w:r>
      <w:r w:rsidR="0066785C" w:rsidRPr="007B25AE">
        <w:rPr>
          <w:rFonts w:ascii="Baskerville" w:eastAsia="MS PMincho" w:hAnsi="Baskerville" w:cs="Arabic Typesetting"/>
        </w:rPr>
        <w:t xml:space="preserve"> directed toward one of the </w:t>
      </w:r>
      <w:r w:rsidR="002777A9" w:rsidRPr="007B25AE">
        <w:rPr>
          <w:rFonts w:ascii="Baskerville" w:eastAsia="MS PMincho" w:hAnsi="Baskerville" w:cs="Arabic Typesetting"/>
        </w:rPr>
        <w:t>profession</w:t>
      </w:r>
      <w:r w:rsidR="0066785C" w:rsidRPr="007B25AE">
        <w:rPr>
          <w:rFonts w:ascii="Baskerville" w:eastAsia="MS PMincho" w:hAnsi="Baskerville" w:cs="Arabic Typesetting"/>
        </w:rPr>
        <w:t>s</w:t>
      </w:r>
      <w:r w:rsidR="00F0710C" w:rsidRPr="007B25AE">
        <w:rPr>
          <w:rFonts w:ascii="Baskerville" w:eastAsia="MS PMincho" w:hAnsi="Baskerville" w:cs="Arabic Typesetting"/>
        </w:rPr>
        <w:t>—</w:t>
      </w:r>
      <w:r w:rsidR="004201D8" w:rsidRPr="007B25AE">
        <w:rPr>
          <w:rFonts w:ascii="Baskerville" w:eastAsia="MS PMincho" w:hAnsi="Baskerville" w:cs="Arabic Typesetting"/>
        </w:rPr>
        <w:t xml:space="preserve">rather </w:t>
      </w:r>
      <w:r w:rsidR="00F0710C" w:rsidRPr="007B25AE">
        <w:rPr>
          <w:rFonts w:ascii="Baskerville" w:eastAsia="MS PMincho" w:hAnsi="Baskerville" w:cs="Arabic Typesetting"/>
        </w:rPr>
        <w:t xml:space="preserve">than in </w:t>
      </w:r>
      <w:r w:rsidR="004201D8" w:rsidRPr="007B25AE">
        <w:rPr>
          <w:rFonts w:ascii="Baskerville" w:eastAsia="MS PMincho" w:hAnsi="Baskerville" w:cs="Arabic Typesetting"/>
        </w:rPr>
        <w:t xml:space="preserve">some </w:t>
      </w:r>
      <w:r w:rsidR="00A90E13" w:rsidRPr="007B25AE">
        <w:rPr>
          <w:rFonts w:ascii="Baskerville" w:eastAsia="MS PMincho" w:hAnsi="Baskerville" w:cs="Arabic Typesetting"/>
        </w:rPr>
        <w:t xml:space="preserve">rough </w:t>
      </w:r>
      <w:r w:rsidR="004201D8" w:rsidRPr="007B25AE">
        <w:rPr>
          <w:rFonts w:ascii="Baskerville" w:eastAsia="MS PMincho" w:hAnsi="Baskerville" w:cs="Arabic Typesetting"/>
        </w:rPr>
        <w:t>menial occupation</w:t>
      </w:r>
      <w:r w:rsidR="00F0710C" w:rsidRPr="007B25AE">
        <w:rPr>
          <w:rFonts w:ascii="Baskerville" w:eastAsia="MS PMincho" w:hAnsi="Baskerville" w:cs="Arabic Typesetting"/>
        </w:rPr>
        <w:t>—</w:t>
      </w:r>
      <w:r w:rsidR="00013CEB" w:rsidRPr="007B25AE">
        <w:rPr>
          <w:rFonts w:ascii="Baskerville" w:eastAsia="MS PMincho" w:hAnsi="Baskerville" w:cs="Arabic Typesetting"/>
        </w:rPr>
        <w:t xml:space="preserve">the dependent variable (y) </w:t>
      </w:r>
      <w:r w:rsidR="004B63C7" w:rsidRPr="007B25AE">
        <w:rPr>
          <w:rFonts w:ascii="Baskerville" w:eastAsia="MS PMincho" w:hAnsi="Baskerville" w:cs="Arabic Typesetting"/>
        </w:rPr>
        <w:t>tells the story of a</w:t>
      </w:r>
      <w:r w:rsidR="00013CEB" w:rsidRPr="007B25AE">
        <w:rPr>
          <w:rFonts w:ascii="Baskerville" w:eastAsia="MS PMincho" w:hAnsi="Baskerville" w:cs="Arabic Typesetting"/>
        </w:rPr>
        <w:t xml:space="preserve"> system t</w:t>
      </w:r>
      <w:r w:rsidR="004B63C7" w:rsidRPr="007B25AE">
        <w:rPr>
          <w:rFonts w:ascii="Baskerville" w:eastAsia="MS PMincho" w:hAnsi="Baskerville" w:cs="Arabic Typesetting"/>
        </w:rPr>
        <w:t>hat has failed woefully to build a</w:t>
      </w:r>
      <w:r w:rsidR="00013CEB" w:rsidRPr="007B25AE">
        <w:rPr>
          <w:rFonts w:ascii="Baskerville" w:eastAsia="MS PMincho" w:hAnsi="Baskerville" w:cs="Arabic Typesetting"/>
        </w:rPr>
        <w:t xml:space="preserve"> pool of Black teachers from which to draw. </w:t>
      </w:r>
      <w:r w:rsidR="002777A9" w:rsidRPr="007B25AE">
        <w:rPr>
          <w:rFonts w:ascii="Baskerville" w:eastAsia="MS PMincho" w:hAnsi="Baskerville" w:cs="Arabic Typesetting"/>
        </w:rPr>
        <w:t xml:space="preserve">If these critical </w:t>
      </w:r>
      <w:r w:rsidR="00A90E13" w:rsidRPr="007B25AE">
        <w:rPr>
          <w:rFonts w:ascii="Baskerville" w:eastAsia="MS PMincho" w:hAnsi="Baskerville" w:cs="Arabic Typesetting"/>
        </w:rPr>
        <w:t xml:space="preserve">career </w:t>
      </w:r>
      <w:r w:rsidR="002777A9" w:rsidRPr="007B25AE">
        <w:rPr>
          <w:rFonts w:ascii="Baskerville" w:eastAsia="MS PMincho" w:hAnsi="Baskerville" w:cs="Arabic Typesetting"/>
        </w:rPr>
        <w:t xml:space="preserve">choices </w:t>
      </w:r>
      <w:r w:rsidR="00A90E13" w:rsidRPr="007B25AE">
        <w:rPr>
          <w:rFonts w:ascii="Baskerville" w:eastAsia="MS PMincho" w:hAnsi="Baskerville" w:cs="Arabic Typesetting"/>
        </w:rPr>
        <w:t>that factor into the making of</w:t>
      </w:r>
      <w:r w:rsidR="00F0710C" w:rsidRPr="007B25AE">
        <w:rPr>
          <w:rFonts w:ascii="Baskerville" w:eastAsia="MS PMincho" w:hAnsi="Baskerville" w:cs="Arabic Typesetting"/>
        </w:rPr>
        <w:t xml:space="preserve"> happy</w:t>
      </w:r>
      <w:r w:rsidR="002777A9" w:rsidRPr="007B25AE">
        <w:rPr>
          <w:rFonts w:ascii="Baskerville" w:eastAsia="MS PMincho" w:hAnsi="Baskerville" w:cs="Arabic Typesetting"/>
        </w:rPr>
        <w:t xml:space="preserve"> future selves come from the effect that the K-12 education </w:t>
      </w:r>
      <w:r w:rsidR="00013CEB" w:rsidRPr="007B25AE">
        <w:rPr>
          <w:rFonts w:ascii="Baskerville" w:eastAsia="MS PMincho" w:hAnsi="Baskerville" w:cs="Arabic Typesetting"/>
        </w:rPr>
        <w:t>has</w:t>
      </w:r>
      <w:r w:rsidR="002777A9" w:rsidRPr="007B25AE">
        <w:rPr>
          <w:rFonts w:ascii="Baskerville" w:eastAsia="MS PMincho" w:hAnsi="Baskerville" w:cs="Arabic Typesetting"/>
        </w:rPr>
        <w:t xml:space="preserve"> on the</w:t>
      </w:r>
      <w:r w:rsidR="0057667B" w:rsidRPr="007B25AE">
        <w:rPr>
          <w:rFonts w:ascii="Baskerville" w:eastAsia="MS PMincho" w:hAnsi="Baskerville" w:cs="Arabic Typesetting"/>
        </w:rPr>
        <w:t>se children</w:t>
      </w:r>
      <w:r w:rsidR="002777A9" w:rsidRPr="007B25AE">
        <w:rPr>
          <w:rFonts w:ascii="Baskerville" w:eastAsia="MS PMincho" w:hAnsi="Baskerville" w:cs="Arabic Typesetting"/>
        </w:rPr>
        <w:t xml:space="preserve">, </w:t>
      </w:r>
      <w:r w:rsidR="00CF2C36" w:rsidRPr="007B25AE">
        <w:rPr>
          <w:rFonts w:ascii="Baskerville" w:eastAsia="MS PMincho" w:hAnsi="Baskerville" w:cs="Arabic Typesetting"/>
        </w:rPr>
        <w:t>the</w:t>
      </w:r>
      <w:r w:rsidR="00013CEB" w:rsidRPr="007B25AE">
        <w:rPr>
          <w:rFonts w:ascii="Baskerville" w:eastAsia="MS PMincho" w:hAnsi="Baskerville" w:cs="Arabic Typesetting"/>
        </w:rPr>
        <w:t xml:space="preserve"> outcome is the failure of people in the Black community to succeed.</w:t>
      </w:r>
      <w:r w:rsidR="00A90E13" w:rsidRPr="007B25AE">
        <w:rPr>
          <w:rFonts w:ascii="Baskerville" w:eastAsia="MS PMincho" w:hAnsi="Baskerville" w:cs="Arabic Typesetting"/>
        </w:rPr>
        <w:t xml:space="preserve"> </w:t>
      </w:r>
      <w:r w:rsidR="00CF2C36" w:rsidRPr="007B25AE">
        <w:rPr>
          <w:rFonts w:ascii="Baskerville" w:eastAsia="MS PMincho" w:hAnsi="Baskerville" w:cs="Arabic Typesetting"/>
        </w:rPr>
        <w:t>The question is,</w:t>
      </w:r>
      <w:r w:rsidR="00465B48" w:rsidRPr="007B25AE">
        <w:rPr>
          <w:rFonts w:ascii="Baskerville" w:eastAsia="MS PMincho" w:hAnsi="Baskerville" w:cs="Arabic Typesetting"/>
        </w:rPr>
        <w:t xml:space="preserve"> </w:t>
      </w:r>
      <w:r w:rsidR="00CF2C36" w:rsidRPr="007B25AE">
        <w:rPr>
          <w:rFonts w:ascii="Baskerville" w:eastAsia="MS PMincho" w:hAnsi="Baskerville" w:cs="Arabic Typesetting"/>
        </w:rPr>
        <w:t xml:space="preserve">are the best of these choices being made </w:t>
      </w:r>
      <w:r w:rsidR="0057667B" w:rsidRPr="007B25AE">
        <w:rPr>
          <w:rFonts w:ascii="Baskerville" w:eastAsia="MS PMincho" w:hAnsi="Baskerville" w:cs="Arabic Typesetting"/>
        </w:rPr>
        <w:t>by</w:t>
      </w:r>
      <w:r w:rsidR="00CF2C36" w:rsidRPr="007B25AE">
        <w:rPr>
          <w:rFonts w:ascii="Baskerville" w:eastAsia="MS PMincho" w:hAnsi="Baskerville" w:cs="Arabic Typesetting"/>
        </w:rPr>
        <w:t xml:space="preserve"> </w:t>
      </w:r>
      <w:r w:rsidR="00CD17A9" w:rsidRPr="007B25AE">
        <w:rPr>
          <w:rFonts w:ascii="Baskerville" w:eastAsia="MS PMincho" w:hAnsi="Baskerville" w:cs="Arabic Typesetting"/>
        </w:rPr>
        <w:t>ever-increasing</w:t>
      </w:r>
      <w:r w:rsidR="00CF2C36" w:rsidRPr="007B25AE">
        <w:rPr>
          <w:rFonts w:ascii="Baskerville" w:eastAsia="MS PMincho" w:hAnsi="Baskerville" w:cs="Arabic Typesetting"/>
        </w:rPr>
        <w:t xml:space="preserve"> number</w:t>
      </w:r>
      <w:r w:rsidR="0057667B" w:rsidRPr="007B25AE">
        <w:rPr>
          <w:rFonts w:ascii="Baskerville" w:eastAsia="MS PMincho" w:hAnsi="Baskerville" w:cs="Arabic Typesetting"/>
        </w:rPr>
        <w:t>s of</w:t>
      </w:r>
      <w:r w:rsidR="00CF2C36" w:rsidRPr="007B25AE">
        <w:rPr>
          <w:rFonts w:ascii="Baskerville" w:eastAsia="MS PMincho" w:hAnsi="Baskerville" w:cs="Arabic Typesetting"/>
        </w:rPr>
        <w:t xml:space="preserve"> White children </w:t>
      </w:r>
      <w:r w:rsidR="00CD17A9" w:rsidRPr="007B25AE">
        <w:rPr>
          <w:rFonts w:ascii="Baskerville" w:eastAsia="MS PMincho" w:hAnsi="Baskerville" w:cs="Arabic Typesetting"/>
        </w:rPr>
        <w:t>against an ever</w:t>
      </w:r>
      <w:r w:rsidR="00D2265F" w:rsidRPr="007B25AE">
        <w:rPr>
          <w:rFonts w:ascii="Baskerville" w:eastAsia="MS PMincho" w:hAnsi="Baskerville" w:cs="Arabic Typesetting"/>
        </w:rPr>
        <w:t>-</w:t>
      </w:r>
      <w:r w:rsidR="00CD17A9" w:rsidRPr="007B25AE">
        <w:rPr>
          <w:rFonts w:ascii="Baskerville" w:eastAsia="MS PMincho" w:hAnsi="Baskerville" w:cs="Arabic Typesetting"/>
        </w:rPr>
        <w:t xml:space="preserve">shrinking number of </w:t>
      </w:r>
      <w:r w:rsidR="00CF2C36" w:rsidRPr="007B25AE">
        <w:rPr>
          <w:rFonts w:ascii="Baskerville" w:eastAsia="MS PMincho" w:hAnsi="Baskerville" w:cs="Arabic Typesetting"/>
        </w:rPr>
        <w:t>Black</w:t>
      </w:r>
      <w:r w:rsidR="00F0710C" w:rsidRPr="007B25AE">
        <w:rPr>
          <w:rFonts w:ascii="Baskerville" w:eastAsia="MS PMincho" w:hAnsi="Baskerville" w:cs="Arabic Typesetting"/>
        </w:rPr>
        <w:t xml:space="preserve"> one</w:t>
      </w:r>
      <w:r w:rsidR="00CF2C36" w:rsidRPr="007B25AE">
        <w:rPr>
          <w:rFonts w:ascii="Baskerville" w:eastAsia="MS PMincho" w:hAnsi="Baskerville" w:cs="Arabic Typesetting"/>
        </w:rPr>
        <w:t xml:space="preserve">s? </w:t>
      </w:r>
    </w:p>
    <w:p w14:paraId="6F3FC321" w14:textId="4A29144A" w:rsidR="00E10B1E" w:rsidRPr="007B25AE" w:rsidRDefault="00E10B1E" w:rsidP="00117D7E">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Across New York State, </w:t>
      </w:r>
      <w:r w:rsidR="00C466F3" w:rsidRPr="007B25AE">
        <w:rPr>
          <w:rFonts w:ascii="Baskerville" w:eastAsia="MS PMincho" w:hAnsi="Baskerville" w:cs="Arabic Typesetting"/>
        </w:rPr>
        <w:t xml:space="preserve">during </w:t>
      </w:r>
      <w:proofErr w:type="gramStart"/>
      <w:r w:rsidR="00C466F3" w:rsidRPr="007B25AE">
        <w:rPr>
          <w:rFonts w:ascii="Baskerville" w:eastAsia="MS PMincho" w:hAnsi="Baskerville" w:cs="Arabic Typesetting"/>
        </w:rPr>
        <w:t>school</w:t>
      </w:r>
      <w:r w:rsidR="002E211E" w:rsidRPr="007B25AE">
        <w:rPr>
          <w:rFonts w:ascii="Baskerville" w:eastAsia="MS PMincho" w:hAnsi="Baskerville" w:cs="Arabic Typesetting"/>
        </w:rPr>
        <w:t>-</w:t>
      </w:r>
      <w:r w:rsidR="00C466F3" w:rsidRPr="007B25AE">
        <w:rPr>
          <w:rFonts w:ascii="Baskerville" w:eastAsia="MS PMincho" w:hAnsi="Baskerville" w:cs="Arabic Typesetting"/>
        </w:rPr>
        <w:t>year</w:t>
      </w:r>
      <w:proofErr w:type="gramEnd"/>
      <w:r w:rsidRPr="007B25AE">
        <w:rPr>
          <w:rFonts w:ascii="Baskerville" w:eastAsia="MS PMincho" w:hAnsi="Baskerville" w:cs="Arabic Typesetting"/>
        </w:rPr>
        <w:t xml:space="preserve"> 2016-’17, special </w:t>
      </w:r>
      <w:r w:rsidR="00914543" w:rsidRPr="007B25AE">
        <w:rPr>
          <w:rFonts w:ascii="Baskerville" w:eastAsia="MS PMincho" w:hAnsi="Baskerville" w:cs="Arabic Typesetting"/>
        </w:rPr>
        <w:t xml:space="preserve">college </w:t>
      </w:r>
      <w:r w:rsidRPr="007B25AE">
        <w:rPr>
          <w:rFonts w:ascii="Baskerville" w:eastAsia="MS PMincho" w:hAnsi="Baskerville" w:cs="Arabic Typesetting"/>
        </w:rPr>
        <w:t>programs for teacher</w:t>
      </w:r>
      <w:r w:rsidR="00C466F3" w:rsidRPr="007B25AE">
        <w:rPr>
          <w:rFonts w:ascii="Baskerville" w:eastAsia="MS PMincho" w:hAnsi="Baskerville" w:cs="Arabic Typesetting"/>
        </w:rPr>
        <w:t>-</w:t>
      </w:r>
      <w:r w:rsidRPr="007B25AE">
        <w:rPr>
          <w:rFonts w:ascii="Baskerville" w:eastAsia="MS PMincho" w:hAnsi="Baskerville" w:cs="Arabic Typesetting"/>
        </w:rPr>
        <w:t xml:space="preserve">preparation </w:t>
      </w:r>
      <w:r w:rsidR="00914543" w:rsidRPr="007B25AE">
        <w:rPr>
          <w:rFonts w:ascii="Baskerville" w:eastAsia="MS PMincho" w:hAnsi="Baskerville" w:cs="Arabic Typesetting"/>
        </w:rPr>
        <w:t>chalked up a total of 40,000 students amount</w:t>
      </w:r>
      <w:r w:rsidR="00CF2C36" w:rsidRPr="007B25AE">
        <w:rPr>
          <w:rFonts w:ascii="Baskerville" w:eastAsia="MS PMincho" w:hAnsi="Baskerville" w:cs="Arabic Typesetting"/>
        </w:rPr>
        <w:t>ing</w:t>
      </w:r>
      <w:r w:rsidR="00914543" w:rsidRPr="007B25AE">
        <w:rPr>
          <w:rFonts w:ascii="Baskerville" w:eastAsia="MS PMincho" w:hAnsi="Baskerville" w:cs="Arabic Typesetting"/>
        </w:rPr>
        <w:t xml:space="preserve"> to 3% of college undergraduates. </w:t>
      </w:r>
      <w:r w:rsidR="00233455" w:rsidRPr="007B25AE">
        <w:rPr>
          <w:rFonts w:ascii="Baskerville" w:eastAsia="MS PMincho" w:hAnsi="Baskerville" w:cs="Arabic Typesetting"/>
        </w:rPr>
        <w:t xml:space="preserve">White and </w:t>
      </w:r>
      <w:r w:rsidR="009E0764" w:rsidRPr="007B25AE">
        <w:rPr>
          <w:rFonts w:ascii="Baskerville" w:eastAsia="MS PMincho" w:hAnsi="Baskerville" w:cs="Arabic Typesetting"/>
        </w:rPr>
        <w:t>m</w:t>
      </w:r>
      <w:r w:rsidR="00233455" w:rsidRPr="007B25AE">
        <w:rPr>
          <w:rFonts w:ascii="Baskerville" w:eastAsia="MS PMincho" w:hAnsi="Baskerville" w:cs="Arabic Typesetting"/>
        </w:rPr>
        <w:t>ulti-</w:t>
      </w:r>
      <w:r w:rsidR="009E0764" w:rsidRPr="007B25AE">
        <w:rPr>
          <w:rFonts w:ascii="Baskerville" w:eastAsia="MS PMincho" w:hAnsi="Baskerville" w:cs="Arabic Typesetting"/>
        </w:rPr>
        <w:t>r</w:t>
      </w:r>
      <w:r w:rsidR="00233455" w:rsidRPr="007B25AE">
        <w:rPr>
          <w:rFonts w:ascii="Baskerville" w:eastAsia="MS PMincho" w:hAnsi="Baskerville" w:cs="Arabic Typesetting"/>
        </w:rPr>
        <w:t>acial students made up 3.5%, Black</w:t>
      </w:r>
      <w:r w:rsidR="00C466F3" w:rsidRPr="007B25AE">
        <w:rPr>
          <w:rFonts w:ascii="Baskerville" w:eastAsia="MS PMincho" w:hAnsi="Baskerville" w:cs="Arabic Typesetting"/>
        </w:rPr>
        <w:t>s</w:t>
      </w:r>
      <w:r w:rsidR="00233455" w:rsidRPr="007B25AE">
        <w:rPr>
          <w:rFonts w:ascii="Baskerville" w:eastAsia="MS PMincho" w:hAnsi="Baskerville" w:cs="Arabic Typesetting"/>
        </w:rPr>
        <w:t xml:space="preserve"> or African Americans w</w:t>
      </w:r>
      <w:r w:rsidR="00C466F3" w:rsidRPr="007B25AE">
        <w:rPr>
          <w:rFonts w:ascii="Baskerville" w:eastAsia="MS PMincho" w:hAnsi="Baskerville" w:cs="Arabic Typesetting"/>
        </w:rPr>
        <w:t>ere</w:t>
      </w:r>
      <w:r w:rsidR="00233455" w:rsidRPr="007B25AE">
        <w:rPr>
          <w:rFonts w:ascii="Baskerville" w:eastAsia="MS PMincho" w:hAnsi="Baskerville" w:cs="Arabic Typesetting"/>
        </w:rPr>
        <w:t xml:space="preserve"> 2%, Hispanic</w:t>
      </w:r>
      <w:r w:rsidR="00C466F3" w:rsidRPr="007B25AE">
        <w:rPr>
          <w:rFonts w:ascii="Baskerville" w:eastAsia="MS PMincho" w:hAnsi="Baskerville" w:cs="Arabic Typesetting"/>
        </w:rPr>
        <w:t>s</w:t>
      </w:r>
      <w:r w:rsidR="00233455" w:rsidRPr="007B25AE">
        <w:rPr>
          <w:rFonts w:ascii="Baskerville" w:eastAsia="MS PMincho" w:hAnsi="Baskerville" w:cs="Arabic Typesetting"/>
        </w:rPr>
        <w:t xml:space="preserve"> or Latino</w:t>
      </w:r>
      <w:r w:rsidR="00C466F3" w:rsidRPr="007B25AE">
        <w:rPr>
          <w:rFonts w:ascii="Baskerville" w:eastAsia="MS PMincho" w:hAnsi="Baskerville" w:cs="Arabic Typesetting"/>
        </w:rPr>
        <w:t>s</w:t>
      </w:r>
      <w:r w:rsidR="00233455" w:rsidRPr="007B25AE">
        <w:rPr>
          <w:rFonts w:ascii="Baskerville" w:eastAsia="MS PMincho" w:hAnsi="Baskerville" w:cs="Arabic Typesetting"/>
        </w:rPr>
        <w:t xml:space="preserve"> w</w:t>
      </w:r>
      <w:r w:rsidR="00C466F3" w:rsidRPr="007B25AE">
        <w:rPr>
          <w:rFonts w:ascii="Baskerville" w:eastAsia="MS PMincho" w:hAnsi="Baskerville" w:cs="Arabic Typesetting"/>
        </w:rPr>
        <w:t>ere</w:t>
      </w:r>
      <w:r w:rsidR="00233455" w:rsidRPr="007B25AE">
        <w:rPr>
          <w:rFonts w:ascii="Baskerville" w:eastAsia="MS PMincho" w:hAnsi="Baskerville" w:cs="Arabic Typesetting"/>
        </w:rPr>
        <w:t xml:space="preserve"> 5%, </w:t>
      </w:r>
      <w:r w:rsidR="00407F97" w:rsidRPr="007B25AE">
        <w:rPr>
          <w:rFonts w:ascii="Baskerville" w:eastAsia="MS PMincho" w:hAnsi="Baskerville" w:cs="Arabic Typesetting"/>
        </w:rPr>
        <w:t xml:space="preserve">and </w:t>
      </w:r>
      <w:r w:rsidR="00233455" w:rsidRPr="007B25AE">
        <w:rPr>
          <w:rFonts w:ascii="Baskerville" w:eastAsia="MS PMincho" w:hAnsi="Baskerville" w:cs="Arabic Typesetting"/>
        </w:rPr>
        <w:t>Asian</w:t>
      </w:r>
      <w:r w:rsidR="00C466F3" w:rsidRPr="007B25AE">
        <w:rPr>
          <w:rFonts w:ascii="Baskerville" w:eastAsia="MS PMincho" w:hAnsi="Baskerville" w:cs="Arabic Typesetting"/>
        </w:rPr>
        <w:t>s</w:t>
      </w:r>
      <w:r w:rsidR="00233455" w:rsidRPr="007B25AE">
        <w:rPr>
          <w:rFonts w:ascii="Baskerville" w:eastAsia="MS PMincho" w:hAnsi="Baskerville" w:cs="Arabic Typesetting"/>
        </w:rPr>
        <w:t xml:space="preserve"> </w:t>
      </w:r>
      <w:r w:rsidR="00407F97" w:rsidRPr="007B25AE">
        <w:rPr>
          <w:rFonts w:ascii="Baskerville" w:eastAsia="MS PMincho" w:hAnsi="Baskerville" w:cs="Arabic Typesetting"/>
        </w:rPr>
        <w:t>or Hawaiian/Pacific Islander</w:t>
      </w:r>
      <w:r w:rsidR="00C466F3" w:rsidRPr="007B25AE">
        <w:rPr>
          <w:rFonts w:ascii="Baskerville" w:eastAsia="MS PMincho" w:hAnsi="Baskerville" w:cs="Arabic Typesetting"/>
        </w:rPr>
        <w:t>s</w:t>
      </w:r>
      <w:r w:rsidR="00407F97" w:rsidRPr="007B25AE">
        <w:rPr>
          <w:rFonts w:ascii="Baskerville" w:eastAsia="MS PMincho" w:hAnsi="Baskerville" w:cs="Arabic Typesetting"/>
        </w:rPr>
        <w:t xml:space="preserve"> was 1%</w:t>
      </w:r>
      <w:r w:rsidR="00BB6BE7" w:rsidRPr="007B25AE">
        <w:rPr>
          <w:rFonts w:ascii="Baskerville" w:eastAsia="MS PMincho" w:hAnsi="Baskerville" w:cs="Arabic Typesetting"/>
        </w:rPr>
        <w:t xml:space="preserve"> (</w:t>
      </w:r>
      <w:r w:rsidR="007215A6" w:rsidRPr="007B25AE">
        <w:rPr>
          <w:rFonts w:ascii="Baskerville" w:eastAsia="MS PMincho" w:hAnsi="Baskerville" w:cs="Arabic Typesetting"/>
        </w:rPr>
        <w:t>NYSED</w:t>
      </w:r>
      <w:r w:rsidR="00BB6BE7" w:rsidRPr="007B25AE">
        <w:rPr>
          <w:rFonts w:ascii="Baskerville" w:eastAsia="MS PMincho" w:hAnsi="Baskerville" w:cs="Arabic Typesetting"/>
        </w:rPr>
        <w:t>)</w:t>
      </w:r>
      <w:r w:rsidR="00407F97" w:rsidRPr="007B25AE">
        <w:rPr>
          <w:rFonts w:ascii="Baskerville" w:eastAsia="MS PMincho" w:hAnsi="Baskerville" w:cs="Arabic Typesetting"/>
        </w:rPr>
        <w:t>.</w:t>
      </w:r>
      <w:r w:rsidR="00233455" w:rsidRPr="007B25AE">
        <w:rPr>
          <w:rFonts w:ascii="Baskerville" w:eastAsia="MS PMincho" w:hAnsi="Baskerville" w:cs="Arabic Typesetting"/>
        </w:rPr>
        <w:t xml:space="preserve">  </w:t>
      </w:r>
      <w:r w:rsidR="00914543" w:rsidRPr="007B25AE">
        <w:rPr>
          <w:rFonts w:ascii="Baskerville" w:eastAsia="MS PMincho" w:hAnsi="Baskerville" w:cs="Arabic Typesetting"/>
        </w:rPr>
        <w:t xml:space="preserve"> </w:t>
      </w:r>
    </w:p>
    <w:p w14:paraId="62EBAFFC" w14:textId="21ED39B7" w:rsidR="007B1DA5" w:rsidRPr="007B25AE" w:rsidRDefault="00CD17A9" w:rsidP="007B1DA5">
      <w:pPr>
        <w:spacing w:line="360" w:lineRule="auto"/>
        <w:ind w:firstLine="720"/>
        <w:rPr>
          <w:rFonts w:ascii="Baskerville" w:eastAsia="MS PMincho" w:hAnsi="Baskerville" w:cs="Arabic Typesetting"/>
        </w:rPr>
      </w:pPr>
      <w:r w:rsidRPr="007B25AE">
        <w:rPr>
          <w:rFonts w:ascii="Baskerville" w:eastAsia="MS PMincho" w:hAnsi="Baskerville" w:cs="Arabic Typesetting"/>
        </w:rPr>
        <w:t>First and foremost</w:t>
      </w:r>
      <w:r w:rsidR="00BF4CBA" w:rsidRPr="007B25AE">
        <w:rPr>
          <w:rFonts w:ascii="Baskerville" w:eastAsia="MS PMincho" w:hAnsi="Baskerville" w:cs="Arabic Typesetting"/>
        </w:rPr>
        <w:t>, the fact that Black students are "black" is unalterable</w:t>
      </w:r>
      <w:r w:rsidR="00963D49" w:rsidRPr="007B25AE">
        <w:rPr>
          <w:rFonts w:ascii="Baskerville" w:eastAsia="MS PMincho" w:hAnsi="Baskerville" w:cs="Arabic Typesetting"/>
        </w:rPr>
        <w:t>.</w:t>
      </w:r>
      <w:r w:rsidR="00BF4CBA" w:rsidRPr="007B25AE">
        <w:rPr>
          <w:rFonts w:ascii="Baskerville" w:eastAsia="MS PMincho" w:hAnsi="Baskerville" w:cs="Arabic Typesetting"/>
        </w:rPr>
        <w:t xml:space="preserve"> </w:t>
      </w:r>
      <w:r w:rsidR="00903B86" w:rsidRPr="007B25AE">
        <w:rPr>
          <w:rFonts w:ascii="Baskerville" w:eastAsia="MS PMincho" w:hAnsi="Baskerville" w:cs="Arabic Typesetting"/>
        </w:rPr>
        <w:t>Bu</w:t>
      </w:r>
      <w:r w:rsidR="00BF4CBA" w:rsidRPr="007B25AE">
        <w:rPr>
          <w:rFonts w:ascii="Baskerville" w:eastAsia="MS PMincho" w:hAnsi="Baskerville" w:cs="Arabic Typesetting"/>
        </w:rPr>
        <w:t xml:space="preserve">t </w:t>
      </w:r>
      <w:r w:rsidR="00465B48" w:rsidRPr="007B25AE">
        <w:rPr>
          <w:rFonts w:ascii="Baskerville" w:eastAsia="MS PMincho" w:hAnsi="Baskerville" w:cs="Arabic Typesetting"/>
        </w:rPr>
        <w:t xml:space="preserve">what the </w:t>
      </w:r>
      <w:r w:rsidR="0012097B" w:rsidRPr="007B25AE">
        <w:rPr>
          <w:rFonts w:ascii="Baskerville" w:eastAsia="MS PMincho" w:hAnsi="Baskerville" w:cs="Arabic Typesetting"/>
        </w:rPr>
        <w:t xml:space="preserve">NYC </w:t>
      </w:r>
      <w:r w:rsidR="00465B48" w:rsidRPr="007B25AE">
        <w:rPr>
          <w:rFonts w:ascii="Baskerville" w:eastAsia="MS PMincho" w:hAnsi="Baskerville" w:cs="Arabic Typesetting"/>
        </w:rPr>
        <w:t xml:space="preserve">DOE </w:t>
      </w:r>
      <w:proofErr w:type="gramStart"/>
      <w:r w:rsidR="00465B48" w:rsidRPr="007B25AE">
        <w:rPr>
          <w:rFonts w:ascii="Baskerville" w:eastAsia="MS PMincho" w:hAnsi="Baskerville" w:cs="Arabic Typesetting"/>
        </w:rPr>
        <w:t>is able to</w:t>
      </w:r>
      <w:proofErr w:type="gramEnd"/>
      <w:r w:rsidR="00465B48" w:rsidRPr="007B25AE">
        <w:rPr>
          <w:rFonts w:ascii="Baskerville" w:eastAsia="MS PMincho" w:hAnsi="Baskerville" w:cs="Arabic Typesetting"/>
        </w:rPr>
        <w:t xml:space="preserve"> </w:t>
      </w:r>
      <w:r w:rsidR="00FD6B39" w:rsidRPr="007B25AE">
        <w:rPr>
          <w:rFonts w:ascii="Baskerville" w:eastAsia="MS PMincho" w:hAnsi="Baskerville" w:cs="Arabic Typesetting"/>
        </w:rPr>
        <w:t>alter</w:t>
      </w:r>
      <w:r w:rsidR="00C83E9B" w:rsidRPr="007B25AE">
        <w:rPr>
          <w:rFonts w:ascii="Baskerville" w:eastAsia="MS PMincho" w:hAnsi="Baskerville" w:cs="Arabic Typesetting"/>
        </w:rPr>
        <w:t>, but does not,</w:t>
      </w:r>
      <w:r w:rsidR="00465B48" w:rsidRPr="007B25AE">
        <w:rPr>
          <w:rFonts w:ascii="Baskerville" w:eastAsia="MS PMincho" w:hAnsi="Baskerville" w:cs="Arabic Typesetting"/>
        </w:rPr>
        <w:t xml:space="preserve"> is</w:t>
      </w:r>
      <w:r w:rsidR="00BF4CBA" w:rsidRPr="007B25AE">
        <w:rPr>
          <w:rFonts w:ascii="Baskerville" w:eastAsia="MS PMincho" w:hAnsi="Baskerville" w:cs="Arabic Typesetting"/>
        </w:rPr>
        <w:t xml:space="preserve"> the percentage of teachers </w:t>
      </w:r>
      <w:r w:rsidR="00C83E9B" w:rsidRPr="007B25AE">
        <w:rPr>
          <w:rFonts w:ascii="Baskerville" w:eastAsia="MS PMincho" w:hAnsi="Baskerville" w:cs="Arabic Typesetting"/>
        </w:rPr>
        <w:t>of color whom it could bring in</w:t>
      </w:r>
      <w:r w:rsidR="007517AD" w:rsidRPr="007B25AE">
        <w:rPr>
          <w:rFonts w:ascii="Baskerville" w:eastAsia="MS PMincho" w:hAnsi="Baskerville" w:cs="Arabic Typesetting"/>
        </w:rPr>
        <w:t xml:space="preserve"> and retain</w:t>
      </w:r>
      <w:r w:rsidR="00465B48" w:rsidRPr="007B25AE">
        <w:rPr>
          <w:rFonts w:ascii="Baskerville" w:eastAsia="MS PMincho" w:hAnsi="Baskerville" w:cs="Arabic Typesetting"/>
        </w:rPr>
        <w:t xml:space="preserve"> </w:t>
      </w:r>
      <w:r w:rsidR="007517AD" w:rsidRPr="007B25AE">
        <w:rPr>
          <w:rFonts w:ascii="Baskerville" w:eastAsia="MS PMincho" w:hAnsi="Baskerville" w:cs="Arabic Typesetting"/>
        </w:rPr>
        <w:t xml:space="preserve">to </w:t>
      </w:r>
      <w:r w:rsidR="00BF4CBA" w:rsidRPr="007B25AE">
        <w:rPr>
          <w:rFonts w:ascii="Baskerville" w:eastAsia="MS PMincho" w:hAnsi="Baskerville" w:cs="Arabic Typesetting"/>
        </w:rPr>
        <w:t xml:space="preserve">teach </w:t>
      </w:r>
      <w:r w:rsidR="007517AD" w:rsidRPr="007B25AE">
        <w:rPr>
          <w:rFonts w:ascii="Baskerville" w:eastAsia="MS PMincho" w:hAnsi="Baskerville" w:cs="Arabic Typesetting"/>
        </w:rPr>
        <w:t xml:space="preserve">and inspire </w:t>
      </w:r>
      <w:r w:rsidR="00BF4CBA" w:rsidRPr="007B25AE">
        <w:rPr>
          <w:rFonts w:ascii="Baskerville" w:eastAsia="MS PMincho" w:hAnsi="Baskerville" w:cs="Arabic Typesetting"/>
        </w:rPr>
        <w:t>students</w:t>
      </w:r>
      <w:r w:rsidR="00C83E9B" w:rsidRPr="007B25AE">
        <w:rPr>
          <w:rFonts w:ascii="Baskerville" w:eastAsia="MS PMincho" w:hAnsi="Baskerville" w:cs="Arabic Typesetting"/>
        </w:rPr>
        <w:t xml:space="preserve"> of color.</w:t>
      </w:r>
      <w:r w:rsidR="00BF4CBA" w:rsidRPr="007B25AE">
        <w:rPr>
          <w:rFonts w:ascii="Baskerville" w:eastAsia="MS PMincho" w:hAnsi="Baskerville" w:cs="Arabic Typesetting"/>
        </w:rPr>
        <w:t xml:space="preserve"> </w:t>
      </w:r>
      <w:r w:rsidR="00F04C85" w:rsidRPr="007B25AE">
        <w:rPr>
          <w:rFonts w:ascii="Baskerville" w:eastAsia="MS PMincho" w:hAnsi="Baskerville" w:cs="Arabic Typesetting"/>
        </w:rPr>
        <w:t>Thompson (</w:t>
      </w:r>
      <w:r w:rsidR="00963D49" w:rsidRPr="007B25AE">
        <w:rPr>
          <w:rFonts w:ascii="Baskerville" w:eastAsia="MS PMincho" w:hAnsi="Baskerville" w:cs="Arabic Typesetting"/>
        </w:rPr>
        <w:t>1</w:t>
      </w:r>
      <w:r w:rsidR="00963D49" w:rsidRPr="007B25AE">
        <w:rPr>
          <w:rFonts w:ascii="Baskerville" w:eastAsia="MS PMincho" w:hAnsi="Baskerville" w:cs="Arabic Typesetting"/>
          <w:u w:val="single"/>
        </w:rPr>
        <w:t>999</w:t>
      </w:r>
      <w:r w:rsidR="00F04C85" w:rsidRPr="007B25AE">
        <w:rPr>
          <w:rFonts w:ascii="Baskerville" w:eastAsia="MS PMincho" w:hAnsi="Baskerville" w:cs="Arabic Typesetting"/>
        </w:rPr>
        <w:t>)</w:t>
      </w:r>
      <w:r w:rsidR="00557422" w:rsidRPr="007B25AE">
        <w:rPr>
          <w:rFonts w:ascii="Baskerville" w:eastAsia="MS PMincho" w:hAnsi="Baskerville" w:cs="Arabic Typesetting"/>
        </w:rPr>
        <w:t xml:space="preserve"> </w:t>
      </w:r>
      <w:r w:rsidR="00BC37C0" w:rsidRPr="007B25AE">
        <w:rPr>
          <w:rFonts w:ascii="Baskerville" w:eastAsia="MS PMincho" w:hAnsi="Baskerville" w:cs="Arabic Typesetting"/>
        </w:rPr>
        <w:t>ma</w:t>
      </w:r>
      <w:r w:rsidR="000C56D6" w:rsidRPr="007B25AE">
        <w:rPr>
          <w:rFonts w:ascii="Baskerville" w:eastAsia="MS PMincho" w:hAnsi="Baskerville" w:cs="Arabic Typesetting"/>
        </w:rPr>
        <w:t>k</w:t>
      </w:r>
      <w:r w:rsidR="00BC37C0" w:rsidRPr="007B25AE">
        <w:rPr>
          <w:rFonts w:ascii="Baskerville" w:eastAsia="MS PMincho" w:hAnsi="Baskerville" w:cs="Arabic Typesetting"/>
        </w:rPr>
        <w:t>e</w:t>
      </w:r>
      <w:r w:rsidR="000C56D6" w:rsidRPr="007B25AE">
        <w:rPr>
          <w:rFonts w:ascii="Baskerville" w:eastAsia="MS PMincho" w:hAnsi="Baskerville" w:cs="Arabic Typesetting"/>
        </w:rPr>
        <w:t>s</w:t>
      </w:r>
      <w:r w:rsidR="00BC37C0" w:rsidRPr="007B25AE">
        <w:rPr>
          <w:rFonts w:ascii="Baskerville" w:eastAsia="MS PMincho" w:hAnsi="Baskerville" w:cs="Arabic Typesetting"/>
        </w:rPr>
        <w:t xml:space="preserve"> the </w:t>
      </w:r>
      <w:r w:rsidR="002571E1" w:rsidRPr="007B25AE">
        <w:rPr>
          <w:rFonts w:ascii="Baskerville" w:eastAsia="MS PMincho" w:hAnsi="Baskerville" w:cs="Arabic Typesetting"/>
        </w:rPr>
        <w:t xml:space="preserve">surmise </w:t>
      </w:r>
      <w:r w:rsidR="00BC37C0" w:rsidRPr="007B25AE">
        <w:rPr>
          <w:rFonts w:ascii="Baskerville" w:eastAsia="MS PMincho" w:hAnsi="Baskerville" w:cs="Arabic Typesetting"/>
        </w:rPr>
        <w:t xml:space="preserve">that, </w:t>
      </w:r>
      <w:r w:rsidR="002571E1" w:rsidRPr="007B25AE">
        <w:rPr>
          <w:rFonts w:ascii="Baskerville" w:eastAsia="MS PMincho" w:hAnsi="Baskerville" w:cs="Arabic Typesetting"/>
        </w:rPr>
        <w:t>as a result of his work with</w:t>
      </w:r>
      <w:r w:rsidR="00706436" w:rsidRPr="007B25AE">
        <w:rPr>
          <w:rFonts w:ascii="Baskerville" w:eastAsia="MS PMincho" w:hAnsi="Baskerville" w:cs="Arabic Typesetting"/>
        </w:rPr>
        <w:t xml:space="preserve"> </w:t>
      </w:r>
      <w:r w:rsidR="00BF4CBA" w:rsidRPr="007B25AE">
        <w:rPr>
          <w:rFonts w:ascii="Baskerville" w:eastAsia="MS PMincho" w:hAnsi="Baskerville" w:cs="Arabic Typesetting"/>
        </w:rPr>
        <w:t>Black</w:t>
      </w:r>
      <w:r w:rsidR="00C56093" w:rsidRPr="007B25AE">
        <w:rPr>
          <w:rFonts w:ascii="Baskerville" w:eastAsia="MS PMincho" w:hAnsi="Baskerville" w:cs="Arabic Typesetting"/>
        </w:rPr>
        <w:t xml:space="preserve"> </w:t>
      </w:r>
      <w:r w:rsidR="002571E1" w:rsidRPr="007B25AE">
        <w:rPr>
          <w:rFonts w:ascii="Baskerville" w:eastAsia="MS PMincho" w:hAnsi="Baskerville" w:cs="Arabic Typesetting"/>
        </w:rPr>
        <w:t xml:space="preserve">and Hispanic </w:t>
      </w:r>
      <w:r w:rsidR="00C56093" w:rsidRPr="007B25AE">
        <w:rPr>
          <w:rFonts w:ascii="Baskerville" w:eastAsia="MS PMincho" w:hAnsi="Baskerville" w:cs="Arabic Typesetting"/>
        </w:rPr>
        <w:t>twelfth graders</w:t>
      </w:r>
      <w:r w:rsidR="00BF4CBA" w:rsidRPr="007B25AE">
        <w:rPr>
          <w:rFonts w:ascii="Baskerville" w:eastAsia="MS PMincho" w:hAnsi="Baskerville" w:cs="Arabic Typesetting"/>
        </w:rPr>
        <w:t xml:space="preserve"> </w:t>
      </w:r>
      <w:r w:rsidR="00706436" w:rsidRPr="007B25AE">
        <w:rPr>
          <w:rFonts w:ascii="Baskerville" w:eastAsia="MS PMincho" w:hAnsi="Baskerville" w:cs="Arabic Typesetting"/>
        </w:rPr>
        <w:t>who</w:t>
      </w:r>
      <w:r w:rsidR="000C56D6" w:rsidRPr="007B25AE">
        <w:rPr>
          <w:rFonts w:ascii="Baskerville" w:eastAsia="MS PMincho" w:hAnsi="Baskerville" w:cs="Arabic Typesetting"/>
        </w:rPr>
        <w:t>, by and large,</w:t>
      </w:r>
      <w:r w:rsidR="00706436" w:rsidRPr="007B25AE">
        <w:rPr>
          <w:rFonts w:ascii="Baskerville" w:eastAsia="MS PMincho" w:hAnsi="Baskerville" w:cs="Arabic Typesetting"/>
        </w:rPr>
        <w:t xml:space="preserve"> did not </w:t>
      </w:r>
      <w:r w:rsidR="000C56D6" w:rsidRPr="007B25AE">
        <w:rPr>
          <w:rFonts w:ascii="Baskerville" w:eastAsia="MS PMincho" w:hAnsi="Baskerville" w:cs="Arabic Typesetting"/>
        </w:rPr>
        <w:t xml:space="preserve">have the </w:t>
      </w:r>
      <w:r w:rsidR="00FD6B39" w:rsidRPr="007B25AE">
        <w:rPr>
          <w:rFonts w:ascii="Baskerville" w:eastAsia="MS PMincho" w:hAnsi="Baskerville" w:cs="Arabic Typesetting"/>
        </w:rPr>
        <w:t>benefit</w:t>
      </w:r>
      <w:r w:rsidR="000C56D6" w:rsidRPr="007B25AE">
        <w:rPr>
          <w:rFonts w:ascii="Baskerville" w:eastAsia="MS PMincho" w:hAnsi="Baskerville" w:cs="Arabic Typesetting"/>
        </w:rPr>
        <w:t xml:space="preserve"> of</w:t>
      </w:r>
      <w:r w:rsidR="00706436" w:rsidRPr="007B25AE">
        <w:rPr>
          <w:rFonts w:ascii="Baskerville" w:eastAsia="MS PMincho" w:hAnsi="Baskerville" w:cs="Arabic Typesetting"/>
        </w:rPr>
        <w:t xml:space="preserve"> </w:t>
      </w:r>
      <w:r w:rsidR="000C56D6" w:rsidRPr="007B25AE">
        <w:rPr>
          <w:rFonts w:ascii="Baskerville" w:eastAsia="MS PMincho" w:hAnsi="Baskerville" w:cs="Arabic Typesetting"/>
        </w:rPr>
        <w:t>being</w:t>
      </w:r>
      <w:r w:rsidR="00706436" w:rsidRPr="007B25AE">
        <w:rPr>
          <w:rFonts w:ascii="Baskerville" w:eastAsia="MS PMincho" w:hAnsi="Baskerville" w:cs="Arabic Typesetting"/>
        </w:rPr>
        <w:t xml:space="preserve"> </w:t>
      </w:r>
      <w:r w:rsidR="002571E1" w:rsidRPr="007B25AE">
        <w:rPr>
          <w:rFonts w:ascii="Baskerville" w:eastAsia="MS PMincho" w:hAnsi="Baskerville" w:cs="Arabic Typesetting"/>
        </w:rPr>
        <w:t>influence</w:t>
      </w:r>
      <w:r w:rsidR="000C56D6" w:rsidRPr="007B25AE">
        <w:rPr>
          <w:rFonts w:ascii="Baskerville" w:eastAsia="MS PMincho" w:hAnsi="Baskerville" w:cs="Arabic Typesetting"/>
        </w:rPr>
        <w:t>d</w:t>
      </w:r>
      <w:r w:rsidR="002571E1" w:rsidRPr="007B25AE">
        <w:rPr>
          <w:rFonts w:ascii="Baskerville" w:eastAsia="MS PMincho" w:hAnsi="Baskerville" w:cs="Arabic Typesetting"/>
        </w:rPr>
        <w:t xml:space="preserve"> </w:t>
      </w:r>
      <w:r w:rsidR="000C56D6" w:rsidRPr="007B25AE">
        <w:rPr>
          <w:rFonts w:ascii="Baskerville" w:eastAsia="MS PMincho" w:hAnsi="Baskerville" w:cs="Arabic Typesetting"/>
        </w:rPr>
        <w:t>by</w:t>
      </w:r>
      <w:r w:rsidR="002571E1" w:rsidRPr="007B25AE">
        <w:rPr>
          <w:rFonts w:ascii="Baskerville" w:eastAsia="MS PMincho" w:hAnsi="Baskerville" w:cs="Arabic Typesetting"/>
        </w:rPr>
        <w:t xml:space="preserve"> </w:t>
      </w:r>
      <w:r w:rsidR="00505569" w:rsidRPr="007B25AE">
        <w:rPr>
          <w:rFonts w:ascii="Baskerville" w:eastAsia="MS PMincho" w:hAnsi="Baskerville" w:cs="Arabic Typesetting"/>
        </w:rPr>
        <w:t xml:space="preserve">a large enough cadre of </w:t>
      </w:r>
      <w:r w:rsidR="00706436" w:rsidRPr="007B25AE">
        <w:rPr>
          <w:rFonts w:ascii="Baskerville" w:eastAsia="MS PMincho" w:hAnsi="Baskerville" w:cs="Arabic Typesetting"/>
        </w:rPr>
        <w:t>teacher</w:t>
      </w:r>
      <w:r w:rsidR="00505569" w:rsidRPr="007B25AE">
        <w:rPr>
          <w:rFonts w:ascii="Baskerville" w:eastAsia="MS PMincho" w:hAnsi="Baskerville" w:cs="Arabic Typesetting"/>
        </w:rPr>
        <w:t>-</w:t>
      </w:r>
      <w:r w:rsidR="00706436" w:rsidRPr="007B25AE">
        <w:rPr>
          <w:rFonts w:ascii="Baskerville" w:eastAsia="MS PMincho" w:hAnsi="Baskerville" w:cs="Arabic Typesetting"/>
        </w:rPr>
        <w:t xml:space="preserve"> role-model</w:t>
      </w:r>
      <w:r w:rsidR="00547D05" w:rsidRPr="007B25AE">
        <w:rPr>
          <w:rFonts w:ascii="Baskerville" w:eastAsia="MS PMincho" w:hAnsi="Baskerville" w:cs="Arabic Typesetting"/>
        </w:rPr>
        <w:t>s</w:t>
      </w:r>
      <w:r w:rsidR="00FD6B39" w:rsidRPr="007B25AE">
        <w:rPr>
          <w:rFonts w:ascii="Baskerville" w:eastAsia="MS PMincho" w:hAnsi="Baskerville" w:cs="Arabic Typesetting"/>
        </w:rPr>
        <w:t xml:space="preserve"> </w:t>
      </w:r>
      <w:r w:rsidR="002571E1" w:rsidRPr="007B25AE">
        <w:rPr>
          <w:rFonts w:ascii="Baskerville" w:eastAsia="MS PMincho" w:hAnsi="Baskerville" w:cs="Arabic Typesetting"/>
        </w:rPr>
        <w:t>who look</w:t>
      </w:r>
      <w:r w:rsidR="0057667B" w:rsidRPr="007B25AE">
        <w:rPr>
          <w:rFonts w:ascii="Baskerville" w:eastAsia="MS PMincho" w:hAnsi="Baskerville" w:cs="Arabic Typesetting"/>
        </w:rPr>
        <w:t xml:space="preserve"> </w:t>
      </w:r>
      <w:r w:rsidR="00F0710C" w:rsidRPr="007B25AE">
        <w:rPr>
          <w:rFonts w:ascii="Baskerville" w:eastAsia="MS PMincho" w:hAnsi="Baskerville" w:cs="Arabic Typesetting"/>
        </w:rPr>
        <w:t>more</w:t>
      </w:r>
      <w:r w:rsidR="002571E1" w:rsidRPr="007B25AE">
        <w:rPr>
          <w:rFonts w:ascii="Baskerville" w:eastAsia="MS PMincho" w:hAnsi="Baskerville" w:cs="Arabic Typesetting"/>
        </w:rPr>
        <w:t xml:space="preserve"> like the</w:t>
      </w:r>
      <w:r w:rsidR="00505569" w:rsidRPr="007B25AE">
        <w:rPr>
          <w:rFonts w:ascii="Baskerville" w:eastAsia="MS PMincho" w:hAnsi="Baskerville" w:cs="Arabic Typesetting"/>
        </w:rPr>
        <w:t>m</w:t>
      </w:r>
      <w:r w:rsidR="007A6531" w:rsidRPr="007B25AE">
        <w:rPr>
          <w:rFonts w:ascii="Baskerville" w:eastAsia="MS PMincho" w:hAnsi="Baskerville" w:cs="Arabic Typesetting"/>
        </w:rPr>
        <w:t>,</w:t>
      </w:r>
      <w:r w:rsidR="00FD6B39" w:rsidRPr="007B25AE">
        <w:rPr>
          <w:rFonts w:ascii="Baskerville" w:eastAsia="MS PMincho" w:hAnsi="Baskerville" w:cs="Arabic Typesetting"/>
        </w:rPr>
        <w:t xml:space="preserve"> t</w:t>
      </w:r>
      <w:r w:rsidR="00BC37C0" w:rsidRPr="007B25AE">
        <w:rPr>
          <w:rFonts w:ascii="Baskerville" w:eastAsia="MS PMincho" w:hAnsi="Baskerville" w:cs="Arabic Typesetting"/>
        </w:rPr>
        <w:t xml:space="preserve">hey </w:t>
      </w:r>
      <w:r w:rsidR="00AF3F51" w:rsidRPr="007B25AE">
        <w:rPr>
          <w:rFonts w:ascii="Baskerville" w:eastAsia="MS PMincho" w:hAnsi="Baskerville" w:cs="Arabic Typesetting"/>
        </w:rPr>
        <w:t>t</w:t>
      </w:r>
      <w:r w:rsidR="00FD6B39" w:rsidRPr="007B25AE">
        <w:rPr>
          <w:rFonts w:ascii="Baskerville" w:eastAsia="MS PMincho" w:hAnsi="Baskerville" w:cs="Arabic Typesetting"/>
        </w:rPr>
        <w:t>end</w:t>
      </w:r>
      <w:r w:rsidR="00C83E9B" w:rsidRPr="007B25AE">
        <w:rPr>
          <w:rFonts w:ascii="Baskerville" w:eastAsia="MS PMincho" w:hAnsi="Baskerville" w:cs="Arabic Typesetting"/>
        </w:rPr>
        <w:t>ed</w:t>
      </w:r>
      <w:r w:rsidR="00BC37C0" w:rsidRPr="007B25AE">
        <w:rPr>
          <w:rFonts w:ascii="Baskerville" w:eastAsia="MS PMincho" w:hAnsi="Baskerville" w:cs="Arabic Typesetting"/>
        </w:rPr>
        <w:t xml:space="preserve"> </w:t>
      </w:r>
      <w:r w:rsidR="00BF4CBA" w:rsidRPr="007B25AE">
        <w:rPr>
          <w:rFonts w:ascii="Baskerville" w:eastAsia="MS PMincho" w:hAnsi="Baskerville" w:cs="Arabic Typesetting"/>
        </w:rPr>
        <w:t xml:space="preserve">not </w:t>
      </w:r>
      <w:r w:rsidR="00AF3F51" w:rsidRPr="007B25AE">
        <w:rPr>
          <w:rFonts w:ascii="Baskerville" w:eastAsia="MS PMincho" w:hAnsi="Baskerville" w:cs="Arabic Typesetting"/>
        </w:rPr>
        <w:t xml:space="preserve">to </w:t>
      </w:r>
      <w:r w:rsidR="00505569" w:rsidRPr="007B25AE">
        <w:rPr>
          <w:rFonts w:ascii="Baskerville" w:eastAsia="MS PMincho" w:hAnsi="Baskerville" w:cs="Arabic Typesetting"/>
        </w:rPr>
        <w:t>elect to go to college, or</w:t>
      </w:r>
      <w:r w:rsidR="00AF3F51" w:rsidRPr="007B25AE">
        <w:rPr>
          <w:rFonts w:ascii="Baskerville" w:eastAsia="MS PMincho" w:hAnsi="Baskerville" w:cs="Arabic Typesetting"/>
        </w:rPr>
        <w:t>,</w:t>
      </w:r>
      <w:r w:rsidR="00505569" w:rsidRPr="007B25AE">
        <w:rPr>
          <w:rFonts w:ascii="Baskerville" w:eastAsia="MS PMincho" w:hAnsi="Baskerville" w:cs="Arabic Typesetting"/>
        </w:rPr>
        <w:t xml:space="preserve"> if they d</w:t>
      </w:r>
      <w:r w:rsidR="00AF3F51" w:rsidRPr="007B25AE">
        <w:rPr>
          <w:rFonts w:ascii="Baskerville" w:eastAsia="MS PMincho" w:hAnsi="Baskerville" w:cs="Arabic Typesetting"/>
        </w:rPr>
        <w:t>id</w:t>
      </w:r>
      <w:r w:rsidR="00505569" w:rsidRPr="007B25AE">
        <w:rPr>
          <w:rFonts w:ascii="Baskerville" w:eastAsia="MS PMincho" w:hAnsi="Baskerville" w:cs="Arabic Typesetting"/>
        </w:rPr>
        <w:t xml:space="preserve">, </w:t>
      </w:r>
      <w:r w:rsidR="00AF3F51" w:rsidRPr="007B25AE">
        <w:rPr>
          <w:rFonts w:ascii="Baskerville" w:eastAsia="MS PMincho" w:hAnsi="Baskerville" w:cs="Arabic Typesetting"/>
        </w:rPr>
        <w:t xml:space="preserve">they tended </w:t>
      </w:r>
      <w:r w:rsidR="00505569" w:rsidRPr="007B25AE">
        <w:rPr>
          <w:rFonts w:ascii="Baskerville" w:eastAsia="MS PMincho" w:hAnsi="Baskerville" w:cs="Arabic Typesetting"/>
        </w:rPr>
        <w:t xml:space="preserve">not </w:t>
      </w:r>
      <w:r w:rsidR="00AF3F51" w:rsidRPr="007B25AE">
        <w:rPr>
          <w:rFonts w:ascii="Baskerville" w:eastAsia="MS PMincho" w:hAnsi="Baskerville" w:cs="Arabic Typesetting"/>
        </w:rPr>
        <w:t xml:space="preserve">to </w:t>
      </w:r>
      <w:r w:rsidR="00BF4CBA" w:rsidRPr="007B25AE">
        <w:rPr>
          <w:rFonts w:ascii="Baskerville" w:eastAsia="MS PMincho" w:hAnsi="Baskerville" w:cs="Arabic Typesetting"/>
        </w:rPr>
        <w:t>select a major</w:t>
      </w:r>
      <w:r w:rsidR="00465B48" w:rsidRPr="007B25AE">
        <w:rPr>
          <w:rFonts w:ascii="Baskerville" w:eastAsia="MS PMincho" w:hAnsi="Baskerville" w:cs="Arabic Typesetting"/>
        </w:rPr>
        <w:t xml:space="preserve"> </w:t>
      </w:r>
      <w:r w:rsidR="007517AD" w:rsidRPr="007B25AE">
        <w:rPr>
          <w:rFonts w:ascii="Baskerville" w:eastAsia="MS PMincho" w:hAnsi="Baskerville" w:cs="Arabic Typesetting"/>
        </w:rPr>
        <w:t>on their college application</w:t>
      </w:r>
      <w:r w:rsidR="007A6531" w:rsidRPr="007B25AE">
        <w:rPr>
          <w:rFonts w:ascii="Baskerville" w:eastAsia="MS PMincho" w:hAnsi="Baskerville" w:cs="Arabic Typesetting"/>
        </w:rPr>
        <w:t>s</w:t>
      </w:r>
      <w:r w:rsidR="007517AD" w:rsidRPr="007B25AE">
        <w:rPr>
          <w:rFonts w:ascii="Baskerville" w:eastAsia="MS PMincho" w:hAnsi="Baskerville" w:cs="Arabic Typesetting"/>
        </w:rPr>
        <w:t xml:space="preserve"> </w:t>
      </w:r>
      <w:r w:rsidR="00465B48" w:rsidRPr="007B25AE">
        <w:rPr>
          <w:rFonts w:ascii="Baskerville" w:eastAsia="MS PMincho" w:hAnsi="Baskerville" w:cs="Arabic Typesetting"/>
        </w:rPr>
        <w:t>that c</w:t>
      </w:r>
      <w:r w:rsidR="00C83E9B" w:rsidRPr="007B25AE">
        <w:rPr>
          <w:rFonts w:ascii="Baskerville" w:eastAsia="MS PMincho" w:hAnsi="Baskerville" w:cs="Arabic Typesetting"/>
        </w:rPr>
        <w:t>ould</w:t>
      </w:r>
      <w:r w:rsidR="00465B48" w:rsidRPr="007B25AE">
        <w:rPr>
          <w:rFonts w:ascii="Baskerville" w:eastAsia="MS PMincho" w:hAnsi="Baskerville" w:cs="Arabic Typesetting"/>
        </w:rPr>
        <w:t xml:space="preserve"> translate into </w:t>
      </w:r>
      <w:r w:rsidR="0057667B" w:rsidRPr="007B25AE">
        <w:rPr>
          <w:rFonts w:ascii="Baskerville" w:eastAsia="MS PMincho" w:hAnsi="Baskerville" w:cs="Arabic Typesetting"/>
        </w:rPr>
        <w:t>a profession</w:t>
      </w:r>
      <w:r w:rsidR="00465B48" w:rsidRPr="007B25AE">
        <w:rPr>
          <w:rFonts w:ascii="Baskerville" w:eastAsia="MS PMincho" w:hAnsi="Baskerville" w:cs="Arabic Typesetting"/>
        </w:rPr>
        <w:t xml:space="preserve"> related to education</w:t>
      </w:r>
      <w:r w:rsidR="00CC344E" w:rsidRPr="007B25AE">
        <w:rPr>
          <w:rFonts w:ascii="Baskerville" w:eastAsia="MS PMincho" w:hAnsi="Baskerville" w:cs="Arabic Typesetting"/>
        </w:rPr>
        <w:t xml:space="preserve">. </w:t>
      </w:r>
      <w:r w:rsidR="00AF3F51" w:rsidRPr="007B25AE">
        <w:rPr>
          <w:rFonts w:ascii="Baskerville" w:eastAsia="MS PMincho" w:hAnsi="Baskerville" w:cs="Arabic Typesetting"/>
        </w:rPr>
        <w:t>Thompson found that m</w:t>
      </w:r>
      <w:r w:rsidR="00547D05" w:rsidRPr="007B25AE">
        <w:rPr>
          <w:rFonts w:ascii="Baskerville" w:eastAsia="MS PMincho" w:hAnsi="Baskerville" w:cs="Arabic Typesetting"/>
        </w:rPr>
        <w:t>any of the</w:t>
      </w:r>
      <w:r w:rsidR="004B5A2F" w:rsidRPr="007B25AE">
        <w:rPr>
          <w:rFonts w:ascii="Baskerville" w:eastAsia="MS PMincho" w:hAnsi="Baskerville" w:cs="Arabic Typesetting"/>
        </w:rPr>
        <w:t>se students</w:t>
      </w:r>
      <w:r w:rsidR="00CC344E" w:rsidRPr="007B25AE">
        <w:rPr>
          <w:rFonts w:ascii="Baskerville" w:eastAsia="MS PMincho" w:hAnsi="Baskerville" w:cs="Arabic Typesetting"/>
        </w:rPr>
        <w:t xml:space="preserve"> </w:t>
      </w:r>
      <w:r w:rsidR="00C56093" w:rsidRPr="007B25AE">
        <w:rPr>
          <w:rFonts w:ascii="Baskerville" w:eastAsia="MS PMincho" w:hAnsi="Baskerville" w:cs="Arabic Typesetting"/>
        </w:rPr>
        <w:t>tend</w:t>
      </w:r>
      <w:r w:rsidR="00547D05" w:rsidRPr="007B25AE">
        <w:rPr>
          <w:rFonts w:ascii="Baskerville" w:eastAsia="MS PMincho" w:hAnsi="Baskerville" w:cs="Arabic Typesetting"/>
        </w:rPr>
        <w:t>ed</w:t>
      </w:r>
      <w:r w:rsidR="00C56093" w:rsidRPr="007B25AE">
        <w:rPr>
          <w:rFonts w:ascii="Baskerville" w:eastAsia="MS PMincho" w:hAnsi="Baskerville" w:cs="Arabic Typesetting"/>
        </w:rPr>
        <w:t xml:space="preserve"> to </w:t>
      </w:r>
      <w:r w:rsidR="007A6531" w:rsidRPr="007B25AE">
        <w:rPr>
          <w:rFonts w:ascii="Baskerville" w:eastAsia="MS PMincho" w:hAnsi="Baskerville" w:cs="Arabic Typesetting"/>
        </w:rPr>
        <w:t>make</w:t>
      </w:r>
      <w:r w:rsidR="00465B48" w:rsidRPr="007B25AE">
        <w:rPr>
          <w:rFonts w:ascii="Baskerville" w:eastAsia="MS PMincho" w:hAnsi="Baskerville" w:cs="Arabic Typesetting"/>
        </w:rPr>
        <w:t xml:space="preserve"> non-major </w:t>
      </w:r>
      <w:r w:rsidR="00FD6B39" w:rsidRPr="007B25AE">
        <w:rPr>
          <w:rFonts w:ascii="Baskerville" w:eastAsia="MS PMincho" w:hAnsi="Baskerville" w:cs="Arabic Typesetting"/>
        </w:rPr>
        <w:t xml:space="preserve">choices, </w:t>
      </w:r>
      <w:r w:rsidR="00465B48" w:rsidRPr="007B25AE">
        <w:rPr>
          <w:rFonts w:ascii="Baskerville" w:eastAsia="MS PMincho" w:hAnsi="Baskerville" w:cs="Arabic Typesetting"/>
        </w:rPr>
        <w:t xml:space="preserve">such as </w:t>
      </w:r>
      <w:r w:rsidR="00AF3F51" w:rsidRPr="007B25AE">
        <w:rPr>
          <w:rFonts w:ascii="Baskerville" w:eastAsia="MS PMincho" w:hAnsi="Baskerville" w:cs="Arabic Typesetting"/>
        </w:rPr>
        <w:t xml:space="preserve">an </w:t>
      </w:r>
      <w:r w:rsidR="00465B48" w:rsidRPr="007B25AE">
        <w:rPr>
          <w:rFonts w:ascii="Baskerville" w:eastAsia="MS PMincho" w:hAnsi="Baskerville" w:cs="Arabic Typesetting"/>
        </w:rPr>
        <w:t>“undeclared</w:t>
      </w:r>
      <w:r w:rsidR="00AF3F51" w:rsidRPr="007B25AE">
        <w:rPr>
          <w:rFonts w:ascii="Baskerville" w:eastAsia="MS PMincho" w:hAnsi="Baskerville" w:cs="Arabic Typesetting"/>
        </w:rPr>
        <w:t xml:space="preserve"> major.</w:t>
      </w:r>
      <w:r w:rsidR="003D2EFB" w:rsidRPr="007B25AE">
        <w:rPr>
          <w:rFonts w:ascii="Baskerville" w:eastAsia="MS PMincho" w:hAnsi="Baskerville" w:cs="Arabic Typesetting"/>
        </w:rPr>
        <w:t>”</w:t>
      </w:r>
      <w:r w:rsidR="00AF3F51" w:rsidRPr="007B25AE">
        <w:rPr>
          <w:rFonts w:ascii="Baskerville" w:eastAsia="MS PMincho" w:hAnsi="Baskerville" w:cs="Arabic Typesetting"/>
        </w:rPr>
        <w:t xml:space="preserve"> </w:t>
      </w:r>
      <w:r w:rsidR="003D3B9A" w:rsidRPr="007B25AE">
        <w:rPr>
          <w:rFonts w:ascii="Baskerville" w:eastAsia="MS PMincho" w:hAnsi="Baskerville" w:cs="Arabic Typesetting"/>
        </w:rPr>
        <w:t xml:space="preserve"> </w:t>
      </w:r>
      <w:r w:rsidR="00AF3F51" w:rsidRPr="007B25AE">
        <w:rPr>
          <w:rFonts w:ascii="Baskerville" w:eastAsia="MS PMincho" w:hAnsi="Baskerville" w:cs="Arabic Typesetting"/>
        </w:rPr>
        <w:t>He notes that</w:t>
      </w:r>
      <w:r w:rsidR="00BC37C0" w:rsidRPr="007B25AE">
        <w:rPr>
          <w:rFonts w:ascii="Baskerville" w:eastAsia="MS PMincho" w:hAnsi="Baskerville" w:cs="Arabic Typesetting"/>
        </w:rPr>
        <w:t xml:space="preserve"> </w:t>
      </w:r>
      <w:r w:rsidR="00FD6B39" w:rsidRPr="007B25AE">
        <w:rPr>
          <w:rFonts w:ascii="Baskerville" w:eastAsia="MS PMincho" w:hAnsi="Baskerville" w:cs="Arabic Typesetting"/>
        </w:rPr>
        <w:t>many of the</w:t>
      </w:r>
      <w:r w:rsidR="00AF3F51" w:rsidRPr="007B25AE">
        <w:rPr>
          <w:rFonts w:ascii="Baskerville" w:eastAsia="MS PMincho" w:hAnsi="Baskerville" w:cs="Arabic Typesetting"/>
        </w:rPr>
        <w:t>se high school leavers</w:t>
      </w:r>
      <w:r w:rsidR="00FD6B39" w:rsidRPr="007B25AE">
        <w:rPr>
          <w:rFonts w:ascii="Baskerville" w:eastAsia="MS PMincho" w:hAnsi="Baskerville" w:cs="Arabic Typesetting"/>
        </w:rPr>
        <w:t xml:space="preserve"> </w:t>
      </w:r>
      <w:r w:rsidR="003D2EFB" w:rsidRPr="007B25AE">
        <w:rPr>
          <w:rFonts w:ascii="Baskerville" w:eastAsia="MS PMincho" w:hAnsi="Baskerville" w:cs="Arabic Typesetting"/>
        </w:rPr>
        <w:t>w</w:t>
      </w:r>
      <w:r w:rsidR="007A6531" w:rsidRPr="007B25AE">
        <w:rPr>
          <w:rFonts w:ascii="Baskerville" w:eastAsia="MS PMincho" w:hAnsi="Baskerville" w:cs="Arabic Typesetting"/>
        </w:rPr>
        <w:t>ou</w:t>
      </w:r>
      <w:r w:rsidR="003D2EFB" w:rsidRPr="007B25AE">
        <w:rPr>
          <w:rFonts w:ascii="Baskerville" w:eastAsia="MS PMincho" w:hAnsi="Baskerville" w:cs="Arabic Typesetting"/>
        </w:rPr>
        <w:t xml:space="preserve">nd up </w:t>
      </w:r>
      <w:proofErr w:type="gramStart"/>
      <w:r w:rsidR="003D2EFB" w:rsidRPr="007B25AE">
        <w:rPr>
          <w:rFonts w:ascii="Baskerville" w:eastAsia="MS PMincho" w:hAnsi="Baskerville" w:cs="Arabic Typesetting"/>
        </w:rPr>
        <w:t>dropping-out</w:t>
      </w:r>
      <w:proofErr w:type="gramEnd"/>
      <w:r w:rsidR="00592803" w:rsidRPr="007B25AE">
        <w:rPr>
          <w:rFonts w:ascii="Baskerville" w:eastAsia="MS PMincho" w:hAnsi="Baskerville" w:cs="Arabic Typesetting"/>
        </w:rPr>
        <w:t xml:space="preserve"> </w:t>
      </w:r>
      <w:r w:rsidR="00C466F3" w:rsidRPr="007B25AE">
        <w:rPr>
          <w:rFonts w:ascii="Baskerville" w:eastAsia="MS PMincho" w:hAnsi="Baskerville" w:cs="Arabic Typesetting"/>
        </w:rPr>
        <w:t xml:space="preserve">of college </w:t>
      </w:r>
      <w:r w:rsidR="00592803" w:rsidRPr="007B25AE">
        <w:rPr>
          <w:rFonts w:ascii="Baskerville" w:eastAsia="MS PMincho" w:hAnsi="Baskerville" w:cs="Arabic Typesetting"/>
        </w:rPr>
        <w:t>in the short term</w:t>
      </w:r>
      <w:r w:rsidR="00B85F6E" w:rsidRPr="007B25AE">
        <w:rPr>
          <w:rFonts w:ascii="Baskerville" w:eastAsia="MS PMincho" w:hAnsi="Baskerville" w:cs="Arabic Typesetting"/>
        </w:rPr>
        <w:t>.</w:t>
      </w:r>
      <w:r w:rsidR="003D2EFB" w:rsidRPr="007B25AE">
        <w:rPr>
          <w:rFonts w:ascii="Baskerville" w:eastAsia="MS PMincho" w:hAnsi="Baskerville" w:cs="Arabic Typesetting"/>
        </w:rPr>
        <w:t xml:space="preserve"> </w:t>
      </w:r>
      <w:r w:rsidR="00B85F6E" w:rsidRPr="007B25AE">
        <w:rPr>
          <w:rFonts w:ascii="Baskerville" w:eastAsia="MS PMincho" w:hAnsi="Baskerville" w:cs="Arabic Typesetting"/>
        </w:rPr>
        <w:t xml:space="preserve"> </w:t>
      </w:r>
      <w:r w:rsidR="00AF3F51" w:rsidRPr="007B25AE">
        <w:rPr>
          <w:rFonts w:ascii="Baskerville" w:eastAsia="MS PMincho" w:hAnsi="Baskerville" w:cs="Arabic Typesetting"/>
        </w:rPr>
        <w:t>So, in effect</w:t>
      </w:r>
      <w:r w:rsidR="00BC37C0" w:rsidRPr="007B25AE">
        <w:rPr>
          <w:rFonts w:ascii="Baskerville" w:eastAsia="MS PMincho" w:hAnsi="Baskerville" w:cs="Arabic Typesetting"/>
        </w:rPr>
        <w:t xml:space="preserve">, </w:t>
      </w:r>
      <w:r w:rsidR="00592803" w:rsidRPr="007B25AE">
        <w:rPr>
          <w:rFonts w:ascii="Baskerville" w:eastAsia="MS PMincho" w:hAnsi="Baskerville" w:cs="Arabic Typesetting"/>
        </w:rPr>
        <w:t xml:space="preserve">the system, in turn, </w:t>
      </w:r>
      <w:r w:rsidR="00547D05" w:rsidRPr="007B25AE">
        <w:rPr>
          <w:rFonts w:ascii="Baskerville" w:eastAsia="MS PMincho" w:hAnsi="Baskerville" w:cs="Arabic Typesetting"/>
        </w:rPr>
        <w:t>has been</w:t>
      </w:r>
      <w:r w:rsidR="003D3B9A" w:rsidRPr="007B25AE">
        <w:rPr>
          <w:rFonts w:ascii="Baskerville" w:eastAsia="MS PMincho" w:hAnsi="Baskerville" w:cs="Arabic Typesetting"/>
        </w:rPr>
        <w:t xml:space="preserve"> failing</w:t>
      </w:r>
      <w:r w:rsidR="00592803" w:rsidRPr="007B25AE">
        <w:rPr>
          <w:rFonts w:ascii="Baskerville" w:eastAsia="MS PMincho" w:hAnsi="Baskerville" w:cs="Arabic Typesetting"/>
        </w:rPr>
        <w:t xml:space="preserve"> to</w:t>
      </w:r>
      <w:r w:rsidR="00BC37C0" w:rsidRPr="007B25AE">
        <w:rPr>
          <w:rFonts w:ascii="Baskerville" w:eastAsia="MS PMincho" w:hAnsi="Baskerville" w:cs="Arabic Typesetting"/>
        </w:rPr>
        <w:t xml:space="preserve"> inject</w:t>
      </w:r>
      <w:r w:rsidR="00592803" w:rsidRPr="007B25AE">
        <w:rPr>
          <w:rFonts w:ascii="Baskerville" w:eastAsia="MS PMincho" w:hAnsi="Baskerville" w:cs="Arabic Typesetting"/>
        </w:rPr>
        <w:t xml:space="preserve"> that much needed </w:t>
      </w:r>
      <w:r w:rsidR="00AF3F51" w:rsidRPr="007B25AE">
        <w:rPr>
          <w:rFonts w:ascii="Baskerville" w:eastAsia="MS PMincho" w:hAnsi="Baskerville" w:cs="Arabic Typesetting"/>
        </w:rPr>
        <w:t>dose</w:t>
      </w:r>
      <w:r w:rsidR="00592803" w:rsidRPr="007B25AE">
        <w:rPr>
          <w:rFonts w:ascii="Baskerville" w:eastAsia="MS PMincho" w:hAnsi="Baskerville" w:cs="Arabic Typesetting"/>
        </w:rPr>
        <w:t xml:space="preserve"> </w:t>
      </w:r>
      <w:r w:rsidR="00706436" w:rsidRPr="007B25AE">
        <w:rPr>
          <w:rFonts w:ascii="Baskerville" w:eastAsia="MS PMincho" w:hAnsi="Baskerville" w:cs="Arabic Typesetting"/>
        </w:rPr>
        <w:t>of</w:t>
      </w:r>
      <w:r w:rsidR="004D0792" w:rsidRPr="007B25AE">
        <w:rPr>
          <w:rFonts w:ascii="Baskerville" w:eastAsia="MS PMincho" w:hAnsi="Baskerville" w:cs="Arabic Typesetting"/>
        </w:rPr>
        <w:t xml:space="preserve"> </w:t>
      </w:r>
      <w:r w:rsidR="00592803" w:rsidRPr="007B25AE">
        <w:rPr>
          <w:rFonts w:ascii="Baskerville" w:eastAsia="MS PMincho" w:hAnsi="Baskerville" w:cs="Arabic Typesetting"/>
        </w:rPr>
        <w:t xml:space="preserve">fresh </w:t>
      </w:r>
      <w:r w:rsidR="00547D05" w:rsidRPr="007B25AE">
        <w:rPr>
          <w:rFonts w:ascii="Baskerville" w:eastAsia="MS PMincho" w:hAnsi="Baskerville" w:cs="Arabic Typesetting"/>
        </w:rPr>
        <w:t xml:space="preserve">additional </w:t>
      </w:r>
      <w:r w:rsidR="00706436" w:rsidRPr="007B25AE">
        <w:rPr>
          <w:rFonts w:ascii="Baskerville" w:eastAsia="MS PMincho" w:hAnsi="Baskerville" w:cs="Arabic Typesetting"/>
        </w:rPr>
        <w:t>supply</w:t>
      </w:r>
      <w:r w:rsidR="004D0792" w:rsidRPr="007B25AE">
        <w:rPr>
          <w:rFonts w:ascii="Baskerville" w:eastAsia="MS PMincho" w:hAnsi="Baskerville" w:cs="Arabic Typesetting"/>
        </w:rPr>
        <w:t xml:space="preserve"> </w:t>
      </w:r>
      <w:r w:rsidR="007A6531" w:rsidRPr="007B25AE">
        <w:rPr>
          <w:rFonts w:ascii="Baskerville" w:eastAsia="MS PMincho" w:hAnsi="Baskerville" w:cs="Arabic Typesetting"/>
        </w:rPr>
        <w:t xml:space="preserve">of graduates </w:t>
      </w:r>
      <w:r w:rsidR="007B1DA5" w:rsidRPr="007B25AE">
        <w:rPr>
          <w:rFonts w:ascii="Baskerville" w:eastAsia="MS PMincho" w:hAnsi="Baskerville" w:cs="Arabic Typesetting"/>
        </w:rPr>
        <w:t xml:space="preserve">of color </w:t>
      </w:r>
      <w:r w:rsidR="00C56093" w:rsidRPr="007B25AE">
        <w:rPr>
          <w:rFonts w:ascii="Baskerville" w:eastAsia="MS PMincho" w:hAnsi="Baskerville" w:cs="Arabic Typesetting"/>
        </w:rPr>
        <w:t xml:space="preserve">to </w:t>
      </w:r>
      <w:r w:rsidR="003D2EFB" w:rsidRPr="007B25AE">
        <w:rPr>
          <w:rFonts w:ascii="Baskerville" w:eastAsia="MS PMincho" w:hAnsi="Baskerville" w:cs="Arabic Typesetting"/>
        </w:rPr>
        <w:t xml:space="preserve">replenish </w:t>
      </w:r>
      <w:r w:rsidR="00BF4CBA" w:rsidRPr="007B25AE">
        <w:rPr>
          <w:rFonts w:ascii="Baskerville" w:eastAsia="MS PMincho" w:hAnsi="Baskerville" w:cs="Arabic Typesetting"/>
        </w:rPr>
        <w:t xml:space="preserve">the </w:t>
      </w:r>
      <w:r w:rsidR="007B1DA5" w:rsidRPr="007B25AE">
        <w:rPr>
          <w:rFonts w:ascii="Baskerville" w:eastAsia="MS PMincho" w:hAnsi="Baskerville" w:cs="Arabic Typesetting"/>
        </w:rPr>
        <w:t xml:space="preserve">dwindling </w:t>
      </w:r>
      <w:r w:rsidR="00BF4CBA" w:rsidRPr="007B25AE">
        <w:rPr>
          <w:rFonts w:ascii="Baskerville" w:eastAsia="MS PMincho" w:hAnsi="Baskerville" w:cs="Arabic Typesetting"/>
        </w:rPr>
        <w:t xml:space="preserve">pool </w:t>
      </w:r>
      <w:r w:rsidR="007B1DA5" w:rsidRPr="007B25AE">
        <w:rPr>
          <w:rFonts w:ascii="Baskerville" w:eastAsia="MS PMincho" w:hAnsi="Baskerville" w:cs="Arabic Typesetting"/>
        </w:rPr>
        <w:t xml:space="preserve">and, thus, </w:t>
      </w:r>
      <w:r w:rsidR="00C466F3" w:rsidRPr="007B25AE">
        <w:rPr>
          <w:rFonts w:ascii="Baskerville" w:eastAsia="MS PMincho" w:hAnsi="Baskerville" w:cs="Arabic Typesetting"/>
        </w:rPr>
        <w:t xml:space="preserve">counteract </w:t>
      </w:r>
      <w:r w:rsidR="00BC37C0" w:rsidRPr="007B25AE">
        <w:rPr>
          <w:rFonts w:ascii="Baskerville" w:eastAsia="MS PMincho" w:hAnsi="Baskerville" w:cs="Arabic Typesetting"/>
        </w:rPr>
        <w:t>the</w:t>
      </w:r>
      <w:r w:rsidR="003D2EFB" w:rsidRPr="007B25AE">
        <w:rPr>
          <w:rFonts w:ascii="Baskerville" w:eastAsia="MS PMincho" w:hAnsi="Baskerville" w:cs="Arabic Typesetting"/>
        </w:rPr>
        <w:t xml:space="preserve"> </w:t>
      </w:r>
      <w:r w:rsidR="00C466F3" w:rsidRPr="007B25AE">
        <w:rPr>
          <w:rFonts w:ascii="Baskerville" w:eastAsia="MS PMincho" w:hAnsi="Baskerville" w:cs="Arabic Typesetting"/>
        </w:rPr>
        <w:t>hemorrhaging</w:t>
      </w:r>
      <w:r w:rsidR="003F3E5E" w:rsidRPr="007B25AE">
        <w:rPr>
          <w:rFonts w:ascii="Baskerville" w:eastAsia="MS PMincho" w:hAnsi="Baskerville" w:cs="Arabic Typesetting"/>
        </w:rPr>
        <w:t xml:space="preserve"> </w:t>
      </w:r>
      <w:r w:rsidR="007B1DA5" w:rsidRPr="007B25AE">
        <w:rPr>
          <w:rFonts w:ascii="Baskerville" w:eastAsia="MS PMincho" w:hAnsi="Baskerville" w:cs="Arabic Typesetting"/>
        </w:rPr>
        <w:t xml:space="preserve">of teachers of color </w:t>
      </w:r>
      <w:r w:rsidR="00547D05" w:rsidRPr="007B25AE">
        <w:rPr>
          <w:rFonts w:ascii="Baskerville" w:eastAsia="MS PMincho" w:hAnsi="Baskerville" w:cs="Arabic Typesetting"/>
        </w:rPr>
        <w:t>(</w:t>
      </w:r>
      <w:r w:rsidR="003F3E5E" w:rsidRPr="007B25AE">
        <w:rPr>
          <w:rFonts w:ascii="Baskerville" w:eastAsia="MS PMincho" w:hAnsi="Baskerville" w:cs="Arabic Typesetting"/>
        </w:rPr>
        <w:t>Thompson, 1999, pp.53-55)</w:t>
      </w:r>
      <w:r w:rsidR="00BF4CBA" w:rsidRPr="007B25AE">
        <w:rPr>
          <w:rFonts w:ascii="Baskerville" w:eastAsia="MS PMincho" w:hAnsi="Baskerville" w:cs="Arabic Typesetting"/>
        </w:rPr>
        <w:t xml:space="preserve">. </w:t>
      </w:r>
      <w:r w:rsidR="003D2EFB" w:rsidRPr="007B25AE">
        <w:rPr>
          <w:rFonts w:ascii="Baskerville" w:eastAsia="MS PMincho" w:hAnsi="Baskerville" w:cs="Arabic Typesetting"/>
        </w:rPr>
        <w:t xml:space="preserve">The </w:t>
      </w:r>
      <w:r w:rsidR="001D1C1A" w:rsidRPr="007B25AE">
        <w:rPr>
          <w:rFonts w:ascii="Baskerville" w:eastAsia="MS PMincho" w:hAnsi="Baskerville" w:cs="Arabic Typesetting"/>
        </w:rPr>
        <w:t>matter</w:t>
      </w:r>
      <w:r w:rsidR="003D2EFB" w:rsidRPr="007B25AE">
        <w:rPr>
          <w:rFonts w:ascii="Baskerville" w:eastAsia="MS PMincho" w:hAnsi="Baskerville" w:cs="Arabic Typesetting"/>
        </w:rPr>
        <w:t xml:space="preserve">, then, is could it be that </w:t>
      </w:r>
      <w:r w:rsidR="00304FEC" w:rsidRPr="007B25AE">
        <w:rPr>
          <w:rFonts w:ascii="Baskerville" w:eastAsia="MS PMincho" w:hAnsi="Baskerville" w:cs="Arabic Typesetting"/>
        </w:rPr>
        <w:t xml:space="preserve">somewhere out </w:t>
      </w:r>
      <w:r w:rsidR="003D2EFB" w:rsidRPr="007B25AE">
        <w:rPr>
          <w:rFonts w:ascii="Baskerville" w:eastAsia="MS PMincho" w:hAnsi="Baskerville" w:cs="Arabic Typesetting"/>
        </w:rPr>
        <w:t xml:space="preserve">there </w:t>
      </w:r>
      <w:r w:rsidR="002571E1" w:rsidRPr="007B25AE">
        <w:rPr>
          <w:rFonts w:ascii="Baskerville" w:eastAsia="MS PMincho" w:hAnsi="Baskerville" w:cs="Arabic Typesetting"/>
        </w:rPr>
        <w:t>ex</w:t>
      </w:r>
      <w:r w:rsidR="003D2EFB" w:rsidRPr="007B25AE">
        <w:rPr>
          <w:rFonts w:ascii="Baskerville" w:eastAsia="MS PMincho" w:hAnsi="Baskerville" w:cs="Arabic Typesetting"/>
        </w:rPr>
        <w:t>is</w:t>
      </w:r>
      <w:r w:rsidR="002571E1" w:rsidRPr="007B25AE">
        <w:rPr>
          <w:rFonts w:ascii="Baskerville" w:eastAsia="MS PMincho" w:hAnsi="Baskerville" w:cs="Arabic Typesetting"/>
        </w:rPr>
        <w:t>ts</w:t>
      </w:r>
      <w:r w:rsidR="003D2EFB" w:rsidRPr="007B25AE">
        <w:rPr>
          <w:rFonts w:ascii="Baskerville" w:eastAsia="MS PMincho" w:hAnsi="Baskerville" w:cs="Arabic Typesetting"/>
        </w:rPr>
        <w:t xml:space="preserve"> a </w:t>
      </w:r>
      <w:r w:rsidR="00553952" w:rsidRPr="007B25AE">
        <w:rPr>
          <w:rFonts w:ascii="Baskerville" w:eastAsia="MS PMincho" w:hAnsi="Baskerville" w:cs="Arabic Typesetting"/>
        </w:rPr>
        <w:t>rising flood</w:t>
      </w:r>
      <w:r w:rsidR="00F14108" w:rsidRPr="007B25AE">
        <w:rPr>
          <w:rFonts w:ascii="Baskerville" w:eastAsia="MS PMincho" w:hAnsi="Baskerville" w:cs="Arabic Typesetting"/>
        </w:rPr>
        <w:t xml:space="preserve"> </w:t>
      </w:r>
      <w:r w:rsidR="003D2EFB" w:rsidRPr="007B25AE">
        <w:rPr>
          <w:rFonts w:ascii="Baskerville" w:eastAsia="MS PMincho" w:hAnsi="Baskerville" w:cs="Arabic Typesetting"/>
        </w:rPr>
        <w:t>of academic literature</w:t>
      </w:r>
      <w:r w:rsidR="001D1C1A" w:rsidRPr="007B25AE">
        <w:rPr>
          <w:rFonts w:ascii="Baskerville" w:eastAsia="MS PMincho" w:hAnsi="Baskerville" w:cs="Arabic Typesetting"/>
        </w:rPr>
        <w:t xml:space="preserve"> quietly</w:t>
      </w:r>
      <w:r w:rsidR="003D2EFB" w:rsidRPr="007B25AE">
        <w:rPr>
          <w:rFonts w:ascii="Baskerville" w:eastAsia="MS PMincho" w:hAnsi="Baskerville" w:cs="Arabic Typesetting"/>
        </w:rPr>
        <w:t xml:space="preserve"> </w:t>
      </w:r>
      <w:r w:rsidR="001D1C1A" w:rsidRPr="007B25AE">
        <w:rPr>
          <w:rFonts w:ascii="Baskerville" w:eastAsia="MS PMincho" w:hAnsi="Baskerville" w:cs="Arabic Typesetting"/>
        </w:rPr>
        <w:t>working its way through the</w:t>
      </w:r>
      <w:r w:rsidR="00553952" w:rsidRPr="007B25AE">
        <w:rPr>
          <w:rFonts w:ascii="Baskerville" w:eastAsia="MS PMincho" w:hAnsi="Baskerville" w:cs="Arabic Typesetting"/>
        </w:rPr>
        <w:t xml:space="preserve"> </w:t>
      </w:r>
      <w:r w:rsidR="001D1C1A" w:rsidRPr="007B25AE">
        <w:rPr>
          <w:rFonts w:ascii="Baskerville" w:eastAsia="MS PMincho" w:hAnsi="Baskerville" w:cs="Arabic Typesetting"/>
        </w:rPr>
        <w:t>problem on</w:t>
      </w:r>
      <w:r w:rsidR="00553952" w:rsidRPr="007B25AE">
        <w:rPr>
          <w:rFonts w:ascii="Baskerville" w:eastAsia="MS PMincho" w:hAnsi="Baskerville" w:cs="Arabic Typesetting"/>
        </w:rPr>
        <w:t xml:space="preserve"> how to </w:t>
      </w:r>
      <w:r w:rsidR="00F0139A" w:rsidRPr="007B25AE">
        <w:rPr>
          <w:rFonts w:ascii="Baskerville" w:eastAsia="MS PMincho" w:hAnsi="Baskerville" w:cs="Arabic Typesetting"/>
        </w:rPr>
        <w:t>answer</w:t>
      </w:r>
      <w:r w:rsidR="00553952" w:rsidRPr="007B25AE">
        <w:rPr>
          <w:rFonts w:ascii="Baskerville" w:eastAsia="MS PMincho" w:hAnsi="Baskerville" w:cs="Arabic Typesetting"/>
        </w:rPr>
        <w:t xml:space="preserve"> </w:t>
      </w:r>
      <w:proofErr w:type="gramStart"/>
      <w:r w:rsidR="001D1C1A" w:rsidRPr="007B25AE">
        <w:rPr>
          <w:rFonts w:ascii="Baskerville" w:eastAsia="MS PMincho" w:hAnsi="Baskerville" w:cs="Arabic Typesetting"/>
        </w:rPr>
        <w:t>th</w:t>
      </w:r>
      <w:r w:rsidR="007B1DA5" w:rsidRPr="007B25AE">
        <w:rPr>
          <w:rFonts w:ascii="Baskerville" w:eastAsia="MS PMincho" w:hAnsi="Baskerville" w:cs="Arabic Typesetting"/>
        </w:rPr>
        <w:t>is</w:t>
      </w:r>
      <w:r w:rsidR="001D1C1A" w:rsidRPr="007B25AE">
        <w:rPr>
          <w:rFonts w:ascii="Baskerville" w:eastAsia="MS PMincho" w:hAnsi="Baskerville" w:cs="Arabic Typesetting"/>
        </w:rPr>
        <w:t xml:space="preserve"> pressing</w:t>
      </w:r>
      <w:r w:rsidR="00ED4FE4" w:rsidRPr="007B25AE">
        <w:rPr>
          <w:rFonts w:ascii="Baskerville" w:eastAsia="MS PMincho" w:hAnsi="Baskerville" w:cs="Arabic Typesetting"/>
        </w:rPr>
        <w:t xml:space="preserve"> </w:t>
      </w:r>
      <w:r w:rsidR="001D1C1A" w:rsidRPr="007B25AE">
        <w:rPr>
          <w:rFonts w:ascii="Baskerville" w:eastAsia="MS PMincho" w:hAnsi="Baskerville" w:cs="Arabic Typesetting"/>
        </w:rPr>
        <w:t>questions</w:t>
      </w:r>
      <w:proofErr w:type="gramEnd"/>
      <w:r w:rsidR="001D1C1A" w:rsidRPr="007B25AE">
        <w:rPr>
          <w:rFonts w:ascii="Baskerville" w:eastAsia="MS PMincho" w:hAnsi="Baskerville" w:cs="Arabic Typesetting"/>
        </w:rPr>
        <w:t xml:space="preserve"> about the dwindling</w:t>
      </w:r>
      <w:r w:rsidR="00304FEC" w:rsidRPr="007B25AE">
        <w:rPr>
          <w:rFonts w:ascii="Baskerville" w:eastAsia="MS PMincho" w:hAnsi="Baskerville" w:cs="Arabic Typesetting"/>
        </w:rPr>
        <w:t xml:space="preserve"> </w:t>
      </w:r>
      <w:r w:rsidR="007A6531" w:rsidRPr="007B25AE">
        <w:rPr>
          <w:rFonts w:ascii="Baskerville" w:eastAsia="MS PMincho" w:hAnsi="Baskerville" w:cs="Arabic Typesetting"/>
        </w:rPr>
        <w:t>supply</w:t>
      </w:r>
      <w:r w:rsidR="00CC344E" w:rsidRPr="007B25AE">
        <w:rPr>
          <w:rFonts w:ascii="Baskerville" w:eastAsia="MS PMincho" w:hAnsi="Baskerville" w:cs="Arabic Typesetting"/>
        </w:rPr>
        <w:t xml:space="preserve"> of </w:t>
      </w:r>
      <w:r w:rsidR="003D2EFB" w:rsidRPr="007B25AE">
        <w:rPr>
          <w:rFonts w:ascii="Baskerville" w:eastAsia="MS PMincho" w:hAnsi="Baskerville" w:cs="Arabic Typesetting"/>
        </w:rPr>
        <w:t>Black</w:t>
      </w:r>
      <w:r w:rsidR="00F14108" w:rsidRPr="007B25AE">
        <w:rPr>
          <w:rFonts w:ascii="Baskerville" w:eastAsia="MS PMincho" w:hAnsi="Baskerville" w:cs="Arabic Typesetting"/>
        </w:rPr>
        <w:t xml:space="preserve"> and Hispanic </w:t>
      </w:r>
      <w:r w:rsidR="003D2EFB" w:rsidRPr="007B25AE">
        <w:rPr>
          <w:rFonts w:ascii="Baskerville" w:eastAsia="MS PMincho" w:hAnsi="Baskerville" w:cs="Arabic Typesetting"/>
        </w:rPr>
        <w:t>teacher</w:t>
      </w:r>
      <w:r w:rsidR="00304FEC" w:rsidRPr="007B25AE">
        <w:rPr>
          <w:rFonts w:ascii="Baskerville" w:eastAsia="MS PMincho" w:hAnsi="Baskerville" w:cs="Arabic Typesetting"/>
        </w:rPr>
        <w:t>s</w:t>
      </w:r>
      <w:r w:rsidR="003D2EFB" w:rsidRPr="007B25AE">
        <w:rPr>
          <w:rFonts w:ascii="Baskerville" w:eastAsia="MS PMincho" w:hAnsi="Baskerville" w:cs="Arabic Typesetting"/>
        </w:rPr>
        <w:t xml:space="preserve">. </w:t>
      </w:r>
    </w:p>
    <w:p w14:paraId="6C427B79" w14:textId="164FFF8A" w:rsidR="00AC21F7" w:rsidRPr="007B25AE" w:rsidRDefault="002571E1" w:rsidP="007B1DA5">
      <w:pPr>
        <w:spacing w:line="360" w:lineRule="auto"/>
        <w:ind w:firstLine="720"/>
        <w:rPr>
          <w:rFonts w:ascii="Baskerville" w:eastAsia="MS PMincho" w:hAnsi="Baskerville" w:cs="Arabic Typesetting"/>
        </w:rPr>
      </w:pPr>
      <w:r w:rsidRPr="007B25AE">
        <w:rPr>
          <w:rFonts w:ascii="Baskerville" w:eastAsia="MS PMincho" w:hAnsi="Baskerville" w:cs="Arabic Typesetting"/>
        </w:rPr>
        <w:t>I</w:t>
      </w:r>
      <w:r w:rsidR="00BF4CBA" w:rsidRPr="007B25AE">
        <w:rPr>
          <w:rFonts w:ascii="Baskerville" w:eastAsia="MS PMincho" w:hAnsi="Baskerville" w:cs="Arabic Typesetting"/>
        </w:rPr>
        <w:t xml:space="preserve">n regard to the test at hand, it is clear that the probability of the p-value </w:t>
      </w:r>
      <w:r w:rsidR="002A7278" w:rsidRPr="007B25AE">
        <w:rPr>
          <w:rFonts w:ascii="Baskerville" w:eastAsia="MS PMincho" w:hAnsi="Baskerville" w:cs="Arabic Typesetting"/>
        </w:rPr>
        <w:t>has reached its assigned mark</w:t>
      </w:r>
      <w:r w:rsidR="00BF4CBA" w:rsidRPr="007B25AE">
        <w:rPr>
          <w:rFonts w:ascii="Baskerville" w:eastAsia="MS PMincho" w:hAnsi="Baskerville" w:cs="Arabic Typesetting"/>
        </w:rPr>
        <w:t xml:space="preserve">, </w:t>
      </w:r>
      <w:r w:rsidR="002A7278" w:rsidRPr="007B25AE">
        <w:rPr>
          <w:rFonts w:ascii="Baskerville" w:eastAsia="MS PMincho" w:hAnsi="Baskerville" w:cs="Arabic Typesetting"/>
        </w:rPr>
        <w:t>and</w:t>
      </w:r>
      <w:r w:rsidR="00BF4CBA" w:rsidRPr="007B25AE">
        <w:rPr>
          <w:rFonts w:ascii="Baskerville" w:eastAsia="MS PMincho" w:hAnsi="Baskerville" w:cs="Arabic Typesetting"/>
        </w:rPr>
        <w:t xml:space="preserve"> in turn, </w:t>
      </w:r>
      <w:r w:rsidR="00724C21" w:rsidRPr="007B25AE">
        <w:rPr>
          <w:rFonts w:ascii="Baskerville" w:eastAsia="MS PMincho" w:hAnsi="Baskerville" w:cs="Arabic Typesetting"/>
        </w:rPr>
        <w:t xml:space="preserve">would </w:t>
      </w:r>
      <w:r w:rsidR="00BF4CBA" w:rsidRPr="007B25AE">
        <w:rPr>
          <w:rFonts w:ascii="Baskerville" w:eastAsia="MS PMincho" w:hAnsi="Baskerville" w:cs="Arabic Typesetting"/>
        </w:rPr>
        <w:t xml:space="preserve">cause the probability of all that could boost the viability of the null hypothesis to </w:t>
      </w:r>
      <w:r w:rsidR="002A7278" w:rsidRPr="007B25AE">
        <w:rPr>
          <w:rFonts w:ascii="Baskerville" w:eastAsia="MS PMincho" w:hAnsi="Baskerville" w:cs="Arabic Typesetting"/>
        </w:rPr>
        <w:t xml:space="preserve">freeze </w:t>
      </w:r>
      <w:r w:rsidR="007B1DA5" w:rsidRPr="007B25AE">
        <w:rPr>
          <w:rFonts w:ascii="Baskerville" w:eastAsia="MS PMincho" w:hAnsi="Baskerville" w:cs="Arabic Typesetting"/>
        </w:rPr>
        <w:t xml:space="preserve">up </w:t>
      </w:r>
      <w:r w:rsidR="002A7278" w:rsidRPr="007B25AE">
        <w:rPr>
          <w:rFonts w:ascii="Baskerville" w:eastAsia="MS PMincho" w:hAnsi="Baskerville" w:cs="Arabic Typesetting"/>
        </w:rPr>
        <w:t>at the</w:t>
      </w:r>
      <w:r w:rsidR="00724C21" w:rsidRPr="007B25AE">
        <w:rPr>
          <w:rFonts w:ascii="Baskerville" w:eastAsia="MS PMincho" w:hAnsi="Baskerville" w:cs="Arabic Typesetting"/>
        </w:rPr>
        <w:t xml:space="preserve"> </w:t>
      </w:r>
      <w:r w:rsidR="00F0139A" w:rsidRPr="007B25AE">
        <w:rPr>
          <w:rFonts w:ascii="Baskerville" w:eastAsia="MS PMincho" w:hAnsi="Baskerville" w:cs="Arabic Typesetting"/>
        </w:rPr>
        <w:t>“</w:t>
      </w:r>
      <w:proofErr w:type="gramStart"/>
      <w:r w:rsidR="00724C21" w:rsidRPr="007B25AE">
        <w:rPr>
          <w:rFonts w:ascii="Baskerville" w:eastAsia="MS PMincho" w:hAnsi="Baskerville" w:cs="Arabic Typesetting"/>
        </w:rPr>
        <w:t>statistical</w:t>
      </w:r>
      <w:proofErr w:type="gramEnd"/>
      <w:r w:rsidR="00724C21" w:rsidRPr="007B25AE">
        <w:rPr>
          <w:rFonts w:ascii="Baskerville" w:eastAsia="MS PMincho" w:hAnsi="Baskerville" w:cs="Arabic Typesetting"/>
        </w:rPr>
        <w:t xml:space="preserve"> </w:t>
      </w:r>
      <w:r w:rsidR="00BF4CBA" w:rsidRPr="007B25AE">
        <w:rPr>
          <w:rFonts w:ascii="Baskerville" w:eastAsia="MS PMincho" w:hAnsi="Baskerville" w:cs="Arabic Typesetting"/>
        </w:rPr>
        <w:t>significan</w:t>
      </w:r>
      <w:r w:rsidR="0056492D" w:rsidRPr="007B25AE">
        <w:rPr>
          <w:rFonts w:ascii="Baskerville" w:eastAsia="MS PMincho" w:hAnsi="Baskerville" w:cs="Arabic Typesetting"/>
        </w:rPr>
        <w:t>t</w:t>
      </w:r>
      <w:r w:rsidR="00F0139A" w:rsidRPr="007B25AE">
        <w:rPr>
          <w:rFonts w:ascii="Baskerville" w:eastAsia="MS PMincho" w:hAnsi="Baskerville" w:cs="Arabic Typesetting"/>
        </w:rPr>
        <w:t>”</w:t>
      </w:r>
      <w:r w:rsidR="00BF4CBA" w:rsidRPr="007B25AE">
        <w:rPr>
          <w:rFonts w:ascii="Baskerville" w:eastAsia="MS PMincho" w:hAnsi="Baskerville" w:cs="Arabic Typesetting"/>
        </w:rPr>
        <w:t xml:space="preserve"> </w:t>
      </w:r>
      <w:r w:rsidR="0056492D" w:rsidRPr="007B25AE">
        <w:rPr>
          <w:rFonts w:ascii="Baskerville" w:eastAsia="MS PMincho" w:hAnsi="Baskerville" w:cs="Arabic Typesetting"/>
        </w:rPr>
        <w:t xml:space="preserve">point </w:t>
      </w:r>
      <w:r w:rsidR="002A7278" w:rsidRPr="007B25AE">
        <w:rPr>
          <w:rFonts w:ascii="Baskerville" w:eastAsia="MS PMincho" w:hAnsi="Baskerville" w:cs="Arabic Typesetting"/>
        </w:rPr>
        <w:t xml:space="preserve">where the p-value </w:t>
      </w:r>
      <w:r w:rsidR="007B1DA5" w:rsidRPr="007B25AE">
        <w:rPr>
          <w:rFonts w:ascii="Baskerville" w:eastAsia="MS PMincho" w:hAnsi="Baskerville" w:cs="Arabic Typesetting"/>
        </w:rPr>
        <w:t>had been</w:t>
      </w:r>
      <w:r w:rsidR="002A7278" w:rsidRPr="007B25AE">
        <w:rPr>
          <w:rFonts w:ascii="Baskerville" w:eastAsia="MS PMincho" w:hAnsi="Baskerville" w:cs="Arabic Typesetting"/>
        </w:rPr>
        <w:t xml:space="preserve"> </w:t>
      </w:r>
      <w:r w:rsidR="00AC21F7" w:rsidRPr="007B25AE">
        <w:rPr>
          <w:rFonts w:ascii="Baskerville" w:eastAsia="MS PMincho" w:hAnsi="Baskerville" w:cs="Arabic Typesetting"/>
        </w:rPr>
        <w:t xml:space="preserve">initially </w:t>
      </w:r>
      <w:r w:rsidR="002A7278" w:rsidRPr="007B25AE">
        <w:rPr>
          <w:rFonts w:ascii="Baskerville" w:eastAsia="MS PMincho" w:hAnsi="Baskerville" w:cs="Arabic Typesetting"/>
        </w:rPr>
        <w:t xml:space="preserve">assigned. </w:t>
      </w:r>
      <w:r w:rsidR="00BF4CBA" w:rsidRPr="007B25AE">
        <w:rPr>
          <w:rFonts w:ascii="Baskerville" w:eastAsia="MS PMincho" w:hAnsi="Baskerville" w:cs="Arabic Typesetting"/>
        </w:rPr>
        <w:t xml:space="preserve">Here, the probability that </w:t>
      </w:r>
      <w:r w:rsidR="0056492D" w:rsidRPr="007B25AE">
        <w:rPr>
          <w:rFonts w:ascii="Baskerville" w:eastAsia="MS PMincho" w:hAnsi="Baskerville" w:cs="Arabic Typesetting"/>
        </w:rPr>
        <w:t>the</w:t>
      </w:r>
      <w:r w:rsidR="00BF4CBA" w:rsidRPr="007B25AE">
        <w:rPr>
          <w:rFonts w:ascii="Baskerville" w:eastAsia="MS PMincho" w:hAnsi="Baskerville" w:cs="Arabic Typesetting"/>
        </w:rPr>
        <w:t xml:space="preserve"> p-value </w:t>
      </w:r>
      <w:r w:rsidR="0056492D" w:rsidRPr="007B25AE">
        <w:rPr>
          <w:rFonts w:ascii="Baskerville" w:eastAsia="MS PMincho" w:hAnsi="Baskerville" w:cs="Arabic Typesetting"/>
        </w:rPr>
        <w:t>is stuck at</w:t>
      </w:r>
      <w:r w:rsidR="00E37554" w:rsidRPr="007B25AE">
        <w:rPr>
          <w:rFonts w:ascii="Baskerville" w:eastAsia="MS PMincho" w:hAnsi="Baskerville" w:cs="Arabic Typesetting"/>
        </w:rPr>
        <w:t xml:space="preserve"> </w:t>
      </w:r>
      <w:r w:rsidR="00BF4CBA" w:rsidRPr="007B25AE">
        <w:rPr>
          <w:rFonts w:ascii="Baskerville" w:eastAsia="MS PMincho" w:hAnsi="Baskerville" w:cs="Arabic Typesetting"/>
        </w:rPr>
        <w:t xml:space="preserve">0.05 </w:t>
      </w:r>
      <w:r w:rsidR="00724C21" w:rsidRPr="007B25AE">
        <w:rPr>
          <w:rFonts w:ascii="Baskerville" w:eastAsia="MS PMincho" w:hAnsi="Baskerville" w:cs="Arabic Typesetting"/>
        </w:rPr>
        <w:t xml:space="preserve">(depending on the research discipline) </w:t>
      </w:r>
      <w:r w:rsidR="00BF4CBA" w:rsidRPr="007B25AE">
        <w:rPr>
          <w:rFonts w:ascii="Baskerville" w:eastAsia="MS PMincho" w:hAnsi="Baskerville" w:cs="Arabic Typesetting"/>
        </w:rPr>
        <w:t xml:space="preserve">signifies that the null hypothesis has </w:t>
      </w:r>
      <w:r w:rsidR="0056492D" w:rsidRPr="007B25AE">
        <w:rPr>
          <w:rFonts w:ascii="Baskerville" w:eastAsia="MS PMincho" w:hAnsi="Baskerville" w:cs="Arabic Typesetting"/>
        </w:rPr>
        <w:t xml:space="preserve">reached the margin of rejection and cannot encroach further beyond into the area under the </w:t>
      </w:r>
      <w:r w:rsidR="00AC21F7" w:rsidRPr="007B25AE">
        <w:rPr>
          <w:rFonts w:ascii="Baskerville" w:eastAsia="MS PMincho" w:hAnsi="Baskerville" w:cs="Arabic Typesetting"/>
        </w:rPr>
        <w:t>curve so as</w:t>
      </w:r>
      <w:r w:rsidR="004E6CE0" w:rsidRPr="007B25AE">
        <w:rPr>
          <w:rFonts w:ascii="Baskerville" w:eastAsia="MS PMincho" w:hAnsi="Baskerville" w:cs="Arabic Typesetting"/>
        </w:rPr>
        <w:t xml:space="preserve"> </w:t>
      </w:r>
      <w:r w:rsidR="00724C21" w:rsidRPr="007B25AE">
        <w:rPr>
          <w:rFonts w:ascii="Baskerville" w:eastAsia="MS PMincho" w:hAnsi="Baskerville" w:cs="Arabic Typesetting"/>
        </w:rPr>
        <w:t xml:space="preserve">not </w:t>
      </w:r>
      <w:r w:rsidR="00AC21F7" w:rsidRPr="007B25AE">
        <w:rPr>
          <w:rFonts w:ascii="Baskerville" w:eastAsia="MS PMincho" w:hAnsi="Baskerville" w:cs="Arabic Typesetting"/>
        </w:rPr>
        <w:t xml:space="preserve">to </w:t>
      </w:r>
      <w:r w:rsidR="00724C21" w:rsidRPr="007B25AE">
        <w:rPr>
          <w:rFonts w:ascii="Baskerville" w:eastAsia="MS PMincho" w:hAnsi="Baskerville" w:cs="Arabic Typesetting"/>
        </w:rPr>
        <w:t>be rejected</w:t>
      </w:r>
      <w:r w:rsidR="00BF4CBA" w:rsidRPr="007B25AE">
        <w:rPr>
          <w:rFonts w:ascii="Baskerville" w:eastAsia="MS PMincho" w:hAnsi="Baskerville" w:cs="Arabic Typesetting"/>
        </w:rPr>
        <w:t xml:space="preserve">. </w:t>
      </w:r>
    </w:p>
    <w:p w14:paraId="6C5909AA" w14:textId="1CB0F854" w:rsidR="00BF4CBA" w:rsidRPr="007B25AE" w:rsidRDefault="00BF4CBA" w:rsidP="002571E1">
      <w:pPr>
        <w:spacing w:line="360" w:lineRule="auto"/>
        <w:ind w:firstLine="720"/>
        <w:rPr>
          <w:rFonts w:ascii="Baskerville" w:eastAsia="MS PMincho" w:hAnsi="Baskerville" w:cs="Arabic Typesetting"/>
        </w:rPr>
      </w:pPr>
      <w:r w:rsidRPr="007B25AE">
        <w:rPr>
          <w:rFonts w:ascii="Baskerville" w:eastAsia="MS PMincho" w:hAnsi="Baskerville" w:cs="Arabic Typesetting"/>
        </w:rPr>
        <w:t>Against that back</w:t>
      </w:r>
      <w:r w:rsidR="004E6CE0" w:rsidRPr="007B25AE">
        <w:rPr>
          <w:rFonts w:ascii="Baskerville" w:eastAsia="MS PMincho" w:hAnsi="Baskerville" w:cs="Arabic Typesetting"/>
        </w:rPr>
        <w:t>drop</w:t>
      </w:r>
      <w:r w:rsidRPr="007B25AE">
        <w:rPr>
          <w:rFonts w:ascii="Baskerville" w:eastAsia="MS PMincho" w:hAnsi="Baskerville" w:cs="Arabic Typesetting"/>
        </w:rPr>
        <w:t xml:space="preserve">, the researcher is handed a hefty dose of confidence at 95% probability, in favor of the </w:t>
      </w:r>
      <w:r w:rsidR="004E6CE0" w:rsidRPr="007B25AE">
        <w:rPr>
          <w:rFonts w:ascii="Baskerville" w:eastAsia="MS PMincho" w:hAnsi="Baskerville" w:cs="Arabic Typesetting"/>
        </w:rPr>
        <w:t>“</w:t>
      </w:r>
      <w:r w:rsidRPr="007B25AE">
        <w:rPr>
          <w:rFonts w:ascii="Baskerville" w:eastAsia="MS PMincho" w:hAnsi="Baskerville" w:cs="Arabic Typesetting"/>
        </w:rPr>
        <w:t>alternative hypothesis</w:t>
      </w:r>
      <w:r w:rsidR="004E6CE0" w:rsidRPr="007B25AE">
        <w:rPr>
          <w:rFonts w:ascii="Baskerville" w:eastAsia="MS PMincho" w:hAnsi="Baskerville" w:cs="Arabic Typesetting"/>
        </w:rPr>
        <w:t>”</w:t>
      </w:r>
      <w:r w:rsidRPr="007B25AE">
        <w:rPr>
          <w:rFonts w:ascii="Baskerville" w:eastAsia="MS PMincho" w:hAnsi="Baskerville" w:cs="Arabic Typesetting"/>
        </w:rPr>
        <w:t xml:space="preserve"> upon "rejection" of the null hypothesis. </w:t>
      </w:r>
      <w:r w:rsidR="00F0139A" w:rsidRPr="007B25AE">
        <w:rPr>
          <w:rFonts w:ascii="Baskerville" w:eastAsia="MS PMincho" w:hAnsi="Baskerville" w:cs="Arabic Typesetting"/>
        </w:rPr>
        <w:t xml:space="preserve">Looking at it in a roundabout </w:t>
      </w:r>
      <w:r w:rsidR="007B1DA5" w:rsidRPr="007B25AE">
        <w:rPr>
          <w:rFonts w:ascii="Baskerville" w:eastAsia="MS PMincho" w:hAnsi="Baskerville" w:cs="Arabic Typesetting"/>
        </w:rPr>
        <w:t xml:space="preserve">kind of </w:t>
      </w:r>
      <w:r w:rsidR="00F0139A" w:rsidRPr="007B25AE">
        <w:rPr>
          <w:rFonts w:ascii="Baskerville" w:eastAsia="MS PMincho" w:hAnsi="Baskerville" w:cs="Arabic Typesetting"/>
        </w:rPr>
        <w:t>way, we could say that this is a</w:t>
      </w:r>
      <w:r w:rsidRPr="007B25AE">
        <w:rPr>
          <w:rFonts w:ascii="Baskerville" w:eastAsia="MS PMincho" w:hAnsi="Baskerville" w:cs="Arabic Typesetting"/>
        </w:rPr>
        <w:t xml:space="preserve"> high probability that </w:t>
      </w:r>
      <w:r w:rsidR="007B1DA5" w:rsidRPr="007B25AE">
        <w:rPr>
          <w:rFonts w:ascii="Baskerville" w:eastAsia="MS PMincho" w:hAnsi="Baskerville" w:cs="Arabic Typesetting"/>
        </w:rPr>
        <w:t xml:space="preserve">the null hypothesis, </w:t>
      </w:r>
      <w:r w:rsidRPr="007B25AE">
        <w:rPr>
          <w:rFonts w:ascii="Baskerville" w:eastAsia="MS PMincho" w:hAnsi="Baskerville" w:cs="Arabic Typesetting"/>
        </w:rPr>
        <w:t>H</w:t>
      </w:r>
      <w:r w:rsidRPr="007B25AE">
        <w:rPr>
          <w:rFonts w:ascii="Baskerville" w:eastAsia="MS PMincho" w:hAnsi="Baskerville" w:cs="Arabic Typesetting"/>
          <w:vertAlign w:val="subscript"/>
        </w:rPr>
        <w:t>0</w:t>
      </w:r>
      <w:r w:rsidR="007B1DA5" w:rsidRPr="007B25AE">
        <w:rPr>
          <w:rFonts w:ascii="Baskerville" w:eastAsia="MS PMincho" w:hAnsi="Baskerville" w:cs="Arabic Typesetting"/>
        </w:rPr>
        <w:t xml:space="preserve">, </w:t>
      </w:r>
      <w:r w:rsidRPr="007B25AE">
        <w:rPr>
          <w:rFonts w:ascii="Baskerville" w:eastAsia="MS PMincho" w:hAnsi="Baskerville" w:cs="Arabic Typesetting"/>
        </w:rPr>
        <w:t xml:space="preserve">is not </w:t>
      </w:r>
      <w:r w:rsidR="006D5550" w:rsidRPr="007B25AE">
        <w:rPr>
          <w:rFonts w:ascii="Baskerville" w:eastAsia="MS PMincho" w:hAnsi="Baskerville" w:cs="Arabic Typesetting"/>
        </w:rPr>
        <w:t>viable</w:t>
      </w:r>
      <w:r w:rsidRPr="007B25AE">
        <w:rPr>
          <w:rFonts w:ascii="Baskerville" w:eastAsia="MS PMincho" w:hAnsi="Baskerville" w:cs="Arabic Typesetting"/>
        </w:rPr>
        <w:t xml:space="preserve">, </w:t>
      </w:r>
      <w:r w:rsidR="00F0139A" w:rsidRPr="007B25AE">
        <w:rPr>
          <w:rFonts w:ascii="Baskerville" w:eastAsia="MS PMincho" w:hAnsi="Baskerville" w:cs="Arabic Typesetting"/>
        </w:rPr>
        <w:t xml:space="preserve">which </w:t>
      </w:r>
      <w:r w:rsidR="00B84ACA" w:rsidRPr="007B25AE">
        <w:rPr>
          <w:rFonts w:ascii="Baskerville" w:eastAsia="MS PMincho" w:hAnsi="Baskerville" w:cs="Arabic Typesetting"/>
        </w:rPr>
        <w:t>i</w:t>
      </w:r>
      <w:r w:rsidR="00F0139A" w:rsidRPr="007B25AE">
        <w:rPr>
          <w:rFonts w:ascii="Baskerville" w:eastAsia="MS PMincho" w:hAnsi="Baskerville" w:cs="Arabic Typesetting"/>
        </w:rPr>
        <w:t xml:space="preserve">s </w:t>
      </w:r>
      <w:r w:rsidR="00B84ACA" w:rsidRPr="007B25AE">
        <w:rPr>
          <w:rFonts w:ascii="Baskerville" w:eastAsia="MS PMincho" w:hAnsi="Baskerville" w:cs="Arabic Typesetting"/>
        </w:rPr>
        <w:t>tantamount to saying</w:t>
      </w:r>
      <w:r w:rsidR="00AC27EC" w:rsidRPr="007B25AE">
        <w:rPr>
          <w:rFonts w:ascii="Baskerville" w:eastAsia="MS PMincho" w:hAnsi="Baskerville" w:cs="Arabic Typesetting"/>
        </w:rPr>
        <w:t>,</w:t>
      </w:r>
      <w:r w:rsidR="007B1DA5" w:rsidRPr="007B25AE">
        <w:rPr>
          <w:rFonts w:ascii="Baskerville" w:eastAsia="MS PMincho" w:hAnsi="Baskerville" w:cs="Arabic Typesetting"/>
        </w:rPr>
        <w:t xml:space="preserve"> </w:t>
      </w:r>
      <w:r w:rsidRPr="007B25AE">
        <w:rPr>
          <w:rFonts w:ascii="Baskerville" w:eastAsia="MS PMincho" w:hAnsi="Baskerville" w:cs="Arabic Typesetting"/>
        </w:rPr>
        <w:t xml:space="preserve">in a </w:t>
      </w:r>
      <w:r w:rsidR="000B3F3F" w:rsidRPr="007B25AE">
        <w:rPr>
          <w:rFonts w:ascii="Baskerville" w:eastAsia="MS PMincho" w:hAnsi="Baskerville" w:cs="Arabic Typesetting"/>
        </w:rPr>
        <w:t>fact</w:t>
      </w:r>
      <w:r w:rsidRPr="007B25AE">
        <w:rPr>
          <w:rFonts w:ascii="Baskerville" w:eastAsia="MS PMincho" w:hAnsi="Baskerville" w:cs="Arabic Typesetting"/>
        </w:rPr>
        <w:t xml:space="preserve">, </w:t>
      </w:r>
      <w:r w:rsidR="00B84ACA" w:rsidRPr="007B25AE">
        <w:rPr>
          <w:rFonts w:ascii="Baskerville" w:eastAsia="MS PMincho" w:hAnsi="Baskerville" w:cs="Arabic Typesetting"/>
        </w:rPr>
        <w:t xml:space="preserve">it is </w:t>
      </w:r>
      <w:r w:rsidR="000B3F3F" w:rsidRPr="007B25AE">
        <w:rPr>
          <w:rFonts w:ascii="Baskerville" w:eastAsia="MS PMincho" w:hAnsi="Baskerville" w:cs="Arabic Typesetting"/>
        </w:rPr>
        <w:t>equivo</w:t>
      </w:r>
      <w:r w:rsidRPr="007B25AE">
        <w:rPr>
          <w:rFonts w:ascii="Baskerville" w:eastAsia="MS PMincho" w:hAnsi="Baskerville" w:cs="Arabic Typesetting"/>
        </w:rPr>
        <w:t>cal to the high probability that what is not H</w:t>
      </w:r>
      <w:r w:rsidRPr="007B25AE">
        <w:rPr>
          <w:rFonts w:ascii="Baskerville" w:eastAsia="MS PMincho" w:hAnsi="Baskerville" w:cs="Arabic Typesetting"/>
          <w:vertAlign w:val="subscript"/>
        </w:rPr>
        <w:t>0</w:t>
      </w:r>
      <w:r w:rsidRPr="007B25AE">
        <w:rPr>
          <w:rFonts w:ascii="Baskerville" w:eastAsia="MS PMincho" w:hAnsi="Baskerville" w:cs="Arabic Typesetting"/>
        </w:rPr>
        <w:t xml:space="preserve"> is </w:t>
      </w:r>
      <w:r w:rsidR="006D5550" w:rsidRPr="007B25AE">
        <w:rPr>
          <w:rFonts w:ascii="Baskerville" w:eastAsia="MS PMincho" w:hAnsi="Baskerville" w:cs="Arabic Typesetting"/>
        </w:rPr>
        <w:t>viable</w:t>
      </w:r>
      <w:r w:rsidRPr="007B25AE">
        <w:rPr>
          <w:rFonts w:ascii="Baskerville" w:eastAsia="MS PMincho" w:hAnsi="Baskerville" w:cs="Arabic Typesetting"/>
        </w:rPr>
        <w:t xml:space="preserve">. So, indeed, the </w:t>
      </w:r>
      <w:r w:rsidR="000B3F3F" w:rsidRPr="007B25AE">
        <w:rPr>
          <w:rFonts w:ascii="Baskerville" w:eastAsia="MS PMincho" w:hAnsi="Baskerville" w:cs="Arabic Typesetting"/>
        </w:rPr>
        <w:t xml:space="preserve">conversion of the p-value to a </w:t>
      </w:r>
      <w:r w:rsidRPr="007B25AE">
        <w:rPr>
          <w:rFonts w:ascii="Baskerville" w:eastAsia="MS PMincho" w:hAnsi="Baskerville" w:cs="Arabic Typesetting"/>
        </w:rPr>
        <w:t>5% probability is</w:t>
      </w:r>
      <w:r w:rsidR="000B3F3F" w:rsidRPr="007B25AE">
        <w:rPr>
          <w:rFonts w:ascii="Baskerville" w:eastAsia="MS PMincho" w:hAnsi="Baskerville" w:cs="Arabic Typesetting"/>
        </w:rPr>
        <w:t xml:space="preserve">, by default, </w:t>
      </w:r>
      <w:r w:rsidR="004B67FC" w:rsidRPr="007B25AE">
        <w:rPr>
          <w:rFonts w:ascii="Baskerville" w:eastAsia="MS PMincho" w:hAnsi="Baskerville" w:cs="Arabic Typesetting"/>
        </w:rPr>
        <w:t>endorsing</w:t>
      </w:r>
      <w:r w:rsidRPr="007B25AE">
        <w:rPr>
          <w:rFonts w:ascii="Baskerville" w:eastAsia="MS PMincho" w:hAnsi="Baskerville" w:cs="Arabic Typesetting"/>
        </w:rPr>
        <w:t xml:space="preserve"> the viability of </w:t>
      </w:r>
      <w:r w:rsidR="00B84ACA" w:rsidRPr="007B25AE">
        <w:rPr>
          <w:rFonts w:ascii="Baskerville" w:eastAsia="MS PMincho" w:hAnsi="Baskerville" w:cs="Arabic Typesetting"/>
        </w:rPr>
        <w:t>the alternative hypothesis (</w:t>
      </w:r>
      <w:r w:rsidRPr="007B25AE">
        <w:rPr>
          <w:rFonts w:ascii="Baskerville" w:eastAsia="MS PMincho" w:hAnsi="Baskerville" w:cs="Arabic Typesetting"/>
        </w:rPr>
        <w:t>H</w:t>
      </w:r>
      <w:r w:rsidR="00F0139A" w:rsidRPr="007B25AE">
        <w:rPr>
          <w:rFonts w:ascii="Baskerville" w:eastAsia="MS PMincho" w:hAnsi="Baskerville" w:cs="Arabic Typesetting"/>
          <w:sz w:val="32"/>
          <w:szCs w:val="32"/>
          <w:vertAlign w:val="subscript"/>
        </w:rPr>
        <w:t>a</w:t>
      </w:r>
      <w:r w:rsidR="00B84ACA" w:rsidRPr="007B25AE">
        <w:rPr>
          <w:rFonts w:ascii="Baskerville" w:eastAsia="MS PMincho" w:hAnsi="Baskerville" w:cs="Arabic Typesetting"/>
          <w:sz w:val="32"/>
          <w:szCs w:val="32"/>
          <w:vertAlign w:val="subscript"/>
        </w:rPr>
        <w:t>)</w:t>
      </w:r>
      <w:r w:rsidRPr="007B25AE">
        <w:rPr>
          <w:rFonts w:ascii="Baskerville" w:eastAsia="MS PMincho" w:hAnsi="Baskerville" w:cs="Arabic Typesetting"/>
        </w:rPr>
        <w:t xml:space="preserve">.     </w:t>
      </w:r>
    </w:p>
    <w:p w14:paraId="6BD0396D" w14:textId="230A95C9" w:rsidR="00663590" w:rsidRPr="007B25AE" w:rsidRDefault="00786A6A" w:rsidP="001146D6">
      <w:pPr>
        <w:spacing w:line="360" w:lineRule="auto"/>
        <w:ind w:firstLine="720"/>
        <w:rPr>
          <w:rFonts w:ascii="Baskerville" w:eastAsia="MS PMincho" w:hAnsi="Baskerville" w:cs="Arabic Typesetting"/>
        </w:rPr>
      </w:pPr>
      <w:r w:rsidRPr="007B25AE">
        <w:rPr>
          <w:rFonts w:ascii="Baskerville" w:eastAsia="MS PMincho" w:hAnsi="Baskerville" w:cs="Arabic Typesetting"/>
        </w:rPr>
        <w:t>When</w:t>
      </w:r>
      <w:r w:rsidR="00BF4CBA" w:rsidRPr="007B25AE">
        <w:rPr>
          <w:rFonts w:ascii="Baskerville" w:eastAsia="MS PMincho" w:hAnsi="Baskerville" w:cs="Arabic Typesetting"/>
        </w:rPr>
        <w:t xml:space="preserve"> </w:t>
      </w:r>
      <w:r w:rsidR="00306804" w:rsidRPr="007B25AE">
        <w:rPr>
          <w:rFonts w:ascii="Baskerville" w:eastAsia="MS PMincho" w:hAnsi="Baskerville" w:cs="Arabic Typesetting"/>
        </w:rPr>
        <w:t xml:space="preserve">statisticians consider the </w:t>
      </w:r>
      <w:r w:rsidR="004B67FC" w:rsidRPr="007B25AE">
        <w:rPr>
          <w:rFonts w:ascii="Baskerville" w:eastAsia="MS PMincho" w:hAnsi="Baskerville" w:cs="Arabic Typesetting"/>
        </w:rPr>
        <w:t>term</w:t>
      </w:r>
      <w:r w:rsidR="00306804" w:rsidRPr="007B25AE">
        <w:rPr>
          <w:rFonts w:ascii="Baskerville" w:eastAsia="MS PMincho" w:hAnsi="Baskerville" w:cs="Arabic Typesetting"/>
        </w:rPr>
        <w:t>,</w:t>
      </w:r>
      <w:r w:rsidR="00BF4CBA" w:rsidRPr="007B25AE">
        <w:rPr>
          <w:rFonts w:ascii="Baskerville" w:eastAsia="MS PMincho" w:hAnsi="Baskerville" w:cs="Arabic Typesetting"/>
        </w:rPr>
        <w:t xml:space="preserve"> </w:t>
      </w:r>
      <w:r w:rsidR="00CD484E" w:rsidRPr="007B25AE">
        <w:rPr>
          <w:rFonts w:ascii="Baskerville" w:eastAsia="MS PMincho" w:hAnsi="Baskerville" w:cs="Arabic Typesetting"/>
        </w:rPr>
        <w:t>“</w:t>
      </w:r>
      <w:r w:rsidR="004B67FC" w:rsidRPr="007B25AE">
        <w:rPr>
          <w:rFonts w:ascii="Baskerville" w:eastAsia="MS PMincho" w:hAnsi="Baskerville" w:cs="Arabic Typesetting"/>
        </w:rPr>
        <w:t xml:space="preserve">statistically </w:t>
      </w:r>
      <w:r w:rsidR="00BF4CBA" w:rsidRPr="007B25AE">
        <w:rPr>
          <w:rFonts w:ascii="Baskerville" w:eastAsia="MS PMincho" w:hAnsi="Baskerville" w:cs="Arabic Typesetting"/>
        </w:rPr>
        <w:t>significan</w:t>
      </w:r>
      <w:r w:rsidR="004B67FC" w:rsidRPr="007B25AE">
        <w:rPr>
          <w:rFonts w:ascii="Baskerville" w:eastAsia="MS PMincho" w:hAnsi="Baskerville" w:cs="Arabic Typesetting"/>
        </w:rPr>
        <w:t>t</w:t>
      </w:r>
      <w:r w:rsidR="00306804" w:rsidRPr="007B25AE">
        <w:rPr>
          <w:rFonts w:ascii="Baskerville" w:eastAsia="MS PMincho" w:hAnsi="Baskerville" w:cs="Arabic Typesetting"/>
        </w:rPr>
        <w:t>,</w:t>
      </w:r>
      <w:r w:rsidR="00CD484E" w:rsidRPr="007B25AE">
        <w:rPr>
          <w:rFonts w:ascii="Baskerville" w:eastAsia="MS PMincho" w:hAnsi="Baskerville" w:cs="Arabic Typesetting"/>
        </w:rPr>
        <w:t xml:space="preserve">” </w:t>
      </w:r>
      <w:r w:rsidR="00306804" w:rsidRPr="007B25AE">
        <w:rPr>
          <w:rFonts w:ascii="Baskerville" w:eastAsia="MS PMincho" w:hAnsi="Baskerville" w:cs="Arabic Typesetting"/>
        </w:rPr>
        <w:t>in</w:t>
      </w:r>
      <w:r w:rsidR="00E05159" w:rsidRPr="007B25AE">
        <w:rPr>
          <w:rFonts w:ascii="Baskerville" w:eastAsia="MS PMincho" w:hAnsi="Baskerville" w:cs="Arabic Typesetting"/>
        </w:rPr>
        <w:t xml:space="preserve"> their discussion of</w:t>
      </w:r>
      <w:r w:rsidR="00306804" w:rsidRPr="007B25AE">
        <w:rPr>
          <w:rFonts w:ascii="Baskerville" w:eastAsia="MS PMincho" w:hAnsi="Baskerville" w:cs="Arabic Typesetting"/>
        </w:rPr>
        <w:t xml:space="preserve"> hypothesis testing, the</w:t>
      </w:r>
      <w:r w:rsidR="00B52BF7" w:rsidRPr="007B25AE">
        <w:rPr>
          <w:rFonts w:ascii="Baskerville" w:eastAsia="MS PMincho" w:hAnsi="Baskerville" w:cs="Arabic Typesetting"/>
        </w:rPr>
        <w:t xml:space="preserve"> force of that consideration</w:t>
      </w:r>
      <w:r w:rsidR="00306804" w:rsidRPr="007B25AE">
        <w:rPr>
          <w:rFonts w:ascii="Baskerville" w:eastAsia="MS PMincho" w:hAnsi="Baskerville" w:cs="Arabic Typesetting"/>
        </w:rPr>
        <w:t xml:space="preserve"> </w:t>
      </w:r>
      <w:r w:rsidR="004B67FC" w:rsidRPr="007B25AE">
        <w:rPr>
          <w:rFonts w:ascii="Baskerville" w:eastAsia="MS PMincho" w:hAnsi="Baskerville" w:cs="Arabic Typesetting"/>
        </w:rPr>
        <w:t>fixes</w:t>
      </w:r>
      <w:r w:rsidR="00306804" w:rsidRPr="007B25AE">
        <w:rPr>
          <w:rFonts w:ascii="Baskerville" w:eastAsia="MS PMincho" w:hAnsi="Baskerville" w:cs="Arabic Typesetting"/>
        </w:rPr>
        <w:t xml:space="preserve"> the level of </w:t>
      </w:r>
      <w:r w:rsidR="0074779E" w:rsidRPr="007B25AE">
        <w:rPr>
          <w:rFonts w:ascii="Baskerville" w:eastAsia="MS PMincho" w:hAnsi="Baskerville" w:cs="Arabic Typesetting"/>
        </w:rPr>
        <w:t>“</w:t>
      </w:r>
      <w:r w:rsidR="00BF4CBA" w:rsidRPr="007B25AE">
        <w:rPr>
          <w:rFonts w:ascii="Baskerville" w:eastAsia="MS PMincho" w:hAnsi="Baskerville" w:cs="Arabic Typesetting"/>
        </w:rPr>
        <w:t>confidence</w:t>
      </w:r>
      <w:r w:rsidR="0074779E" w:rsidRPr="007B25AE">
        <w:rPr>
          <w:rFonts w:ascii="Baskerville" w:eastAsia="MS PMincho" w:hAnsi="Baskerville" w:cs="Arabic Typesetting"/>
        </w:rPr>
        <w:t>”</w:t>
      </w:r>
      <w:r w:rsidR="00BF4CBA" w:rsidRPr="007B25AE">
        <w:rPr>
          <w:rFonts w:ascii="Baskerville" w:eastAsia="MS PMincho" w:hAnsi="Baskerville" w:cs="Arabic Typesetting"/>
        </w:rPr>
        <w:t xml:space="preserve"> </w:t>
      </w:r>
      <w:r w:rsidR="009C15ED" w:rsidRPr="007B25AE">
        <w:rPr>
          <w:rFonts w:ascii="Baskerville" w:eastAsia="MS PMincho" w:hAnsi="Baskerville" w:cs="Arabic Typesetting"/>
        </w:rPr>
        <w:t>to the marginal level of</w:t>
      </w:r>
      <w:r w:rsidR="00B52BF7" w:rsidRPr="007B25AE">
        <w:rPr>
          <w:rFonts w:ascii="Baskerville" w:eastAsia="MS PMincho" w:hAnsi="Baskerville" w:cs="Arabic Typesetting"/>
        </w:rPr>
        <w:t xml:space="preserve"> </w:t>
      </w:r>
      <w:r w:rsidR="00306804" w:rsidRPr="007B25AE">
        <w:rPr>
          <w:rFonts w:ascii="Baskerville" w:eastAsia="MS PMincho" w:hAnsi="Baskerville" w:cs="Arabic Typesetting"/>
        </w:rPr>
        <w:t xml:space="preserve">acceptance </w:t>
      </w:r>
      <w:r w:rsidR="004B67FC" w:rsidRPr="007B25AE">
        <w:rPr>
          <w:rFonts w:ascii="Baskerville" w:eastAsia="MS PMincho" w:hAnsi="Baskerville" w:cs="Arabic Typesetting"/>
        </w:rPr>
        <w:t>that the</w:t>
      </w:r>
      <w:r w:rsidR="002517FC" w:rsidRPr="007B25AE">
        <w:rPr>
          <w:rFonts w:ascii="Baskerville" w:eastAsia="MS PMincho" w:hAnsi="Baskerville" w:cs="Arabic Typesetting"/>
        </w:rPr>
        <w:t xml:space="preserve"> </w:t>
      </w:r>
      <w:r w:rsidR="00082D71" w:rsidRPr="007B25AE">
        <w:rPr>
          <w:rFonts w:ascii="Baskerville" w:eastAsia="MS PMincho" w:hAnsi="Baskerville" w:cs="Arabic Typesetting"/>
        </w:rPr>
        <w:t>hypothetical</w:t>
      </w:r>
      <w:r w:rsidR="00D650A8" w:rsidRPr="007B25AE">
        <w:rPr>
          <w:rFonts w:ascii="Baskerville" w:eastAsia="MS PMincho" w:hAnsi="Baskerville" w:cs="Arabic Typesetting"/>
        </w:rPr>
        <w:t xml:space="preserve"> </w:t>
      </w:r>
      <w:r w:rsidR="00CD484E" w:rsidRPr="007B25AE">
        <w:rPr>
          <w:rFonts w:ascii="Baskerville" w:eastAsia="MS PMincho" w:hAnsi="Baskerville" w:cs="Arabic Typesetting"/>
        </w:rPr>
        <w:t>event</w:t>
      </w:r>
      <w:r w:rsidR="00E05159" w:rsidRPr="007B25AE">
        <w:rPr>
          <w:rFonts w:ascii="Baskerville" w:eastAsia="MS PMincho" w:hAnsi="Baskerville" w:cs="Arabic Typesetting"/>
        </w:rPr>
        <w:t xml:space="preserve"> </w:t>
      </w:r>
      <w:r w:rsidR="002517FC" w:rsidRPr="007B25AE">
        <w:rPr>
          <w:rFonts w:ascii="Baskerville" w:eastAsia="MS PMincho" w:hAnsi="Baskerville" w:cs="Arabic Typesetting"/>
        </w:rPr>
        <w:t xml:space="preserve">very probably </w:t>
      </w:r>
      <w:r w:rsidR="00D650A8" w:rsidRPr="007B25AE">
        <w:rPr>
          <w:rFonts w:ascii="Baskerville" w:eastAsia="MS PMincho" w:hAnsi="Baskerville" w:cs="Arabic Typesetting"/>
        </w:rPr>
        <w:t>exists</w:t>
      </w:r>
      <w:r w:rsidR="00082D71" w:rsidRPr="007B25AE">
        <w:rPr>
          <w:rFonts w:ascii="Baskerville" w:eastAsia="MS PMincho" w:hAnsi="Baskerville" w:cs="Arabic Typesetting"/>
        </w:rPr>
        <w:t>,</w:t>
      </w:r>
      <w:r w:rsidR="002517FC" w:rsidRPr="007B25AE">
        <w:rPr>
          <w:rFonts w:ascii="Baskerville" w:eastAsia="MS PMincho" w:hAnsi="Baskerville" w:cs="Arabic Typesetting"/>
        </w:rPr>
        <w:t xml:space="preserve"> since </w:t>
      </w:r>
      <w:r w:rsidR="00CD484E" w:rsidRPr="007B25AE">
        <w:rPr>
          <w:rFonts w:ascii="Baskerville" w:eastAsia="MS PMincho" w:hAnsi="Baskerville" w:cs="Arabic Typesetting"/>
        </w:rPr>
        <w:t xml:space="preserve">the </w:t>
      </w:r>
      <w:r w:rsidR="006D5550" w:rsidRPr="007B25AE">
        <w:rPr>
          <w:rFonts w:ascii="Baskerville" w:eastAsia="MS PMincho" w:hAnsi="Baskerville" w:cs="Arabic Typesetting"/>
        </w:rPr>
        <w:t>difference between</w:t>
      </w:r>
      <w:r w:rsidR="00B52BF7" w:rsidRPr="007B25AE">
        <w:rPr>
          <w:rFonts w:ascii="Baskerville" w:eastAsia="MS PMincho" w:hAnsi="Baskerville" w:cs="Arabic Typesetting"/>
        </w:rPr>
        <w:t xml:space="preserve"> </w:t>
      </w:r>
      <w:r w:rsidR="007B7D1A" w:rsidRPr="007B25AE">
        <w:rPr>
          <w:rFonts w:ascii="Baskerville" w:eastAsia="MS PMincho" w:hAnsi="Baskerville" w:cs="Arabic Typesetting"/>
        </w:rPr>
        <w:t xml:space="preserve">a </w:t>
      </w:r>
      <w:r w:rsidR="00CD484E" w:rsidRPr="007B25AE">
        <w:rPr>
          <w:rFonts w:ascii="Baskerville" w:eastAsia="MS PMincho" w:hAnsi="Baskerville" w:cs="Arabic Typesetting"/>
        </w:rPr>
        <w:t>one hundred percent probability</w:t>
      </w:r>
      <w:r w:rsidR="006D5550" w:rsidRPr="007B25AE">
        <w:rPr>
          <w:rFonts w:ascii="Baskerville" w:eastAsia="MS PMincho" w:hAnsi="Baskerville" w:cs="Arabic Typesetting"/>
        </w:rPr>
        <w:t xml:space="preserve"> and the </w:t>
      </w:r>
      <w:r w:rsidR="004B67FC" w:rsidRPr="007B25AE">
        <w:rPr>
          <w:rFonts w:ascii="Baskerville" w:eastAsia="MS PMincho" w:hAnsi="Baskerville" w:cs="Arabic Typesetting"/>
        </w:rPr>
        <w:t>statistically significant</w:t>
      </w:r>
      <w:r w:rsidR="00082D71" w:rsidRPr="007B25AE">
        <w:rPr>
          <w:rFonts w:ascii="Baskerville" w:eastAsia="MS PMincho" w:hAnsi="Baskerville" w:cs="Arabic Typesetting"/>
        </w:rPr>
        <w:t xml:space="preserve"> </w:t>
      </w:r>
      <w:r w:rsidR="00BF4CBA" w:rsidRPr="007B25AE">
        <w:rPr>
          <w:rFonts w:ascii="Baskerville" w:eastAsia="MS PMincho" w:hAnsi="Baskerville" w:cs="Arabic Typesetting"/>
        </w:rPr>
        <w:t>p-value</w:t>
      </w:r>
      <w:r w:rsidR="002517FC" w:rsidRPr="007B25AE">
        <w:rPr>
          <w:rFonts w:ascii="Baskerville" w:eastAsia="MS PMincho" w:hAnsi="Baskerville" w:cs="Arabic Typesetting"/>
        </w:rPr>
        <w:t xml:space="preserve"> supports </w:t>
      </w:r>
      <w:r w:rsidR="00B84ACA" w:rsidRPr="007B25AE">
        <w:rPr>
          <w:rFonts w:ascii="Baskerville" w:eastAsia="MS PMincho" w:hAnsi="Baskerville" w:cs="Arabic Typesetting"/>
        </w:rPr>
        <w:t>the</w:t>
      </w:r>
      <w:r w:rsidR="002517FC" w:rsidRPr="007B25AE">
        <w:rPr>
          <w:rFonts w:ascii="Baskerville" w:eastAsia="MS PMincho" w:hAnsi="Baskerville" w:cs="Arabic Typesetting"/>
        </w:rPr>
        <w:t xml:space="preserve"> likelihood</w:t>
      </w:r>
      <w:r w:rsidR="00B84ACA" w:rsidRPr="007B25AE">
        <w:rPr>
          <w:rFonts w:ascii="Baskerville" w:eastAsia="MS PMincho" w:hAnsi="Baskerville" w:cs="Arabic Typesetting"/>
        </w:rPr>
        <w:t xml:space="preserve"> of its viability</w:t>
      </w:r>
      <w:r w:rsidR="00CD484E" w:rsidRPr="007B25AE">
        <w:rPr>
          <w:rFonts w:ascii="Baskerville" w:eastAsia="MS PMincho" w:hAnsi="Baskerville" w:cs="Arabic Typesetting"/>
        </w:rPr>
        <w:t>.  With that,</w:t>
      </w:r>
      <w:r w:rsidR="00BF4CBA" w:rsidRPr="007B25AE">
        <w:rPr>
          <w:rFonts w:ascii="Baskerville" w:eastAsia="MS PMincho" w:hAnsi="Baskerville" w:cs="Arabic Typesetting"/>
        </w:rPr>
        <w:t xml:space="preserve"> the researcher is </w:t>
      </w:r>
      <w:r w:rsidR="001146D6" w:rsidRPr="007B25AE">
        <w:rPr>
          <w:rFonts w:ascii="Baskerville" w:eastAsia="MS PMincho" w:hAnsi="Baskerville" w:cs="Arabic Typesetting"/>
        </w:rPr>
        <w:t>always itching to get to that place where he can say that</w:t>
      </w:r>
      <w:r w:rsidR="006D5550" w:rsidRPr="007B25AE">
        <w:rPr>
          <w:rFonts w:ascii="Baskerville" w:eastAsia="MS PMincho" w:hAnsi="Baskerville" w:cs="Arabic Typesetting"/>
        </w:rPr>
        <w:t xml:space="preserve"> </w:t>
      </w:r>
      <w:r w:rsidR="00BF4CBA" w:rsidRPr="007B25AE">
        <w:rPr>
          <w:rFonts w:ascii="Baskerville" w:eastAsia="MS PMincho" w:hAnsi="Baskerville" w:cs="Arabic Typesetting"/>
        </w:rPr>
        <w:t>the null hypothesis (H</w:t>
      </w:r>
      <w:r w:rsidR="00BF4CBA" w:rsidRPr="007B25AE">
        <w:rPr>
          <w:rFonts w:ascii="Baskerville" w:eastAsia="MS PMincho" w:hAnsi="Baskerville" w:cs="Arabic Typesetting"/>
          <w:vertAlign w:val="subscript"/>
        </w:rPr>
        <w:t>0</w:t>
      </w:r>
      <w:r w:rsidR="00BF4CBA" w:rsidRPr="007B25AE">
        <w:rPr>
          <w:rFonts w:ascii="Baskerville" w:eastAsia="MS PMincho" w:hAnsi="Baskerville" w:cs="Arabic Typesetting"/>
        </w:rPr>
        <w:t xml:space="preserve">) is </w:t>
      </w:r>
      <w:r w:rsidR="006D5550" w:rsidRPr="007B25AE">
        <w:rPr>
          <w:rFonts w:ascii="Baskerville" w:eastAsia="MS PMincho" w:hAnsi="Baskerville" w:cs="Arabic Typesetting"/>
        </w:rPr>
        <w:t>"rejected,"</w:t>
      </w:r>
      <w:r w:rsidR="00BF4CBA" w:rsidRPr="007B25AE">
        <w:rPr>
          <w:rFonts w:ascii="Baskerville" w:eastAsia="MS PMincho" w:hAnsi="Baskerville" w:cs="Arabic Typesetting"/>
        </w:rPr>
        <w:t xml:space="preserve"> </w:t>
      </w:r>
      <w:r w:rsidR="001146D6" w:rsidRPr="007B25AE">
        <w:rPr>
          <w:rFonts w:ascii="Baskerville" w:eastAsia="MS PMincho" w:hAnsi="Baskerville" w:cs="Arabic Typesetting"/>
        </w:rPr>
        <w:t>and</w:t>
      </w:r>
      <w:r w:rsidR="00BF4CBA" w:rsidRPr="007B25AE">
        <w:rPr>
          <w:rFonts w:ascii="Baskerville" w:eastAsia="MS PMincho" w:hAnsi="Baskerville" w:cs="Arabic Typesetting"/>
        </w:rPr>
        <w:t xml:space="preserve"> </w:t>
      </w:r>
      <w:r w:rsidR="007B7D1A" w:rsidRPr="007B25AE">
        <w:rPr>
          <w:rFonts w:ascii="Baskerville" w:eastAsia="MS PMincho" w:hAnsi="Baskerville" w:cs="Arabic Typesetting"/>
        </w:rPr>
        <w:t xml:space="preserve">that </w:t>
      </w:r>
      <w:r w:rsidR="00E05159" w:rsidRPr="007B25AE">
        <w:rPr>
          <w:rFonts w:ascii="Baskerville" w:eastAsia="MS PMincho" w:hAnsi="Baskerville" w:cs="Arabic Typesetting"/>
        </w:rPr>
        <w:t xml:space="preserve">it is </w:t>
      </w:r>
      <w:proofErr w:type="gramStart"/>
      <w:r w:rsidR="00E05159" w:rsidRPr="007B25AE">
        <w:rPr>
          <w:rFonts w:ascii="Baskerville" w:eastAsia="MS PMincho" w:hAnsi="Baskerville" w:cs="Arabic Typesetting"/>
        </w:rPr>
        <w:t>fairly reasonable</w:t>
      </w:r>
      <w:proofErr w:type="gramEnd"/>
      <w:r w:rsidR="00E05159" w:rsidRPr="007B25AE">
        <w:rPr>
          <w:rFonts w:ascii="Baskerville" w:eastAsia="MS PMincho" w:hAnsi="Baskerville" w:cs="Arabic Typesetting"/>
        </w:rPr>
        <w:t xml:space="preserve"> </w:t>
      </w:r>
      <w:r w:rsidR="00082D71" w:rsidRPr="007B25AE">
        <w:rPr>
          <w:rFonts w:ascii="Baskerville" w:eastAsia="MS PMincho" w:hAnsi="Baskerville" w:cs="Arabic Typesetting"/>
        </w:rPr>
        <w:t>(highly probable)</w:t>
      </w:r>
      <w:r w:rsidR="00663590" w:rsidRPr="007B25AE">
        <w:rPr>
          <w:rFonts w:ascii="Baskerville" w:eastAsia="MS PMincho" w:hAnsi="Baskerville" w:cs="Arabic Typesetting"/>
        </w:rPr>
        <w:t xml:space="preserve"> </w:t>
      </w:r>
      <w:r w:rsidR="00E05159" w:rsidRPr="007B25AE">
        <w:rPr>
          <w:rFonts w:ascii="Baskerville" w:eastAsia="MS PMincho" w:hAnsi="Baskerville" w:cs="Arabic Typesetting"/>
        </w:rPr>
        <w:t xml:space="preserve">to “accept” </w:t>
      </w:r>
      <w:r w:rsidR="00BF4CBA" w:rsidRPr="007B25AE">
        <w:rPr>
          <w:rFonts w:ascii="Baskerville" w:eastAsia="MS PMincho" w:hAnsi="Baskerville" w:cs="Arabic Typesetting"/>
        </w:rPr>
        <w:t xml:space="preserve">the </w:t>
      </w:r>
      <w:r w:rsidR="00082D71" w:rsidRPr="007B25AE">
        <w:rPr>
          <w:rFonts w:ascii="Baskerville" w:eastAsia="MS PMincho" w:hAnsi="Baskerville" w:cs="Arabic Typesetting"/>
        </w:rPr>
        <w:t>“</w:t>
      </w:r>
      <w:r w:rsidR="00BF4CBA" w:rsidRPr="007B25AE">
        <w:rPr>
          <w:rFonts w:ascii="Baskerville" w:eastAsia="MS PMincho" w:hAnsi="Baskerville" w:cs="Arabic Typesetting"/>
        </w:rPr>
        <w:t>alternative hypothesis</w:t>
      </w:r>
      <w:r w:rsidR="00082D71" w:rsidRPr="007B25AE">
        <w:rPr>
          <w:rFonts w:ascii="Baskerville" w:eastAsia="MS PMincho" w:hAnsi="Baskerville" w:cs="Arabic Typesetting"/>
        </w:rPr>
        <w:t>”</w:t>
      </w:r>
      <w:r w:rsidR="00BF4CBA" w:rsidRPr="007B25AE">
        <w:rPr>
          <w:rFonts w:ascii="Baskerville" w:eastAsia="MS PMincho" w:hAnsi="Baskerville" w:cs="Arabic Typesetting"/>
        </w:rPr>
        <w:t xml:space="preserve"> (H</w:t>
      </w:r>
      <w:r w:rsidR="00BF4CBA" w:rsidRPr="007B25AE">
        <w:rPr>
          <w:rFonts w:ascii="Baskerville" w:eastAsia="MS PMincho" w:hAnsi="Baskerville" w:cs="Arabic Typesetting"/>
          <w:sz w:val="32"/>
          <w:szCs w:val="32"/>
          <w:vertAlign w:val="subscript"/>
        </w:rPr>
        <w:t>a</w:t>
      </w:r>
      <w:r w:rsidR="00BF4CBA" w:rsidRPr="007B25AE">
        <w:rPr>
          <w:rFonts w:ascii="Baskerville" w:eastAsia="MS PMincho" w:hAnsi="Baskerville" w:cs="Arabic Typesetting"/>
        </w:rPr>
        <w:t>)</w:t>
      </w:r>
      <w:r w:rsidR="004B67FC" w:rsidRPr="007B25AE">
        <w:rPr>
          <w:rFonts w:ascii="Baskerville" w:eastAsia="MS PMincho" w:hAnsi="Baskerville" w:cs="Arabic Typesetting"/>
        </w:rPr>
        <w:t xml:space="preserve"> at that margin</w:t>
      </w:r>
      <w:r w:rsidR="006D5550" w:rsidRPr="007B25AE">
        <w:rPr>
          <w:rFonts w:ascii="Baskerville" w:eastAsia="MS PMincho" w:hAnsi="Baskerville" w:cs="Arabic Typesetting"/>
        </w:rPr>
        <w:t>.</w:t>
      </w:r>
      <w:r w:rsidR="00BF4CBA" w:rsidRPr="007B25AE">
        <w:rPr>
          <w:rFonts w:ascii="Baskerville" w:eastAsia="MS PMincho" w:hAnsi="Baskerville" w:cs="Arabic Typesetting"/>
        </w:rPr>
        <w:t xml:space="preserve"> </w:t>
      </w:r>
    </w:p>
    <w:p w14:paraId="7E0BB198" w14:textId="6402CB11" w:rsidR="00E05159" w:rsidRPr="007B25AE" w:rsidRDefault="003C3504" w:rsidP="001146D6">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Hale and Carlson (2016) </w:t>
      </w:r>
      <w:r w:rsidR="001146D6" w:rsidRPr="007B25AE">
        <w:rPr>
          <w:rFonts w:ascii="Baskerville" w:eastAsia="MS PMincho" w:hAnsi="Baskerville" w:cs="Arabic Typesetting"/>
        </w:rPr>
        <w:t>insist</w:t>
      </w:r>
      <w:r w:rsidRPr="007B25AE">
        <w:rPr>
          <w:rFonts w:ascii="Baskerville" w:eastAsia="MS PMincho" w:hAnsi="Baskerville" w:cs="Arabic Typesetting"/>
        </w:rPr>
        <w:t xml:space="preserve"> that, i</w:t>
      </w:r>
      <w:r w:rsidR="00BF4CBA" w:rsidRPr="007B25AE">
        <w:rPr>
          <w:rFonts w:ascii="Baskerville" w:eastAsia="MS PMincho" w:hAnsi="Baskerville" w:cs="Arabic Typesetting"/>
        </w:rPr>
        <w:t xml:space="preserve">n statistical </w:t>
      </w:r>
      <w:r w:rsidR="006D5550" w:rsidRPr="007B25AE">
        <w:rPr>
          <w:rFonts w:ascii="Baskerville" w:eastAsia="MS PMincho" w:hAnsi="Baskerville" w:cs="Arabic Typesetting"/>
        </w:rPr>
        <w:t>parlanc</w:t>
      </w:r>
      <w:r w:rsidR="00BF4CBA" w:rsidRPr="007B25AE">
        <w:rPr>
          <w:rFonts w:ascii="Baskerville" w:eastAsia="MS PMincho" w:hAnsi="Baskerville" w:cs="Arabic Typesetting"/>
        </w:rPr>
        <w:t xml:space="preserve">e, words like, </w:t>
      </w:r>
      <w:r w:rsidR="001146D6" w:rsidRPr="007B25AE">
        <w:rPr>
          <w:rFonts w:ascii="Baskerville" w:eastAsia="MS PMincho" w:hAnsi="Baskerville" w:cs="Arabic Typesetting"/>
        </w:rPr>
        <w:t xml:space="preserve">“certainty,” </w:t>
      </w:r>
      <w:r w:rsidR="00BF4CBA" w:rsidRPr="007B25AE">
        <w:rPr>
          <w:rFonts w:ascii="Baskerville" w:eastAsia="MS PMincho" w:hAnsi="Baskerville" w:cs="Arabic Typesetting"/>
        </w:rPr>
        <w:t xml:space="preserve">"accepted," "correct," </w:t>
      </w:r>
      <w:r w:rsidR="00E05159" w:rsidRPr="007B25AE">
        <w:rPr>
          <w:rFonts w:ascii="Baskerville" w:eastAsia="MS PMincho" w:hAnsi="Baskerville" w:cs="Arabic Typesetting"/>
        </w:rPr>
        <w:t xml:space="preserve">and </w:t>
      </w:r>
      <w:r w:rsidR="00BF4CBA" w:rsidRPr="007B25AE">
        <w:rPr>
          <w:rFonts w:ascii="Baskerville" w:eastAsia="MS PMincho" w:hAnsi="Baskerville" w:cs="Arabic Typesetting"/>
        </w:rPr>
        <w:t xml:space="preserve">"true," usually imply an outcome </w:t>
      </w:r>
      <w:r w:rsidR="001146D6" w:rsidRPr="007B25AE">
        <w:rPr>
          <w:rFonts w:ascii="Baskerville" w:eastAsia="MS PMincho" w:hAnsi="Baskerville" w:cs="Arabic Typesetting"/>
        </w:rPr>
        <w:t>approaching perfection that</w:t>
      </w:r>
      <w:r w:rsidR="00BF4CBA" w:rsidRPr="007B25AE">
        <w:rPr>
          <w:rFonts w:ascii="Baskerville" w:eastAsia="MS PMincho" w:hAnsi="Baskerville" w:cs="Arabic Typesetting"/>
        </w:rPr>
        <w:t xml:space="preserve"> is rarely possible. </w:t>
      </w:r>
      <w:r w:rsidR="001146D6" w:rsidRPr="007B25AE">
        <w:rPr>
          <w:rFonts w:ascii="Baskerville" w:eastAsia="MS PMincho" w:hAnsi="Baskerville" w:cs="Arabic Typesetting"/>
        </w:rPr>
        <w:t>In these words</w:t>
      </w:r>
      <w:r w:rsidR="00D650A8" w:rsidRPr="007B25AE">
        <w:rPr>
          <w:rFonts w:ascii="Baskerville" w:eastAsia="MS PMincho" w:hAnsi="Baskerville" w:cs="Arabic Typesetting"/>
        </w:rPr>
        <w:t>,</w:t>
      </w:r>
      <w:r w:rsidR="001146D6" w:rsidRPr="007B25AE">
        <w:rPr>
          <w:rFonts w:ascii="Baskerville" w:eastAsia="MS PMincho" w:hAnsi="Baskerville" w:cs="Arabic Typesetting"/>
        </w:rPr>
        <w:t xml:space="preserve"> there is an implicit suggestion that the reality of </w:t>
      </w:r>
      <w:r w:rsidR="00CD484E" w:rsidRPr="007B25AE">
        <w:rPr>
          <w:rFonts w:ascii="Baskerville" w:eastAsia="MS PMincho" w:hAnsi="Baskerville" w:cs="Arabic Typesetting"/>
        </w:rPr>
        <w:t xml:space="preserve">an event </w:t>
      </w:r>
      <w:r w:rsidR="001146D6" w:rsidRPr="007B25AE">
        <w:rPr>
          <w:rFonts w:ascii="Baskerville" w:eastAsia="MS PMincho" w:hAnsi="Baskerville" w:cs="Arabic Typesetting"/>
        </w:rPr>
        <w:t>i</w:t>
      </w:r>
      <w:r w:rsidR="00CD484E" w:rsidRPr="007B25AE">
        <w:rPr>
          <w:rFonts w:ascii="Baskerville" w:eastAsia="MS PMincho" w:hAnsi="Baskerville" w:cs="Arabic Typesetting"/>
        </w:rPr>
        <w:t>s</w:t>
      </w:r>
      <w:r w:rsidR="00BF4CBA" w:rsidRPr="007B25AE">
        <w:rPr>
          <w:rFonts w:ascii="Baskerville" w:eastAsia="MS PMincho" w:hAnsi="Baskerville" w:cs="Arabic Typesetting"/>
        </w:rPr>
        <w:t xml:space="preserve"> absolute. </w:t>
      </w:r>
      <w:r w:rsidR="00CD484E" w:rsidRPr="007B25AE">
        <w:rPr>
          <w:rFonts w:ascii="Baskerville" w:eastAsia="MS PMincho" w:hAnsi="Baskerville" w:cs="Arabic Typesetting"/>
        </w:rPr>
        <w:t xml:space="preserve"> </w:t>
      </w:r>
      <w:r w:rsidR="00B84ACA" w:rsidRPr="007B25AE">
        <w:rPr>
          <w:rFonts w:ascii="Baskerville" w:eastAsia="MS PMincho" w:hAnsi="Baskerville" w:cs="Arabic Typesetting"/>
        </w:rPr>
        <w:t xml:space="preserve">They </w:t>
      </w:r>
      <w:r w:rsidR="002309AD" w:rsidRPr="007B25AE">
        <w:rPr>
          <w:rFonts w:ascii="Baskerville" w:eastAsia="MS PMincho" w:hAnsi="Baskerville" w:cs="Arabic Typesetting"/>
        </w:rPr>
        <w:t>claim that</w:t>
      </w:r>
      <w:r w:rsidR="00CD484E" w:rsidRPr="007B25AE">
        <w:rPr>
          <w:rFonts w:ascii="Baskerville" w:eastAsia="MS PMincho" w:hAnsi="Baskerville" w:cs="Arabic Typesetting"/>
        </w:rPr>
        <w:t xml:space="preserve"> s</w:t>
      </w:r>
      <w:r w:rsidR="00BF4CBA" w:rsidRPr="007B25AE">
        <w:rPr>
          <w:rFonts w:ascii="Baskerville" w:eastAsia="MS PMincho" w:hAnsi="Baskerville" w:cs="Arabic Typesetting"/>
        </w:rPr>
        <w:t xml:space="preserve">tatisticians tend to reject the notion of </w:t>
      </w:r>
      <w:r w:rsidRPr="007B25AE">
        <w:rPr>
          <w:rFonts w:ascii="Baskerville" w:eastAsia="MS PMincho" w:hAnsi="Baskerville" w:cs="Arabic Typesetting"/>
        </w:rPr>
        <w:t>“</w:t>
      </w:r>
      <w:r w:rsidR="00BF4CBA" w:rsidRPr="007B25AE">
        <w:rPr>
          <w:rFonts w:ascii="Baskerville" w:eastAsia="MS PMincho" w:hAnsi="Baskerville" w:cs="Arabic Typesetting"/>
        </w:rPr>
        <w:t>absolute truth</w:t>
      </w:r>
      <w:r w:rsidRPr="007B25AE">
        <w:rPr>
          <w:rFonts w:ascii="Baskerville" w:eastAsia="MS PMincho" w:hAnsi="Baskerville" w:cs="Arabic Typesetting"/>
        </w:rPr>
        <w:t xml:space="preserve">,” </w:t>
      </w:r>
      <w:r w:rsidR="002309AD" w:rsidRPr="007B25AE">
        <w:rPr>
          <w:rFonts w:ascii="Baskerville" w:eastAsia="MS PMincho" w:hAnsi="Baskerville" w:cs="Arabic Typesetting"/>
        </w:rPr>
        <w:t xml:space="preserve">while </w:t>
      </w:r>
      <w:r w:rsidRPr="007B25AE">
        <w:rPr>
          <w:rFonts w:ascii="Baskerville" w:eastAsia="MS PMincho" w:hAnsi="Baskerville" w:cs="Arabic Typesetting"/>
        </w:rPr>
        <w:t>b</w:t>
      </w:r>
      <w:r w:rsidR="002309AD" w:rsidRPr="007B25AE">
        <w:rPr>
          <w:rFonts w:ascii="Baskerville" w:eastAsia="MS PMincho" w:hAnsi="Baskerville" w:cs="Arabic Typesetting"/>
        </w:rPr>
        <w:t>eing</w:t>
      </w:r>
      <w:r w:rsidRPr="007B25AE">
        <w:rPr>
          <w:rFonts w:ascii="Baskerville" w:eastAsia="MS PMincho" w:hAnsi="Baskerville" w:cs="Arabic Typesetting"/>
        </w:rPr>
        <w:t xml:space="preserve"> inclined to speak of “probable truth” </w:t>
      </w:r>
      <w:r w:rsidR="00280B44" w:rsidRPr="007B25AE">
        <w:rPr>
          <w:rFonts w:ascii="Baskerville" w:eastAsia="MS PMincho" w:hAnsi="Baskerville" w:cs="Arabic Typesetting"/>
        </w:rPr>
        <w:t>(Hale &amp; Carlson, 2016).</w:t>
      </w:r>
      <w:r w:rsidRPr="007B25AE">
        <w:rPr>
          <w:rFonts w:ascii="Baskerville" w:eastAsia="MS PMincho" w:hAnsi="Baskerville" w:cs="Arabic Typesetting"/>
        </w:rPr>
        <w:t xml:space="preserve"> </w:t>
      </w:r>
      <w:r w:rsidR="00BF4CBA" w:rsidRPr="007B25AE">
        <w:rPr>
          <w:rFonts w:ascii="Baskerville" w:eastAsia="MS PMincho" w:hAnsi="Baskerville" w:cs="Arabic Typesetting"/>
        </w:rPr>
        <w:t xml:space="preserve"> </w:t>
      </w:r>
    </w:p>
    <w:p w14:paraId="2ED4AB8E" w14:textId="6D8A6ECE" w:rsidR="00BF4CBA" w:rsidRPr="007B25AE" w:rsidRDefault="00BF4CBA" w:rsidP="001146D6">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So, if, for example, a hypothesis states that, "A woman is pregnant if she has had an ultrasound that reveals that she is carrying a live fetus," </w:t>
      </w:r>
      <w:r w:rsidR="003C3504" w:rsidRPr="007B25AE">
        <w:rPr>
          <w:rFonts w:ascii="Baskerville" w:eastAsia="MS PMincho" w:hAnsi="Baskerville" w:cs="Arabic Typesetting"/>
        </w:rPr>
        <w:t>the statistician would likely</w:t>
      </w:r>
      <w:r w:rsidRPr="007B25AE">
        <w:rPr>
          <w:rFonts w:ascii="Baskerville" w:eastAsia="MS PMincho" w:hAnsi="Baskerville" w:cs="Arabic Typesetting"/>
        </w:rPr>
        <w:t xml:space="preserve"> go ahead and </w:t>
      </w:r>
      <w:r w:rsidR="00280B44" w:rsidRPr="007B25AE">
        <w:rPr>
          <w:rFonts w:ascii="Baskerville" w:eastAsia="MS PMincho" w:hAnsi="Baskerville" w:cs="Arabic Typesetting"/>
        </w:rPr>
        <w:t>theorize</w:t>
      </w:r>
      <w:r w:rsidRPr="007B25AE">
        <w:rPr>
          <w:rFonts w:ascii="Baskerville" w:eastAsia="MS PMincho" w:hAnsi="Baskerville" w:cs="Arabic Typesetting"/>
        </w:rPr>
        <w:t xml:space="preserve"> that the </w:t>
      </w:r>
      <w:r w:rsidR="003C3504" w:rsidRPr="007B25AE">
        <w:rPr>
          <w:rFonts w:ascii="Baskerville" w:eastAsia="MS PMincho" w:hAnsi="Baskerville" w:cs="Arabic Typesetting"/>
        </w:rPr>
        <w:t>woman</w:t>
      </w:r>
      <w:r w:rsidRPr="007B25AE">
        <w:rPr>
          <w:rFonts w:ascii="Baskerville" w:eastAsia="MS PMincho" w:hAnsi="Baskerville" w:cs="Arabic Typesetting"/>
        </w:rPr>
        <w:t xml:space="preserve"> who is confirmed </w:t>
      </w:r>
      <w:r w:rsidR="00280B44" w:rsidRPr="007B25AE">
        <w:rPr>
          <w:rFonts w:ascii="Baskerville" w:eastAsia="MS PMincho" w:hAnsi="Baskerville" w:cs="Arabic Typesetting"/>
        </w:rPr>
        <w:t xml:space="preserve">by ultrasound to be carrying a live fetus </w:t>
      </w:r>
      <w:r w:rsidRPr="007B25AE">
        <w:rPr>
          <w:rFonts w:ascii="Baskerville" w:eastAsia="MS PMincho" w:hAnsi="Baskerville" w:cs="Arabic Typesetting"/>
        </w:rPr>
        <w:t xml:space="preserve">is </w:t>
      </w:r>
      <w:r w:rsidR="003C3504" w:rsidRPr="007B25AE">
        <w:rPr>
          <w:rFonts w:ascii="Baskerville" w:eastAsia="MS PMincho" w:hAnsi="Baskerville" w:cs="Arabic Typesetting"/>
        </w:rPr>
        <w:t xml:space="preserve">probably </w:t>
      </w:r>
      <w:r w:rsidR="00DB6D23" w:rsidRPr="007B25AE">
        <w:rPr>
          <w:rFonts w:ascii="Baskerville" w:eastAsia="MS PMincho" w:hAnsi="Baskerville" w:cs="Arabic Typesetting"/>
        </w:rPr>
        <w:t>9</w:t>
      </w:r>
      <w:r w:rsidR="00E01D59" w:rsidRPr="007B25AE">
        <w:rPr>
          <w:rFonts w:ascii="Baskerville" w:eastAsia="MS PMincho" w:hAnsi="Baskerville" w:cs="Arabic Typesetting"/>
        </w:rPr>
        <w:t>9</w:t>
      </w:r>
      <w:r w:rsidR="00DB6D23" w:rsidRPr="007B25AE">
        <w:rPr>
          <w:rFonts w:ascii="Baskerville" w:eastAsia="MS PMincho" w:hAnsi="Baskerville" w:cs="Arabic Typesetting"/>
        </w:rPr>
        <w:t xml:space="preserve">% </w:t>
      </w:r>
      <w:r w:rsidRPr="007B25AE">
        <w:rPr>
          <w:rFonts w:ascii="Baskerville" w:eastAsia="MS PMincho" w:hAnsi="Baskerville" w:cs="Arabic Typesetting"/>
        </w:rPr>
        <w:t xml:space="preserve">pregnant. The level of </w:t>
      </w:r>
      <w:r w:rsidR="00DB6D23" w:rsidRPr="007B25AE">
        <w:rPr>
          <w:rFonts w:ascii="Baskerville" w:eastAsia="MS PMincho" w:hAnsi="Baskerville" w:cs="Arabic Typesetting"/>
        </w:rPr>
        <w:t>“</w:t>
      </w:r>
      <w:r w:rsidRPr="007B25AE">
        <w:rPr>
          <w:rFonts w:ascii="Baskerville" w:eastAsia="MS PMincho" w:hAnsi="Baskerville" w:cs="Arabic Typesetting"/>
        </w:rPr>
        <w:t>confidence</w:t>
      </w:r>
      <w:r w:rsidR="00DB6D23" w:rsidRPr="007B25AE">
        <w:rPr>
          <w:rFonts w:ascii="Baskerville" w:eastAsia="MS PMincho" w:hAnsi="Baskerville" w:cs="Arabic Typesetting"/>
        </w:rPr>
        <w:t>”</w:t>
      </w:r>
      <w:r w:rsidRPr="007B25AE">
        <w:rPr>
          <w:rFonts w:ascii="Baskerville" w:eastAsia="MS PMincho" w:hAnsi="Baskerville" w:cs="Arabic Typesetting"/>
        </w:rPr>
        <w:t xml:space="preserve"> in that probabl</w:t>
      </w:r>
      <w:r w:rsidR="00DB6D23" w:rsidRPr="007B25AE">
        <w:rPr>
          <w:rFonts w:ascii="Baskerville" w:eastAsia="MS PMincho" w:hAnsi="Baskerville" w:cs="Arabic Typesetting"/>
        </w:rPr>
        <w:t>e event</w:t>
      </w:r>
      <w:r w:rsidRPr="007B25AE">
        <w:rPr>
          <w:rFonts w:ascii="Baskerville" w:eastAsia="MS PMincho" w:hAnsi="Baskerville" w:cs="Arabic Typesetting"/>
        </w:rPr>
        <w:t xml:space="preserve"> would be </w:t>
      </w:r>
      <w:r w:rsidR="00DB6D23" w:rsidRPr="007B25AE">
        <w:rPr>
          <w:rFonts w:ascii="Baskerville" w:eastAsia="MS PMincho" w:hAnsi="Baskerville" w:cs="Arabic Typesetting"/>
        </w:rPr>
        <w:t xml:space="preserve">an almost </w:t>
      </w:r>
      <w:r w:rsidRPr="007B25AE">
        <w:rPr>
          <w:rFonts w:ascii="Baskerville" w:eastAsia="MS PMincho" w:hAnsi="Baskerville" w:cs="Arabic Typesetting"/>
        </w:rPr>
        <w:t>"absolute certainty</w:t>
      </w:r>
      <w:r w:rsidR="00DB6D23" w:rsidRPr="007B25AE">
        <w:rPr>
          <w:rFonts w:ascii="Baskerville" w:eastAsia="MS PMincho" w:hAnsi="Baskerville" w:cs="Arabic Typesetting"/>
        </w:rPr>
        <w:t>.</w:t>
      </w:r>
      <w:r w:rsidRPr="007B25AE">
        <w:rPr>
          <w:rFonts w:ascii="Baskerville" w:eastAsia="MS PMincho" w:hAnsi="Baskerville" w:cs="Arabic Typesetting"/>
        </w:rPr>
        <w:t>" A</w:t>
      </w:r>
      <w:r w:rsidR="00DB6D23" w:rsidRPr="007B25AE">
        <w:rPr>
          <w:rFonts w:ascii="Baskerville" w:eastAsia="MS PMincho" w:hAnsi="Baskerville" w:cs="Arabic Typesetting"/>
        </w:rPr>
        <w:t>nd, a</w:t>
      </w:r>
      <w:r w:rsidRPr="007B25AE">
        <w:rPr>
          <w:rFonts w:ascii="Baskerville" w:eastAsia="MS PMincho" w:hAnsi="Baskerville" w:cs="Arabic Typesetting"/>
        </w:rPr>
        <w:t>t the same time, the null hypothesis</w:t>
      </w:r>
      <w:r w:rsidR="009F0773" w:rsidRPr="007B25AE">
        <w:rPr>
          <w:rFonts w:ascii="Baskerville" w:eastAsia="MS PMincho" w:hAnsi="Baskerville" w:cs="Arabic Typesetting"/>
        </w:rPr>
        <w:t>,</w:t>
      </w:r>
      <w:r w:rsidRPr="007B25AE">
        <w:rPr>
          <w:rFonts w:ascii="Baskerville" w:eastAsia="MS PMincho" w:hAnsi="Baskerville" w:cs="Arabic Typesetting"/>
        </w:rPr>
        <w:t xml:space="preserve"> </w:t>
      </w:r>
      <w:r w:rsidR="00280B44" w:rsidRPr="007B25AE">
        <w:rPr>
          <w:rFonts w:ascii="Baskerville" w:eastAsia="MS PMincho" w:hAnsi="Baskerville" w:cs="Arabic Typesetting"/>
        </w:rPr>
        <w:t xml:space="preserve">which is the inverse </w:t>
      </w:r>
      <w:r w:rsidRPr="007B25AE">
        <w:rPr>
          <w:rFonts w:ascii="Baskerville" w:eastAsia="MS PMincho" w:hAnsi="Baskerville" w:cs="Arabic Typesetting"/>
        </w:rPr>
        <w:t>o</w:t>
      </w:r>
      <w:r w:rsidR="002309AD" w:rsidRPr="007B25AE">
        <w:rPr>
          <w:rFonts w:ascii="Baskerville" w:eastAsia="MS PMincho" w:hAnsi="Baskerville" w:cs="Arabic Typesetting"/>
        </w:rPr>
        <w:t>f</w:t>
      </w:r>
      <w:r w:rsidRPr="007B25AE">
        <w:rPr>
          <w:rFonts w:ascii="Baskerville" w:eastAsia="MS PMincho" w:hAnsi="Baskerville" w:cs="Arabic Typesetting"/>
        </w:rPr>
        <w:t xml:space="preserve"> the </w:t>
      </w:r>
      <w:r w:rsidR="00AD173A" w:rsidRPr="007B25AE">
        <w:rPr>
          <w:rFonts w:ascii="Baskerville" w:eastAsia="MS PMincho" w:hAnsi="Baskerville" w:cs="Arabic Typesetting"/>
        </w:rPr>
        <w:t xml:space="preserve">alternative </w:t>
      </w:r>
      <w:r w:rsidRPr="007B25AE">
        <w:rPr>
          <w:rFonts w:ascii="Baskerville" w:eastAsia="MS PMincho" w:hAnsi="Baskerville" w:cs="Arabic Typesetting"/>
        </w:rPr>
        <w:t>hypothesi</w:t>
      </w:r>
      <w:r w:rsidR="009F0773" w:rsidRPr="007B25AE">
        <w:rPr>
          <w:rFonts w:ascii="Baskerville" w:eastAsia="MS PMincho" w:hAnsi="Baskerville" w:cs="Arabic Typesetting"/>
        </w:rPr>
        <w:t>s</w:t>
      </w:r>
      <w:r w:rsidRPr="007B25AE">
        <w:rPr>
          <w:rFonts w:ascii="Baskerville" w:eastAsia="MS PMincho" w:hAnsi="Baskerville" w:cs="Arabic Typesetting"/>
        </w:rPr>
        <w:t xml:space="preserve"> above</w:t>
      </w:r>
      <w:r w:rsidR="009F0773" w:rsidRPr="007B25AE">
        <w:rPr>
          <w:rFonts w:ascii="Baskerville" w:eastAsia="MS PMincho" w:hAnsi="Baskerville" w:cs="Arabic Typesetting"/>
        </w:rPr>
        <w:t>,</w:t>
      </w:r>
      <w:r w:rsidRPr="007B25AE">
        <w:rPr>
          <w:rFonts w:ascii="Baskerville" w:eastAsia="MS PMincho" w:hAnsi="Baskerville" w:cs="Arabic Typesetting"/>
        </w:rPr>
        <w:t xml:space="preserve"> would seem to </w:t>
      </w:r>
      <w:r w:rsidR="00E01D59" w:rsidRPr="007B25AE">
        <w:rPr>
          <w:rFonts w:ascii="Baskerville" w:eastAsia="MS PMincho" w:hAnsi="Baskerville" w:cs="Arabic Typesetting"/>
        </w:rPr>
        <w:t xml:space="preserve">guarantee that </w:t>
      </w:r>
      <w:r w:rsidR="00AD173A" w:rsidRPr="007B25AE">
        <w:rPr>
          <w:rFonts w:ascii="Baskerville" w:eastAsia="MS PMincho" w:hAnsi="Baskerville" w:cs="Arabic Typesetting"/>
        </w:rPr>
        <w:t xml:space="preserve">the </w:t>
      </w:r>
      <w:r w:rsidR="00E01D59" w:rsidRPr="007B25AE">
        <w:rPr>
          <w:rFonts w:ascii="Baskerville" w:eastAsia="MS PMincho" w:hAnsi="Baskerville" w:cs="Arabic Typesetting"/>
        </w:rPr>
        <w:t xml:space="preserve">null hypothesis </w:t>
      </w:r>
      <w:r w:rsidR="00AD173A" w:rsidRPr="007B25AE">
        <w:rPr>
          <w:rFonts w:ascii="Baskerville" w:eastAsia="MS PMincho" w:hAnsi="Baskerville" w:cs="Arabic Typesetting"/>
        </w:rPr>
        <w:t>c</w:t>
      </w:r>
      <w:r w:rsidR="00E01D59" w:rsidRPr="007B25AE">
        <w:rPr>
          <w:rFonts w:ascii="Baskerville" w:eastAsia="MS PMincho" w:hAnsi="Baskerville" w:cs="Arabic Typesetting"/>
        </w:rPr>
        <w:t xml:space="preserve">ould be </w:t>
      </w:r>
      <w:r w:rsidRPr="007B25AE">
        <w:rPr>
          <w:rFonts w:ascii="Baskerville" w:eastAsia="MS PMincho" w:hAnsi="Baskerville" w:cs="Arabic Typesetting"/>
        </w:rPr>
        <w:t>an "absolute impossibility</w:t>
      </w:r>
      <w:r w:rsidR="00AD173A" w:rsidRPr="007B25AE">
        <w:rPr>
          <w:rFonts w:ascii="Baskerville" w:eastAsia="MS PMincho" w:hAnsi="Baskerville" w:cs="Arabic Typesetting"/>
        </w:rPr>
        <w:t>,</w:t>
      </w:r>
      <w:r w:rsidRPr="007B25AE">
        <w:rPr>
          <w:rFonts w:ascii="Baskerville" w:eastAsia="MS PMincho" w:hAnsi="Baskerville" w:cs="Arabic Typesetting"/>
        </w:rPr>
        <w:t xml:space="preserve">" which would mean, implicitly, that </w:t>
      </w:r>
      <w:r w:rsidR="002309AD" w:rsidRPr="007B25AE">
        <w:rPr>
          <w:rFonts w:ascii="Baskerville" w:eastAsia="MS PMincho" w:hAnsi="Baskerville" w:cs="Arabic Typesetting"/>
        </w:rPr>
        <w:t xml:space="preserve">the </w:t>
      </w:r>
      <w:r w:rsidRPr="007B25AE">
        <w:rPr>
          <w:rFonts w:ascii="Baskerville" w:eastAsia="MS PMincho" w:hAnsi="Baskerville" w:cs="Arabic Typesetting"/>
        </w:rPr>
        <w:t xml:space="preserve">p </w:t>
      </w:r>
      <w:r w:rsidR="00790505" w:rsidRPr="007B25AE">
        <w:rPr>
          <w:rFonts w:ascii="Baskerville" w:eastAsia="MS PMincho" w:hAnsi="Baskerville" w:cs="Arabic Typesetting"/>
        </w:rPr>
        <w:t>&lt;</w:t>
      </w:r>
      <w:r w:rsidR="004E63CB" w:rsidRPr="007B25AE">
        <w:rPr>
          <w:rFonts w:ascii="Baskerville" w:eastAsia="MS PMincho" w:hAnsi="Baskerville" w:cs="Arabic Typesetting"/>
        </w:rPr>
        <w:t xml:space="preserve"> </w:t>
      </w:r>
      <w:r w:rsidRPr="007B25AE">
        <w:rPr>
          <w:rFonts w:ascii="Baskerville" w:eastAsia="MS PMincho" w:hAnsi="Baskerville" w:cs="Arabic Typesetting"/>
        </w:rPr>
        <w:t xml:space="preserve">0.0 </w:t>
      </w:r>
      <w:r w:rsidR="004E63CB" w:rsidRPr="007B25AE">
        <w:rPr>
          <w:rFonts w:ascii="Baskerville" w:eastAsia="MS PMincho" w:hAnsi="Baskerville" w:cs="Arabic Typesetting"/>
        </w:rPr>
        <w:t>1</w:t>
      </w:r>
      <w:r w:rsidR="00D24531" w:rsidRPr="007B25AE">
        <w:rPr>
          <w:rFonts w:ascii="Baskerville" w:eastAsia="MS PMincho" w:hAnsi="Baskerville" w:cs="Arabic Typesetting"/>
        </w:rPr>
        <w:t xml:space="preserve"> </w:t>
      </w:r>
      <w:r w:rsidRPr="007B25AE">
        <w:rPr>
          <w:rFonts w:ascii="Baskerville" w:eastAsia="MS PMincho" w:hAnsi="Baskerville" w:cs="Arabic Typesetting"/>
        </w:rPr>
        <w:t xml:space="preserve">does not even </w:t>
      </w:r>
      <w:r w:rsidR="004E63CB" w:rsidRPr="007B25AE">
        <w:rPr>
          <w:rFonts w:ascii="Baskerville" w:eastAsia="MS PMincho" w:hAnsi="Baskerville" w:cs="Arabic Typesetting"/>
        </w:rPr>
        <w:t>elevate</w:t>
      </w:r>
      <w:r w:rsidRPr="007B25AE">
        <w:rPr>
          <w:rFonts w:ascii="Baskerville" w:eastAsia="MS PMincho" w:hAnsi="Baskerville" w:cs="Arabic Typesetting"/>
        </w:rPr>
        <w:t xml:space="preserve"> the </w:t>
      </w:r>
      <w:r w:rsidR="00E01D59" w:rsidRPr="007B25AE">
        <w:rPr>
          <w:rFonts w:ascii="Baskerville" w:eastAsia="MS PMincho" w:hAnsi="Baskerville" w:cs="Arabic Typesetting"/>
        </w:rPr>
        <w:t>null hypothesis</w:t>
      </w:r>
      <w:r w:rsidRPr="007B25AE">
        <w:rPr>
          <w:rFonts w:ascii="Baskerville" w:eastAsia="MS PMincho" w:hAnsi="Baskerville" w:cs="Arabic Typesetting"/>
        </w:rPr>
        <w:t xml:space="preserve"> back </w:t>
      </w:r>
      <w:r w:rsidR="00790505" w:rsidRPr="007B25AE">
        <w:rPr>
          <w:rFonts w:ascii="Baskerville" w:eastAsia="MS PMincho" w:hAnsi="Baskerville" w:cs="Arabic Typesetting"/>
        </w:rPr>
        <w:t>above</w:t>
      </w:r>
      <w:r w:rsidRPr="007B25AE">
        <w:rPr>
          <w:rFonts w:ascii="Baskerville" w:eastAsia="MS PMincho" w:hAnsi="Baskerville" w:cs="Arabic Typesetting"/>
        </w:rPr>
        <w:t xml:space="preserve"> </w:t>
      </w:r>
      <w:r w:rsidR="004E63CB" w:rsidRPr="007B25AE">
        <w:rPr>
          <w:rFonts w:ascii="Baskerville" w:eastAsia="MS PMincho" w:hAnsi="Baskerville" w:cs="Arabic Typesetting"/>
        </w:rPr>
        <w:t>the</w:t>
      </w:r>
      <w:r w:rsidRPr="007B25AE">
        <w:rPr>
          <w:rFonts w:ascii="Baskerville" w:eastAsia="MS PMincho" w:hAnsi="Baskerville" w:cs="Arabic Typesetting"/>
        </w:rPr>
        <w:t xml:space="preserve"> </w:t>
      </w:r>
      <w:r w:rsidR="00790505" w:rsidRPr="007B25AE">
        <w:rPr>
          <w:rFonts w:ascii="Baskerville" w:eastAsia="MS PMincho" w:hAnsi="Baskerville" w:cs="Arabic Typesetting"/>
        </w:rPr>
        <w:t>range</w:t>
      </w:r>
      <w:r w:rsidRPr="007B25AE">
        <w:rPr>
          <w:rFonts w:ascii="Baskerville" w:eastAsia="MS PMincho" w:hAnsi="Baskerville" w:cs="Arabic Typesetting"/>
        </w:rPr>
        <w:t xml:space="preserve"> of </w:t>
      </w:r>
      <w:r w:rsidR="00790505" w:rsidRPr="007B25AE">
        <w:rPr>
          <w:rFonts w:ascii="Baskerville" w:eastAsia="MS PMincho" w:hAnsi="Baskerville" w:cs="Arabic Typesetting"/>
        </w:rPr>
        <w:t xml:space="preserve">statistical </w:t>
      </w:r>
      <w:r w:rsidRPr="007B25AE">
        <w:rPr>
          <w:rFonts w:ascii="Baskerville" w:eastAsia="MS PMincho" w:hAnsi="Baskerville" w:cs="Arabic Typesetting"/>
        </w:rPr>
        <w:t xml:space="preserve">significance </w:t>
      </w:r>
      <w:r w:rsidR="00790505" w:rsidRPr="007B25AE">
        <w:rPr>
          <w:rFonts w:ascii="Baskerville" w:eastAsia="MS PMincho" w:hAnsi="Baskerville" w:cs="Arabic Typesetting"/>
        </w:rPr>
        <w:t>(</w:t>
      </w:r>
      <m:oMath>
        <m:r>
          <m:rPr>
            <m:sty m:val="p"/>
          </m:rPr>
          <w:rPr>
            <w:rFonts w:ascii="Cambria Math" w:eastAsia="MS PMincho" w:hAnsi="Cambria Math" w:cs="Arabic Typesetting"/>
          </w:rPr>
          <m:t xml:space="preserve">∂-value) </m:t>
        </m:r>
      </m:oMath>
      <w:r w:rsidR="009F0773" w:rsidRPr="007B25AE">
        <w:rPr>
          <w:rFonts w:ascii="Baskerville" w:eastAsia="MS PMincho" w:hAnsi="Baskerville" w:cs="Arabic Typesetting"/>
        </w:rPr>
        <w:t xml:space="preserve">that </w:t>
      </w:r>
      <w:r w:rsidR="00D24531" w:rsidRPr="007B25AE">
        <w:rPr>
          <w:rFonts w:ascii="Baskerville" w:eastAsia="MS PMincho" w:hAnsi="Baskerville" w:cs="Arabic Typesetting"/>
        </w:rPr>
        <w:t xml:space="preserve">already </w:t>
      </w:r>
      <w:r w:rsidR="00790505" w:rsidRPr="007B25AE">
        <w:rPr>
          <w:rFonts w:ascii="Baskerville" w:eastAsia="MS PMincho" w:hAnsi="Baskerville" w:cs="Arabic Typesetting"/>
        </w:rPr>
        <w:t>assures the</w:t>
      </w:r>
      <w:r w:rsidR="004E63CB" w:rsidRPr="007B25AE">
        <w:rPr>
          <w:rFonts w:ascii="Baskerville" w:eastAsia="MS PMincho" w:hAnsi="Baskerville" w:cs="Arabic Typesetting"/>
        </w:rPr>
        <w:t xml:space="preserve"> rejection</w:t>
      </w:r>
      <w:r w:rsidRPr="007B25AE">
        <w:rPr>
          <w:rFonts w:ascii="Baskerville" w:eastAsia="MS PMincho" w:hAnsi="Baskerville" w:cs="Arabic Typesetting"/>
        </w:rPr>
        <w:t xml:space="preserve">. </w:t>
      </w:r>
      <w:r w:rsidR="00790505" w:rsidRPr="007B25AE">
        <w:rPr>
          <w:rFonts w:ascii="Baskerville" w:eastAsia="MS PMincho" w:hAnsi="Baskerville" w:cs="Arabic Typesetting"/>
        </w:rPr>
        <w:t xml:space="preserve">The point is that if the p-value is </w:t>
      </w:r>
      <w:r w:rsidR="000F4A20" w:rsidRPr="007B25AE">
        <w:rPr>
          <w:rFonts w:ascii="Baskerville" w:eastAsia="MS PMincho" w:hAnsi="Baskerville" w:cs="Arabic Typesetting"/>
        </w:rPr>
        <w:t>set initially at p</w:t>
      </w:r>
      <w:r w:rsidR="00AD173A" w:rsidRPr="007B25AE">
        <w:rPr>
          <w:rFonts w:ascii="Baskerville" w:eastAsia="MS PMincho" w:hAnsi="Baskerville" w:cs="Arabic Typesetting"/>
        </w:rPr>
        <w:t xml:space="preserve"> </w:t>
      </w:r>
      <m:oMath>
        <m:r>
          <m:rPr>
            <m:sty m:val="p"/>
          </m:rPr>
          <w:rPr>
            <w:rFonts w:ascii="Cambria Math" w:eastAsia="MS PMincho" w:hAnsi="Cambria Math" w:cs="Arabic Typesetting"/>
          </w:rPr>
          <m:t>≤</m:t>
        </m:r>
      </m:oMath>
      <w:r w:rsidR="000F4A20" w:rsidRPr="007B25AE">
        <w:rPr>
          <w:rFonts w:ascii="Baskerville" w:eastAsia="MS PMincho" w:hAnsi="Baskerville" w:cs="Arabic Typesetting"/>
        </w:rPr>
        <w:t xml:space="preserve"> 0.0 1, as it is in this case, the statistical significance or </w:t>
      </w:r>
      <w:r w:rsidR="004B67FC" w:rsidRPr="007B25AE">
        <w:rPr>
          <w:rFonts w:ascii="Baskerville" w:eastAsia="MS PMincho" w:hAnsi="Baskerville" w:cs="Arabic Typesetting"/>
        </w:rPr>
        <w:t>the</w:t>
      </w:r>
      <w:r w:rsidR="000F4A20" w:rsidRPr="007B25AE">
        <w:rPr>
          <w:rFonts w:ascii="Baskerville" w:eastAsia="MS PMincho" w:hAnsi="Baskerville" w:cs="Arabic Typesetting"/>
        </w:rPr>
        <w:t xml:space="preserve"> </w:t>
      </w:r>
      <m:oMath>
        <m:r>
          <m:rPr>
            <m:sty m:val="p"/>
          </m:rPr>
          <w:rPr>
            <w:rFonts w:ascii="Cambria Math" w:eastAsia="MS PMincho" w:hAnsi="Cambria Math" w:cs="Arabic Typesetting"/>
          </w:rPr>
          <m:t>∂-value</m:t>
        </m:r>
      </m:oMath>
      <w:r w:rsidR="000F4A20" w:rsidRPr="007B25AE">
        <w:rPr>
          <w:rFonts w:ascii="Baskerville" w:eastAsia="MS PMincho" w:hAnsi="Baskerville" w:cs="Arabic Typesetting"/>
        </w:rPr>
        <w:t xml:space="preserve"> would be </w:t>
      </w:r>
      <w:r w:rsidR="00790505" w:rsidRPr="007B25AE">
        <w:rPr>
          <w:rFonts w:ascii="Baskerville" w:eastAsia="MS PMincho" w:hAnsi="Baskerville" w:cs="Arabic Typesetting"/>
        </w:rPr>
        <w:t>p</w:t>
      </w:r>
      <w:r w:rsidR="0049718D" w:rsidRPr="007B25AE">
        <w:rPr>
          <w:rFonts w:ascii="Baskerville" w:eastAsia="MS PMincho" w:hAnsi="Baskerville" w:cs="Arabic Typesetting"/>
        </w:rPr>
        <w:t xml:space="preserve"> </w:t>
      </w:r>
      <m:oMath>
        <m:r>
          <m:rPr>
            <m:sty m:val="p"/>
          </m:rPr>
          <w:rPr>
            <w:rFonts w:ascii="Cambria Math" w:eastAsia="MS PMincho" w:hAnsi="Cambria Math" w:cs="Arabic Typesetting"/>
          </w:rPr>
          <m:t>≤</m:t>
        </m:r>
      </m:oMath>
      <w:r w:rsidR="00AD173A" w:rsidRPr="007B25AE">
        <w:rPr>
          <w:rFonts w:ascii="Baskerville" w:eastAsia="MS PMincho" w:hAnsi="Baskerville" w:cs="Arabic Typesetting"/>
        </w:rPr>
        <w:t xml:space="preserve"> </w:t>
      </w:r>
      <m:oMath>
        <m:r>
          <m:rPr>
            <m:sty m:val="p"/>
          </m:rPr>
          <w:rPr>
            <w:rFonts w:ascii="Cambria Math" w:eastAsia="MS PMincho" w:hAnsi="Cambria Math" w:cs="Arabic Typesetting"/>
          </w:rPr>
          <m:t>0.0 1</m:t>
        </m:r>
      </m:oMath>
      <w:r w:rsidR="000F4A20" w:rsidRPr="007B25AE">
        <w:rPr>
          <w:rFonts w:ascii="Baskerville" w:eastAsia="MS PMincho" w:hAnsi="Baskerville" w:cs="Arabic Typesetting"/>
        </w:rPr>
        <w:t>. With that level of statistical significance</w:t>
      </w:r>
      <w:r w:rsidR="00AD173A" w:rsidRPr="007B25AE">
        <w:rPr>
          <w:rFonts w:ascii="Baskerville" w:eastAsia="MS PMincho" w:hAnsi="Baskerville" w:cs="Arabic Typesetting"/>
        </w:rPr>
        <w:t xml:space="preserve">, </w:t>
      </w:r>
      <w:r w:rsidR="00D24531" w:rsidRPr="007B25AE">
        <w:rPr>
          <w:rFonts w:ascii="Baskerville" w:eastAsia="MS PMincho" w:hAnsi="Baskerville" w:cs="Arabic Typesetting"/>
        </w:rPr>
        <w:t xml:space="preserve">the </w:t>
      </w:r>
      <w:r w:rsidR="00AD173A" w:rsidRPr="007B25AE">
        <w:rPr>
          <w:rFonts w:ascii="Baskerville" w:eastAsia="MS PMincho" w:hAnsi="Baskerville" w:cs="Arabic Typesetting"/>
        </w:rPr>
        <w:t>rejection of the null hypothesis would be guaranteed</w:t>
      </w:r>
      <w:r w:rsidR="002309AD" w:rsidRPr="007B25AE">
        <w:rPr>
          <w:rFonts w:ascii="Baskerville" w:eastAsia="MS PMincho" w:hAnsi="Baskerville" w:cs="Arabic Typesetting"/>
        </w:rPr>
        <w:t>,</w:t>
      </w:r>
      <w:r w:rsidR="00AD173A" w:rsidRPr="007B25AE">
        <w:rPr>
          <w:rFonts w:ascii="Baskerville" w:eastAsia="MS PMincho" w:hAnsi="Baskerville" w:cs="Arabic Typesetting"/>
        </w:rPr>
        <w:t xml:space="preserve"> and </w:t>
      </w:r>
      <w:r w:rsidR="0049718D" w:rsidRPr="007B25AE">
        <w:rPr>
          <w:rFonts w:ascii="Baskerville" w:eastAsia="MS PMincho" w:hAnsi="Baskerville" w:cs="Arabic Typesetting"/>
        </w:rPr>
        <w:t>the p-value</w:t>
      </w:r>
      <w:r w:rsidR="00AD173A" w:rsidRPr="007B25AE">
        <w:rPr>
          <w:rFonts w:ascii="Baskerville" w:eastAsia="MS PMincho" w:hAnsi="Baskerville" w:cs="Arabic Typesetting"/>
        </w:rPr>
        <w:t xml:space="preserve"> could </w:t>
      </w:r>
      <w:r w:rsidR="002309AD" w:rsidRPr="007B25AE">
        <w:rPr>
          <w:rFonts w:ascii="Baskerville" w:eastAsia="MS PMincho" w:hAnsi="Baskerville" w:cs="Arabic Typesetting"/>
        </w:rPr>
        <w:t xml:space="preserve">wind up </w:t>
      </w:r>
      <w:r w:rsidR="00AD173A" w:rsidRPr="007B25AE">
        <w:rPr>
          <w:rFonts w:ascii="Baskerville" w:eastAsia="MS PMincho" w:hAnsi="Baskerville" w:cs="Arabic Typesetting"/>
        </w:rPr>
        <w:t>be</w:t>
      </w:r>
      <w:r w:rsidR="002309AD" w:rsidRPr="007B25AE">
        <w:rPr>
          <w:rFonts w:ascii="Baskerville" w:eastAsia="MS PMincho" w:hAnsi="Baskerville" w:cs="Arabic Typesetting"/>
        </w:rPr>
        <w:t>ing</w:t>
      </w:r>
      <w:r w:rsidR="00AD173A" w:rsidRPr="007B25AE">
        <w:rPr>
          <w:rFonts w:ascii="Baskerville" w:eastAsia="MS PMincho" w:hAnsi="Baskerville" w:cs="Arabic Typesetting"/>
        </w:rPr>
        <w:t xml:space="preserve"> 0 or less.</w:t>
      </w:r>
      <w:r w:rsidR="000F4A20" w:rsidRPr="007B25AE">
        <w:rPr>
          <w:rFonts w:ascii="Baskerville" w:eastAsia="MS PMincho" w:hAnsi="Baskerville" w:cs="Arabic Typesetting"/>
        </w:rPr>
        <w:t xml:space="preserve">   S</w:t>
      </w:r>
      <w:r w:rsidRPr="007B25AE">
        <w:rPr>
          <w:rFonts w:ascii="Baskerville" w:eastAsia="MS PMincho" w:hAnsi="Baskerville" w:cs="Arabic Typesetting"/>
        </w:rPr>
        <w:t xml:space="preserve">ince we do know that a probability of 0 is an impossibility, the temptation is </w:t>
      </w:r>
      <w:r w:rsidR="0049718D" w:rsidRPr="007B25AE">
        <w:rPr>
          <w:rFonts w:ascii="Baskerville" w:eastAsia="MS PMincho" w:hAnsi="Baskerville" w:cs="Arabic Typesetting"/>
        </w:rPr>
        <w:t xml:space="preserve">for us </w:t>
      </w:r>
      <w:r w:rsidRPr="007B25AE">
        <w:rPr>
          <w:rFonts w:ascii="Baskerville" w:eastAsia="MS PMincho" w:hAnsi="Baskerville" w:cs="Arabic Typesetting"/>
        </w:rPr>
        <w:t>to assume that</w:t>
      </w:r>
      <w:r w:rsidR="004E63CB" w:rsidRPr="007B25AE">
        <w:rPr>
          <w:rFonts w:ascii="Baskerville" w:eastAsia="MS PMincho" w:hAnsi="Baskerville" w:cs="Arabic Typesetting"/>
        </w:rPr>
        <w:t xml:space="preserve">, in this situation, with a highly probable </w:t>
      </w:r>
      <w:r w:rsidR="009E0747" w:rsidRPr="007B25AE">
        <w:rPr>
          <w:rFonts w:ascii="Baskerville" w:eastAsia="MS PMincho" w:hAnsi="Baskerville" w:cs="Arabic Typesetting"/>
        </w:rPr>
        <w:t>pregnancy based on ultrasound</w:t>
      </w:r>
      <w:r w:rsidRPr="007B25AE">
        <w:rPr>
          <w:rFonts w:ascii="Baskerville" w:eastAsia="MS PMincho" w:hAnsi="Baskerville" w:cs="Arabic Typesetting"/>
        </w:rPr>
        <w:t>, H</w:t>
      </w:r>
      <w:r w:rsidRPr="007B25AE">
        <w:rPr>
          <w:rFonts w:ascii="Baskerville" w:eastAsia="MS PMincho" w:hAnsi="Baskerville" w:cs="Arabic Typesetting"/>
          <w:vertAlign w:val="subscript"/>
        </w:rPr>
        <w:t>0</w:t>
      </w:r>
      <w:r w:rsidRPr="007B25AE">
        <w:rPr>
          <w:rFonts w:ascii="Baskerville" w:eastAsia="MS PMincho" w:hAnsi="Baskerville" w:cs="Arabic Typesetting"/>
        </w:rPr>
        <w:t xml:space="preserve"> would be </w:t>
      </w:r>
      <w:r w:rsidR="009E0747" w:rsidRPr="007B25AE">
        <w:rPr>
          <w:rFonts w:ascii="Baskerville" w:eastAsia="MS PMincho" w:hAnsi="Baskerville" w:cs="Arabic Typesetting"/>
        </w:rPr>
        <w:t xml:space="preserve">guaranteed a significance level of </w:t>
      </w:r>
      <w:r w:rsidRPr="007B25AE">
        <w:rPr>
          <w:rFonts w:ascii="Baskerville" w:eastAsia="MS PMincho" w:hAnsi="Baskerville" w:cs="Arabic Typesetting"/>
        </w:rPr>
        <w:t xml:space="preserve">just about </w:t>
      </w:r>
      <w:r w:rsidR="009E0747" w:rsidRPr="007B25AE">
        <w:rPr>
          <w:rFonts w:ascii="Baskerville" w:eastAsia="MS PMincho" w:hAnsi="Baskerville" w:cs="Arabic Typesetting"/>
        </w:rPr>
        <w:t>0%</w:t>
      </w:r>
      <w:r w:rsidRPr="007B25AE">
        <w:rPr>
          <w:rFonts w:ascii="Baskerville" w:eastAsia="MS PMincho" w:hAnsi="Baskerville" w:cs="Arabic Typesetting"/>
        </w:rPr>
        <w:t xml:space="preserve">, and the null hypothesis would naturally be rejected in favor the certainty of </w:t>
      </w:r>
      <w:r w:rsidR="002309AD" w:rsidRPr="007B25AE">
        <w:rPr>
          <w:rFonts w:ascii="Baskerville" w:eastAsia="MS PMincho" w:hAnsi="Baskerville" w:cs="Arabic Typesetting"/>
        </w:rPr>
        <w:t>rejecting H</w:t>
      </w:r>
      <w:r w:rsidR="002309AD" w:rsidRPr="007B25AE">
        <w:rPr>
          <w:rFonts w:ascii="Baskerville" w:eastAsia="MS PMincho" w:hAnsi="Baskerville" w:cs="Arabic Typesetting"/>
          <w:vertAlign w:val="subscript"/>
        </w:rPr>
        <w:t xml:space="preserve">0  </w:t>
      </w:r>
      <w:r w:rsidR="002309AD" w:rsidRPr="007B25AE">
        <w:rPr>
          <w:rFonts w:ascii="Baskerville" w:eastAsia="MS PMincho" w:hAnsi="Baskerville" w:cs="Arabic Typesetting"/>
        </w:rPr>
        <w:t xml:space="preserve">for </w:t>
      </w:r>
      <w:r w:rsidR="009E0747" w:rsidRPr="007B25AE">
        <w:rPr>
          <w:rFonts w:ascii="Baskerville" w:eastAsia="MS PMincho" w:hAnsi="Baskerville" w:cs="Arabic Typesetting"/>
        </w:rPr>
        <w:t>H</w:t>
      </w:r>
      <w:r w:rsidR="009E0747" w:rsidRPr="007B25AE">
        <w:rPr>
          <w:rFonts w:ascii="Baskerville" w:eastAsia="MS PMincho" w:hAnsi="Baskerville" w:cs="Arabic Typesetting"/>
          <w:sz w:val="32"/>
          <w:szCs w:val="32"/>
          <w:vertAlign w:val="subscript"/>
        </w:rPr>
        <w:t>a</w:t>
      </w:r>
      <w:r w:rsidR="009E0747" w:rsidRPr="007B25AE">
        <w:rPr>
          <w:rFonts w:ascii="Baskerville" w:eastAsia="MS PMincho" w:hAnsi="Baskerville" w:cs="Arabic Typesetting"/>
        </w:rPr>
        <w:t xml:space="preserve"> </w:t>
      </w:r>
      <w:r w:rsidRPr="007B25AE">
        <w:rPr>
          <w:rFonts w:ascii="Baskerville" w:eastAsia="MS PMincho" w:hAnsi="Baskerville" w:cs="Arabic Typesetting"/>
        </w:rPr>
        <w:t>(Hale &amp; Carlson,</w:t>
      </w:r>
      <w:r w:rsidR="003852A0" w:rsidRPr="007B25AE">
        <w:rPr>
          <w:rFonts w:ascii="Baskerville" w:eastAsia="MS PMincho" w:hAnsi="Baskerville" w:cs="Arabic Typesetting"/>
        </w:rPr>
        <w:t xml:space="preserve"> </w:t>
      </w:r>
      <w:r w:rsidRPr="007B25AE">
        <w:rPr>
          <w:rFonts w:ascii="Baskerville" w:eastAsia="MS PMincho" w:hAnsi="Baskerville" w:cs="Arabic Typesetting"/>
        </w:rPr>
        <w:t xml:space="preserve">2016).   </w:t>
      </w:r>
    </w:p>
    <w:p w14:paraId="47D1968D" w14:textId="781DAD3E" w:rsidR="00CA3E4E" w:rsidRPr="007B25AE" w:rsidRDefault="00BF4CBA" w:rsidP="00BF4CBA">
      <w:pPr>
        <w:spacing w:line="360" w:lineRule="auto"/>
        <w:rPr>
          <w:rFonts w:ascii="Baskerville" w:eastAsia="MS PMincho" w:hAnsi="Baskerville" w:cs="Arabic Typesetting"/>
        </w:rPr>
      </w:pPr>
      <w:r w:rsidRPr="007B25AE">
        <w:rPr>
          <w:rFonts w:ascii="Baskerville" w:eastAsia="MS PMincho" w:hAnsi="Baskerville" w:cs="Arabic Typesetting"/>
        </w:rPr>
        <w:tab/>
        <w:t>Of course, two hundred years ago, before the existence of ultrasound, a woman with a large abdominal protuberance would very likely be considered pregnant by at least 98% of those who saw her. If it were hypothesized that “Women of child-bearing age with large abdominal protuberances are not pregnant</w:t>
      </w:r>
      <w:r w:rsidR="00CA3E4E" w:rsidRPr="007B25AE">
        <w:rPr>
          <w:rFonts w:ascii="Baskerville" w:eastAsia="MS PMincho" w:hAnsi="Baskerville" w:cs="Arabic Typesetting"/>
        </w:rPr>
        <w:t xml:space="preserve">” </w:t>
      </w:r>
      <w:r w:rsidR="00C21F0F" w:rsidRPr="007B25AE">
        <w:rPr>
          <w:rFonts w:ascii="Baskerville" w:eastAsia="MS PMincho" w:hAnsi="Baskerville" w:cs="Arabic Typesetting"/>
        </w:rPr>
        <w:t>(</w:t>
      </w:r>
      <w:r w:rsidR="002309AD" w:rsidRPr="007B25AE">
        <w:rPr>
          <w:rFonts w:ascii="Baskerville" w:eastAsia="MS PMincho" w:hAnsi="Baskerville" w:cs="Arabic Typesetting"/>
        </w:rPr>
        <w:t>H</w:t>
      </w:r>
      <w:r w:rsidR="002309AD" w:rsidRPr="007B25AE">
        <w:rPr>
          <w:rFonts w:ascii="Baskerville" w:eastAsia="MS PMincho" w:hAnsi="Baskerville" w:cs="Arabic Typesetting"/>
          <w:vertAlign w:val="subscript"/>
        </w:rPr>
        <w:t>0</w:t>
      </w:r>
      <w:r w:rsidR="00C21F0F" w:rsidRPr="007B25AE">
        <w:rPr>
          <w:rFonts w:ascii="Baskerville" w:eastAsia="MS PMincho" w:hAnsi="Baskerville" w:cs="Arabic Typesetting"/>
        </w:rPr>
        <w:t>),</w:t>
      </w:r>
      <w:r w:rsidRPr="007B25AE">
        <w:rPr>
          <w:rFonts w:ascii="Baskerville" w:eastAsia="MS PMincho" w:hAnsi="Baskerville" w:cs="Arabic Typesetting"/>
        </w:rPr>
        <w:t xml:space="preserve"> the p-value </w:t>
      </w:r>
      <w:r w:rsidR="0049718D" w:rsidRPr="007B25AE">
        <w:rPr>
          <w:rFonts w:ascii="Baskerville" w:eastAsia="MS PMincho" w:hAnsi="Baskerville" w:cs="Arabic Typesetting"/>
        </w:rPr>
        <w:t>assigned might</w:t>
      </w:r>
      <w:r w:rsidRPr="007B25AE">
        <w:rPr>
          <w:rFonts w:ascii="Baskerville" w:eastAsia="MS PMincho" w:hAnsi="Baskerville" w:cs="Arabic Typesetting"/>
        </w:rPr>
        <w:t xml:space="preserve"> very probably be</w:t>
      </w:r>
      <w:r w:rsidR="0089652C" w:rsidRPr="007B25AE">
        <w:rPr>
          <w:rFonts w:ascii="Baskerville" w:eastAsia="MS PMincho" w:hAnsi="Baskerville" w:cs="Arabic Typesetting"/>
        </w:rPr>
        <w:t xml:space="preserve"> less than or equal to</w:t>
      </w:r>
      <w:r w:rsidRPr="007B25AE">
        <w:rPr>
          <w:rFonts w:ascii="Baskerville" w:eastAsia="MS PMincho" w:hAnsi="Baskerville" w:cs="Arabic Typesetting"/>
        </w:rPr>
        <w:t xml:space="preserve"> 0.02, a “</w:t>
      </w:r>
      <w:r w:rsidR="00CA3E4E" w:rsidRPr="007B25AE">
        <w:rPr>
          <w:rFonts w:ascii="Baskerville" w:eastAsia="MS PMincho" w:hAnsi="Baskerville" w:cs="Arabic Typesetting"/>
        </w:rPr>
        <w:t xml:space="preserve">statistical </w:t>
      </w:r>
      <w:r w:rsidRPr="007B25AE">
        <w:rPr>
          <w:rFonts w:ascii="Baskerville" w:eastAsia="MS PMincho" w:hAnsi="Baskerville" w:cs="Arabic Typesetting"/>
        </w:rPr>
        <w:t xml:space="preserve">significance” of 2% or less, </w:t>
      </w:r>
      <w:r w:rsidR="0089652C" w:rsidRPr="007B25AE">
        <w:rPr>
          <w:rFonts w:ascii="Baskerville" w:eastAsia="MS PMincho" w:hAnsi="Baskerville" w:cs="Arabic Typesetting"/>
        </w:rPr>
        <w:t xml:space="preserve">with </w:t>
      </w:r>
      <w:r w:rsidRPr="007B25AE">
        <w:rPr>
          <w:rFonts w:ascii="Baskerville" w:eastAsia="MS PMincho" w:hAnsi="Baskerville" w:cs="Arabic Typesetting"/>
        </w:rPr>
        <w:t xml:space="preserve">a level of “confidence” </w:t>
      </w:r>
      <w:r w:rsidR="0089652C" w:rsidRPr="007B25AE">
        <w:rPr>
          <w:rFonts w:ascii="Baskerville" w:eastAsia="MS PMincho" w:hAnsi="Baskerville" w:cs="Arabic Typesetting"/>
        </w:rPr>
        <w:t>of</w:t>
      </w:r>
      <w:r w:rsidRPr="007B25AE">
        <w:rPr>
          <w:rFonts w:ascii="Baskerville" w:eastAsia="MS PMincho" w:hAnsi="Baskerville" w:cs="Arabic Typesetting"/>
        </w:rPr>
        <w:t xml:space="preserve"> about 98% or greater. Such a p-value would probably be based on the number of younger women in the sample with cancerous and </w:t>
      </w:r>
      <w:r w:rsidR="0089652C" w:rsidRPr="007B25AE">
        <w:rPr>
          <w:rFonts w:ascii="Baskerville" w:eastAsia="MS PMincho" w:hAnsi="Baskerville" w:cs="Arabic Typesetting"/>
        </w:rPr>
        <w:t xml:space="preserve">the medically known </w:t>
      </w:r>
      <w:r w:rsidRPr="007B25AE">
        <w:rPr>
          <w:rFonts w:ascii="Baskerville" w:eastAsia="MS PMincho" w:hAnsi="Baskerville" w:cs="Arabic Typesetting"/>
        </w:rPr>
        <w:t>non-malignant growths. Inversely, then, at such a high percentage of “confidence,” it would have been a fairly “intelligent guess” to assume that "Women of child-bearing age with large abdominal protuberances are pregnant”</w:t>
      </w:r>
      <w:r w:rsidR="003852A0" w:rsidRPr="007B25AE">
        <w:rPr>
          <w:rFonts w:ascii="Baskerville" w:eastAsia="MS PMincho" w:hAnsi="Baskerville" w:cs="Arabic Typesetting"/>
        </w:rPr>
        <w:t xml:space="preserve"> </w:t>
      </w:r>
      <w:r w:rsidR="00CA3E4E" w:rsidRPr="007B25AE">
        <w:rPr>
          <w:rFonts w:ascii="Baskerville" w:eastAsia="MS PMincho" w:hAnsi="Baskerville" w:cs="Arabic Typesetting"/>
        </w:rPr>
        <w:t>(H</w:t>
      </w:r>
      <w:r w:rsidR="00CA3E4E" w:rsidRPr="007B25AE">
        <w:rPr>
          <w:rFonts w:ascii="Baskerville" w:eastAsia="MS PMincho" w:hAnsi="Baskerville" w:cs="Arabic Typesetting"/>
          <w:sz w:val="32"/>
          <w:szCs w:val="32"/>
          <w:vertAlign w:val="subscript"/>
        </w:rPr>
        <w:t>a</w:t>
      </w:r>
      <w:r w:rsidR="00CA3E4E" w:rsidRPr="007B25AE">
        <w:rPr>
          <w:rFonts w:ascii="Baskerville" w:eastAsia="MS PMincho" w:hAnsi="Baskerville" w:cs="Arabic Typesetting"/>
        </w:rPr>
        <w:t>).</w:t>
      </w:r>
      <w:r w:rsidRPr="007B25AE">
        <w:rPr>
          <w:rFonts w:ascii="Baskerville" w:eastAsia="MS PMincho" w:hAnsi="Baskerville" w:cs="Arabic Typesetting"/>
        </w:rPr>
        <w:t xml:space="preserve"> </w:t>
      </w:r>
    </w:p>
    <w:p w14:paraId="2FC63689" w14:textId="44914BDC" w:rsidR="00BF4CBA" w:rsidRPr="007B25AE" w:rsidRDefault="00BF4CBA" w:rsidP="00CA3E4E">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What appears to be a pregnancy in the absence of ultra-modern imaging </w:t>
      </w:r>
      <w:r w:rsidR="0089652C" w:rsidRPr="007B25AE">
        <w:rPr>
          <w:rFonts w:ascii="Baskerville" w:eastAsia="MS PMincho" w:hAnsi="Baskerville" w:cs="Arabic Typesetting"/>
        </w:rPr>
        <w:t xml:space="preserve">diagnostic </w:t>
      </w:r>
      <w:r w:rsidRPr="007B25AE">
        <w:rPr>
          <w:rFonts w:ascii="Baskerville" w:eastAsia="MS PMincho" w:hAnsi="Baskerville" w:cs="Arabic Typesetting"/>
        </w:rPr>
        <w:t>system</w:t>
      </w:r>
      <w:r w:rsidR="0089652C" w:rsidRPr="007B25AE">
        <w:rPr>
          <w:rFonts w:ascii="Baskerville" w:eastAsia="MS PMincho" w:hAnsi="Baskerville" w:cs="Arabic Typesetting"/>
        </w:rPr>
        <w:t>s</w:t>
      </w:r>
      <w:r w:rsidRPr="007B25AE">
        <w:rPr>
          <w:rFonts w:ascii="Baskerville" w:eastAsia="MS PMincho" w:hAnsi="Baskerville" w:cs="Arabic Typesetting"/>
        </w:rPr>
        <w:t xml:space="preserve">, the midwife </w:t>
      </w:r>
      <w:r w:rsidR="00CA3E4E" w:rsidRPr="007B25AE">
        <w:rPr>
          <w:rFonts w:ascii="Baskerville" w:eastAsia="MS PMincho" w:hAnsi="Baskerville" w:cs="Arabic Typesetting"/>
        </w:rPr>
        <w:t xml:space="preserve">or obstetrician </w:t>
      </w:r>
      <w:r w:rsidRPr="007B25AE">
        <w:rPr>
          <w:rFonts w:ascii="Baskerville" w:eastAsia="MS PMincho" w:hAnsi="Baskerville" w:cs="Arabic Typesetting"/>
        </w:rPr>
        <w:t xml:space="preserve">is the one who </w:t>
      </w:r>
      <w:r w:rsidR="0089652C" w:rsidRPr="007B25AE">
        <w:rPr>
          <w:rFonts w:ascii="Baskerville" w:eastAsia="MS PMincho" w:hAnsi="Baskerville" w:cs="Arabic Typesetting"/>
        </w:rPr>
        <w:t>would have made the</w:t>
      </w:r>
      <w:r w:rsidRPr="007B25AE">
        <w:rPr>
          <w:rFonts w:ascii="Baskerville" w:eastAsia="MS PMincho" w:hAnsi="Baskerville" w:cs="Arabic Typesetting"/>
        </w:rPr>
        <w:t xml:space="preserve"> diagnos</w:t>
      </w:r>
      <w:r w:rsidR="0089652C" w:rsidRPr="007B25AE">
        <w:rPr>
          <w:rFonts w:ascii="Baskerville" w:eastAsia="MS PMincho" w:hAnsi="Baskerville" w:cs="Arabic Typesetting"/>
        </w:rPr>
        <w:t>is as to</w:t>
      </w:r>
      <w:r w:rsidRPr="007B25AE">
        <w:rPr>
          <w:rFonts w:ascii="Baskerville" w:eastAsia="MS PMincho" w:hAnsi="Baskerville" w:cs="Arabic Typesetting"/>
        </w:rPr>
        <w:t xml:space="preserve"> whether </w:t>
      </w:r>
      <w:r w:rsidR="0089652C" w:rsidRPr="007B25AE">
        <w:rPr>
          <w:rFonts w:ascii="Baskerville" w:eastAsia="MS PMincho" w:hAnsi="Baskerville" w:cs="Arabic Typesetting"/>
        </w:rPr>
        <w:t>the average</w:t>
      </w:r>
      <w:r w:rsidRPr="007B25AE">
        <w:rPr>
          <w:rFonts w:ascii="Baskerville" w:eastAsia="MS PMincho" w:hAnsi="Baskerville" w:cs="Arabic Typesetting"/>
        </w:rPr>
        <w:t xml:space="preserve"> woman who is “showing” is </w:t>
      </w:r>
      <w:proofErr w:type="gramStart"/>
      <w:r w:rsidRPr="007B25AE">
        <w:rPr>
          <w:rFonts w:ascii="Baskerville" w:eastAsia="MS PMincho" w:hAnsi="Baskerville" w:cs="Arabic Typesetting"/>
        </w:rPr>
        <w:t>actually carrying</w:t>
      </w:r>
      <w:proofErr w:type="gramEnd"/>
      <w:r w:rsidRPr="007B25AE">
        <w:rPr>
          <w:rFonts w:ascii="Baskerville" w:eastAsia="MS PMincho" w:hAnsi="Baskerville" w:cs="Arabic Typesetting"/>
        </w:rPr>
        <w:t xml:space="preserve"> a live fetus. Back in th</w:t>
      </w:r>
      <w:r w:rsidR="0089652C" w:rsidRPr="007B25AE">
        <w:rPr>
          <w:rFonts w:ascii="Baskerville" w:eastAsia="MS PMincho" w:hAnsi="Baskerville" w:cs="Arabic Typesetting"/>
        </w:rPr>
        <w:t>os</w:t>
      </w:r>
      <w:r w:rsidRPr="007B25AE">
        <w:rPr>
          <w:rFonts w:ascii="Baskerville" w:eastAsia="MS PMincho" w:hAnsi="Baskerville" w:cs="Arabic Typesetting"/>
        </w:rPr>
        <w:t>e day</w:t>
      </w:r>
      <w:r w:rsidR="0089652C" w:rsidRPr="007B25AE">
        <w:rPr>
          <w:rFonts w:ascii="Baskerville" w:eastAsia="MS PMincho" w:hAnsi="Baskerville" w:cs="Arabic Typesetting"/>
        </w:rPr>
        <w:t>s</w:t>
      </w:r>
      <w:r w:rsidRPr="007B25AE">
        <w:rPr>
          <w:rFonts w:ascii="Baskerville" w:eastAsia="MS PMincho" w:hAnsi="Baskerville" w:cs="Arabic Typesetting"/>
        </w:rPr>
        <w:t>, highly skilled midwives were able to diagnose non-pregnancies of many women who were “showing” apparent pregnancies. Th</w:t>
      </w:r>
      <w:r w:rsidR="00CA3E4E" w:rsidRPr="007B25AE">
        <w:rPr>
          <w:rFonts w:ascii="Baskerville" w:eastAsia="MS PMincho" w:hAnsi="Baskerville" w:cs="Arabic Typesetting"/>
        </w:rPr>
        <w:t>e</w:t>
      </w:r>
      <w:r w:rsidRPr="007B25AE">
        <w:rPr>
          <w:rFonts w:ascii="Baskerville" w:eastAsia="MS PMincho" w:hAnsi="Baskerville" w:cs="Arabic Typesetting"/>
        </w:rPr>
        <w:t>s</w:t>
      </w:r>
      <w:r w:rsidR="00CA3E4E" w:rsidRPr="007B25AE">
        <w:rPr>
          <w:rFonts w:ascii="Baskerville" w:eastAsia="MS PMincho" w:hAnsi="Baskerville" w:cs="Arabic Typesetting"/>
        </w:rPr>
        <w:t>e diagnoses would have</w:t>
      </w:r>
      <w:r w:rsidRPr="007B25AE">
        <w:rPr>
          <w:rFonts w:ascii="Baskerville" w:eastAsia="MS PMincho" w:hAnsi="Baskerville" w:cs="Arabic Typesetting"/>
        </w:rPr>
        <w:t xml:space="preserve"> fully justifie</w:t>
      </w:r>
      <w:r w:rsidR="009C15ED" w:rsidRPr="007B25AE">
        <w:rPr>
          <w:rFonts w:ascii="Baskerville" w:eastAsia="MS PMincho" w:hAnsi="Baskerville" w:cs="Arabic Typesetting"/>
        </w:rPr>
        <w:t>d</w:t>
      </w:r>
      <w:r w:rsidRPr="007B25AE">
        <w:rPr>
          <w:rFonts w:ascii="Baskerville" w:eastAsia="MS PMincho" w:hAnsi="Baskerville" w:cs="Arabic Typesetting"/>
        </w:rPr>
        <w:t xml:space="preserve"> the p</w:t>
      </w:r>
      <m:oMath>
        <m:r>
          <m:rPr>
            <m:sty m:val="p"/>
          </m:rPr>
          <w:rPr>
            <w:rFonts w:ascii="Cambria Math" w:eastAsia="MS PMincho" w:hAnsi="Cambria Math" w:cs="Arabic Typesetting"/>
          </w:rPr>
          <m:t xml:space="preserve"> ≤</m:t>
        </m:r>
      </m:oMath>
      <w:r w:rsidR="000958D3" w:rsidRPr="007B25AE">
        <w:rPr>
          <w:rFonts w:ascii="Baskerville" w:eastAsia="MS PMincho" w:hAnsi="Baskerville" w:cs="Arabic Typesetting"/>
        </w:rPr>
        <w:t xml:space="preserve"> </w:t>
      </w:r>
      <w:r w:rsidRPr="007B25AE">
        <w:rPr>
          <w:rFonts w:ascii="Baskerville" w:eastAsia="MS PMincho" w:hAnsi="Baskerville" w:cs="Arabic Typesetting"/>
        </w:rPr>
        <w:t>0.02.</w:t>
      </w:r>
      <w:r w:rsidR="004E63CB" w:rsidRPr="007B25AE">
        <w:rPr>
          <w:rFonts w:ascii="Baskerville" w:eastAsia="MS PMincho" w:hAnsi="Baskerville" w:cs="Arabic Typesetting"/>
        </w:rPr>
        <w:t xml:space="preserve">  </w:t>
      </w:r>
    </w:p>
    <w:p w14:paraId="6226F857" w14:textId="5F60B351" w:rsidR="00BF4CBA" w:rsidRPr="007B25AE" w:rsidRDefault="00BF4CBA" w:rsidP="00BF4CBA">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But in a troublingly high percentage of cases, </w:t>
      </w:r>
      <w:r w:rsidR="00C367E6" w:rsidRPr="007B25AE">
        <w:rPr>
          <w:rFonts w:ascii="Baskerville" w:eastAsia="MS PMincho" w:hAnsi="Baskerville" w:cs="Arabic Typesetting"/>
        </w:rPr>
        <w:t>there are</w:t>
      </w:r>
      <w:r w:rsidRPr="007B25AE">
        <w:rPr>
          <w:rFonts w:ascii="Baskerville" w:eastAsia="MS PMincho" w:hAnsi="Baskerville" w:cs="Arabic Typesetting"/>
        </w:rPr>
        <w:t xml:space="preserve"> women of child-bearing age, </w:t>
      </w:r>
      <w:r w:rsidR="00C367E6" w:rsidRPr="007B25AE">
        <w:rPr>
          <w:rFonts w:ascii="Baskerville" w:eastAsia="MS PMincho" w:hAnsi="Baskerville" w:cs="Arabic Typesetting"/>
        </w:rPr>
        <w:t xml:space="preserve">who, </w:t>
      </w:r>
      <w:r w:rsidRPr="007B25AE">
        <w:rPr>
          <w:rFonts w:ascii="Baskerville" w:eastAsia="MS PMincho" w:hAnsi="Baskerville" w:cs="Arabic Typesetting"/>
        </w:rPr>
        <w:t xml:space="preserve">upon clinical examination, </w:t>
      </w:r>
      <w:r w:rsidR="00C367E6" w:rsidRPr="007B25AE">
        <w:rPr>
          <w:rFonts w:ascii="Baskerville" w:eastAsia="MS PMincho" w:hAnsi="Baskerville" w:cs="Arabic Typesetting"/>
        </w:rPr>
        <w:t>a</w:t>
      </w:r>
      <w:r w:rsidRPr="007B25AE">
        <w:rPr>
          <w:rFonts w:ascii="Baskerville" w:eastAsia="MS PMincho" w:hAnsi="Baskerville" w:cs="Arabic Typesetting"/>
        </w:rPr>
        <w:t>re found to have “stone pregnancies</w:t>
      </w:r>
      <w:r w:rsidR="00CF67C6" w:rsidRPr="007B25AE">
        <w:rPr>
          <w:rFonts w:ascii="Baskerville" w:eastAsia="MS PMincho" w:hAnsi="Baskerville" w:cs="Arabic Typesetting"/>
        </w:rPr>
        <w:t>.</w:t>
      </w:r>
      <w:r w:rsidRPr="007B25AE">
        <w:rPr>
          <w:rFonts w:ascii="Baskerville" w:eastAsia="MS PMincho" w:hAnsi="Baskerville" w:cs="Arabic Typesetting"/>
        </w:rPr>
        <w:t xml:space="preserve">” Ross et al (2008) report that “[t]here </w:t>
      </w:r>
      <w:proofErr w:type="gramStart"/>
      <w:r w:rsidRPr="007B25AE">
        <w:rPr>
          <w:rFonts w:ascii="Baskerville" w:eastAsia="MS PMincho" w:hAnsi="Baskerville" w:cs="Arabic Typesetting"/>
        </w:rPr>
        <w:t>has</w:t>
      </w:r>
      <w:proofErr w:type="gramEnd"/>
      <w:r w:rsidRPr="007B25AE">
        <w:rPr>
          <w:rFonts w:ascii="Baskerville" w:eastAsia="MS PMincho" w:hAnsi="Baskerville" w:cs="Arabic Typesetting"/>
        </w:rPr>
        <w:t xml:space="preserve"> been a 52% increase in stone-related hospital admissions of female patients” (Lieke et al, 2006, pp. 702-’04; Ross et al., 2008). Upon Strop et </w:t>
      </w:r>
      <w:proofErr w:type="spellStart"/>
      <w:r w:rsidRPr="007B25AE">
        <w:rPr>
          <w:rFonts w:ascii="Baskerville" w:eastAsia="MS PMincho" w:hAnsi="Baskerville" w:cs="Arabic Typesetting"/>
        </w:rPr>
        <w:t>al’s</w:t>
      </w:r>
      <w:proofErr w:type="spellEnd"/>
      <w:r w:rsidRPr="007B25AE">
        <w:rPr>
          <w:rFonts w:ascii="Baskerville" w:eastAsia="MS PMincho" w:hAnsi="Baskerville" w:cs="Arabic Typesetting"/>
        </w:rPr>
        <w:t xml:space="preserve"> claim that </w:t>
      </w:r>
      <w:r w:rsidR="00D66971" w:rsidRPr="007B25AE">
        <w:rPr>
          <w:rFonts w:ascii="Baskerville" w:eastAsia="MS PMincho" w:hAnsi="Baskerville" w:cs="Arabic Typesetting"/>
        </w:rPr>
        <w:t>“</w:t>
      </w:r>
      <w:r w:rsidRPr="007B25AE">
        <w:rPr>
          <w:rFonts w:ascii="Baskerville" w:eastAsia="MS PMincho" w:hAnsi="Baskerville" w:cs="Arabic Typesetting"/>
        </w:rPr>
        <w:t>[o]</w:t>
      </w:r>
      <w:proofErr w:type="spellStart"/>
      <w:r w:rsidRPr="007B25AE">
        <w:rPr>
          <w:rFonts w:ascii="Baskerville" w:eastAsia="MS PMincho" w:hAnsi="Baskerville" w:cs="Arabic Typesetting"/>
        </w:rPr>
        <w:t>verall</w:t>
      </w:r>
      <w:proofErr w:type="spellEnd"/>
      <w:r w:rsidRPr="007B25AE">
        <w:rPr>
          <w:rFonts w:ascii="Baskerville" w:eastAsia="MS PMincho" w:hAnsi="Baskerville" w:cs="Arabic Typesetting"/>
        </w:rPr>
        <w:t xml:space="preserve">, pregnant women are not at higher risk of stone formation compared with non-pregnant women of similar age and demographics” (Strope et al., 2010), it is reasonable to </w:t>
      </w:r>
      <w:r w:rsidR="00CF67C6" w:rsidRPr="007B25AE">
        <w:rPr>
          <w:rFonts w:ascii="Baskerville" w:eastAsia="MS PMincho" w:hAnsi="Baskerville" w:cs="Arabic Typesetting"/>
        </w:rPr>
        <w:t>conclude</w:t>
      </w:r>
      <w:r w:rsidRPr="007B25AE">
        <w:rPr>
          <w:rFonts w:ascii="Baskerville" w:eastAsia="MS PMincho" w:hAnsi="Baskerville" w:cs="Arabic Typesetting"/>
        </w:rPr>
        <w:t xml:space="preserve"> that a large enough number of younger women, showing abdominal protuberances, do not only include </w:t>
      </w:r>
      <w:r w:rsidR="00CF67C6" w:rsidRPr="007B25AE">
        <w:rPr>
          <w:rFonts w:ascii="Baskerville" w:eastAsia="MS PMincho" w:hAnsi="Baskerville" w:cs="Arabic Typesetting"/>
        </w:rPr>
        <w:t>“</w:t>
      </w:r>
      <w:r w:rsidRPr="007B25AE">
        <w:rPr>
          <w:rFonts w:ascii="Baskerville" w:eastAsia="MS PMincho" w:hAnsi="Baskerville" w:cs="Arabic Typesetting"/>
        </w:rPr>
        <w:t xml:space="preserve">stone </w:t>
      </w:r>
      <w:r w:rsidR="00CF67C6" w:rsidRPr="007B25AE">
        <w:rPr>
          <w:rFonts w:ascii="Baskerville" w:eastAsia="MS PMincho" w:hAnsi="Baskerville" w:cs="Arabic Typesetting"/>
        </w:rPr>
        <w:t>pregnancies</w:t>
      </w:r>
      <w:r w:rsidR="00C367E6" w:rsidRPr="007B25AE">
        <w:rPr>
          <w:rFonts w:ascii="Baskerville" w:eastAsia="MS PMincho" w:hAnsi="Baskerville" w:cs="Arabic Typesetting"/>
        </w:rPr>
        <w:t>”</w:t>
      </w:r>
      <w:r w:rsidR="00CF67C6" w:rsidRPr="007B25AE">
        <w:rPr>
          <w:rFonts w:ascii="Baskerville" w:eastAsia="MS PMincho" w:hAnsi="Baskerville" w:cs="Arabic Typesetting"/>
        </w:rPr>
        <w:t xml:space="preserve"> with live gestational fetuses, </w:t>
      </w:r>
      <w:r w:rsidRPr="007B25AE">
        <w:rPr>
          <w:rFonts w:ascii="Baskerville" w:eastAsia="MS PMincho" w:hAnsi="Baskerville" w:cs="Arabic Typesetting"/>
        </w:rPr>
        <w:t xml:space="preserve">but </w:t>
      </w:r>
      <w:r w:rsidR="00C367E6" w:rsidRPr="007B25AE">
        <w:rPr>
          <w:rFonts w:ascii="Baskerville" w:eastAsia="MS PMincho" w:hAnsi="Baskerville" w:cs="Arabic Typesetting"/>
        </w:rPr>
        <w:t xml:space="preserve">also </w:t>
      </w:r>
      <w:r w:rsidR="00CF67C6" w:rsidRPr="007B25AE">
        <w:rPr>
          <w:rFonts w:ascii="Baskerville" w:eastAsia="MS PMincho" w:hAnsi="Baskerville" w:cs="Arabic Typesetting"/>
        </w:rPr>
        <w:t>“</w:t>
      </w:r>
      <w:r w:rsidRPr="007B25AE">
        <w:rPr>
          <w:rFonts w:ascii="Baskerville" w:eastAsia="MS PMincho" w:hAnsi="Baskerville" w:cs="Arabic Typesetting"/>
        </w:rPr>
        <w:t xml:space="preserve">stones </w:t>
      </w:r>
      <w:r w:rsidR="00D66971" w:rsidRPr="007B25AE">
        <w:rPr>
          <w:rFonts w:ascii="Baskerville" w:eastAsia="MS PMincho" w:hAnsi="Baskerville" w:cs="Arabic Typesetting"/>
        </w:rPr>
        <w:t>protuberances</w:t>
      </w:r>
      <w:r w:rsidR="00CF67C6" w:rsidRPr="007B25AE">
        <w:rPr>
          <w:rFonts w:ascii="Baskerville" w:eastAsia="MS PMincho" w:hAnsi="Baskerville" w:cs="Arabic Typesetting"/>
        </w:rPr>
        <w:t>”</w:t>
      </w:r>
      <w:r w:rsidR="00D66971" w:rsidRPr="007B25AE">
        <w:rPr>
          <w:rFonts w:ascii="Baskerville" w:eastAsia="MS PMincho" w:hAnsi="Baskerville" w:cs="Arabic Typesetting"/>
        </w:rPr>
        <w:t xml:space="preserve"> </w:t>
      </w:r>
      <w:r w:rsidRPr="007B25AE">
        <w:rPr>
          <w:rFonts w:ascii="Baskerville" w:eastAsia="MS PMincho" w:hAnsi="Baskerville" w:cs="Arabic Typesetting"/>
        </w:rPr>
        <w:t>with</w:t>
      </w:r>
      <w:r w:rsidR="00CF67C6" w:rsidRPr="007B25AE">
        <w:rPr>
          <w:rFonts w:ascii="Baskerville" w:eastAsia="MS PMincho" w:hAnsi="Baskerville" w:cs="Arabic Typesetting"/>
        </w:rPr>
        <w:t>out</w:t>
      </w:r>
      <w:r w:rsidRPr="007B25AE">
        <w:rPr>
          <w:rFonts w:ascii="Baskerville" w:eastAsia="MS PMincho" w:hAnsi="Baskerville" w:cs="Arabic Typesetting"/>
        </w:rPr>
        <w:t xml:space="preserve"> gestational fetuses. </w:t>
      </w:r>
    </w:p>
    <w:p w14:paraId="0C1201E4" w14:textId="37A299D3" w:rsidR="00BF4CBA" w:rsidRPr="007B25AE" w:rsidRDefault="00BF4CBA" w:rsidP="00BF4CBA">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Additionally, there is also the incidences of “phantom pregnancy”. These are situations in which women of child-bearing age are </w:t>
      </w:r>
      <w:r w:rsidR="00D66971" w:rsidRPr="007B25AE">
        <w:rPr>
          <w:rFonts w:ascii="Baskerville" w:eastAsia="MS PMincho" w:hAnsi="Baskerville" w:cs="Arabic Typesetting"/>
        </w:rPr>
        <w:t>“</w:t>
      </w:r>
      <w:r w:rsidRPr="007B25AE">
        <w:rPr>
          <w:rFonts w:ascii="Baskerville" w:eastAsia="MS PMincho" w:hAnsi="Baskerville" w:cs="Arabic Typesetting"/>
        </w:rPr>
        <w:t>showing</w:t>
      </w:r>
      <w:r w:rsidR="00D66971" w:rsidRPr="007B25AE">
        <w:rPr>
          <w:rFonts w:ascii="Baskerville" w:eastAsia="MS PMincho" w:hAnsi="Baskerville" w:cs="Arabic Typesetting"/>
        </w:rPr>
        <w:t>”</w:t>
      </w:r>
      <w:r w:rsidRPr="007B25AE">
        <w:rPr>
          <w:rFonts w:ascii="Baskerville" w:eastAsia="MS PMincho" w:hAnsi="Baskerville" w:cs="Arabic Typesetting"/>
        </w:rPr>
        <w:t xml:space="preserve"> but clinical examinations reveal the absence of any form of a </w:t>
      </w:r>
      <w:r w:rsidR="00C367E6" w:rsidRPr="007B25AE">
        <w:rPr>
          <w:rFonts w:ascii="Baskerville" w:eastAsia="MS PMincho" w:hAnsi="Baskerville" w:cs="Arabic Typesetting"/>
        </w:rPr>
        <w:t xml:space="preserve">live </w:t>
      </w:r>
      <w:r w:rsidRPr="007B25AE">
        <w:rPr>
          <w:rFonts w:ascii="Baskerville" w:eastAsia="MS PMincho" w:hAnsi="Baskerville" w:cs="Arabic Typesetting"/>
        </w:rPr>
        <w:t xml:space="preserve">fetus. </w:t>
      </w:r>
    </w:p>
    <w:p w14:paraId="29DF4AF7" w14:textId="6EEDEEA7" w:rsidR="00BF4CBA" w:rsidRPr="007B25AE" w:rsidRDefault="00BF4CBA" w:rsidP="00BF4CBA">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My late mother, a British trained “Certified Midwife,” once explained to me that phantom pregnancies are the product of an overwhelming desire of some women </w:t>
      </w:r>
      <w:r w:rsidR="00C367E6" w:rsidRPr="007B25AE">
        <w:rPr>
          <w:rFonts w:ascii="Baskerville" w:eastAsia="MS PMincho" w:hAnsi="Baskerville" w:cs="Arabic Typesetting"/>
        </w:rPr>
        <w:t xml:space="preserve">who want </w:t>
      </w:r>
      <w:r w:rsidRPr="007B25AE">
        <w:rPr>
          <w:rFonts w:ascii="Baskerville" w:eastAsia="MS PMincho" w:hAnsi="Baskerville" w:cs="Arabic Typesetting"/>
        </w:rPr>
        <w:t>to have children, even though they cannot. Back then, she explained</w:t>
      </w:r>
      <w:r w:rsidR="00C367E6" w:rsidRPr="007B25AE">
        <w:rPr>
          <w:rFonts w:ascii="Baskerville" w:eastAsia="MS PMincho" w:hAnsi="Baskerville" w:cs="Arabic Typesetting"/>
        </w:rPr>
        <w:t>,</w:t>
      </w:r>
      <w:r w:rsidRPr="007B25AE">
        <w:rPr>
          <w:rFonts w:ascii="Baskerville" w:eastAsia="MS PMincho" w:hAnsi="Baskerville" w:cs="Arabic Typesetting"/>
        </w:rPr>
        <w:t xml:space="preserve"> that the </w:t>
      </w:r>
      <w:r w:rsidR="00C367E6" w:rsidRPr="007B25AE">
        <w:rPr>
          <w:rFonts w:ascii="Baskerville" w:eastAsia="MS PMincho" w:hAnsi="Baskerville" w:cs="Arabic Typesetting"/>
        </w:rPr>
        <w:t xml:space="preserve">physical </w:t>
      </w:r>
      <w:r w:rsidRPr="007B25AE">
        <w:rPr>
          <w:rFonts w:ascii="Baskerville" w:eastAsia="MS PMincho" w:hAnsi="Baskerville" w:cs="Arabic Typesetting"/>
        </w:rPr>
        <w:t xml:space="preserve">appearance of pregnancy in these women is entirely psychosomatic. She said that, in treating the disease, a certain injection had to be administered to the patient. Once administered, the apparent </w:t>
      </w:r>
      <w:r w:rsidR="00D66971" w:rsidRPr="007B25AE">
        <w:rPr>
          <w:rFonts w:ascii="Baskerville" w:eastAsia="MS PMincho" w:hAnsi="Baskerville" w:cs="Arabic Typesetting"/>
        </w:rPr>
        <w:t>abdominal protuberances</w:t>
      </w:r>
      <w:r w:rsidRPr="007B25AE">
        <w:rPr>
          <w:rFonts w:ascii="Baskerville" w:eastAsia="MS PMincho" w:hAnsi="Baskerville" w:cs="Arabic Typesetting"/>
        </w:rPr>
        <w:t xml:space="preserve"> w</w:t>
      </w:r>
      <w:r w:rsidR="007B4BB6" w:rsidRPr="007B25AE">
        <w:rPr>
          <w:rFonts w:ascii="Baskerville" w:eastAsia="MS PMincho" w:hAnsi="Baskerville" w:cs="Arabic Typesetting"/>
        </w:rPr>
        <w:t>ould</w:t>
      </w:r>
      <w:r w:rsidRPr="007B25AE">
        <w:rPr>
          <w:rFonts w:ascii="Baskerville" w:eastAsia="MS PMincho" w:hAnsi="Baskerville" w:cs="Arabic Typesetting"/>
        </w:rPr>
        <w:t xml:space="preserve"> </w:t>
      </w:r>
      <w:r w:rsidR="00C367E6" w:rsidRPr="007B25AE">
        <w:rPr>
          <w:rFonts w:ascii="Baskerville" w:eastAsia="MS PMincho" w:hAnsi="Baskerville" w:cs="Arabic Typesetting"/>
        </w:rPr>
        <w:t xml:space="preserve">suddenly </w:t>
      </w:r>
      <w:r w:rsidR="00403762" w:rsidRPr="007B25AE">
        <w:rPr>
          <w:rFonts w:ascii="Baskerville" w:eastAsia="MS PMincho" w:hAnsi="Baskerville" w:cs="Arabic Typesetting"/>
        </w:rPr>
        <w:t xml:space="preserve">be </w:t>
      </w:r>
      <w:r w:rsidRPr="007B25AE">
        <w:rPr>
          <w:rFonts w:ascii="Baskerville" w:eastAsia="MS PMincho" w:hAnsi="Baskerville" w:cs="Arabic Typesetting"/>
        </w:rPr>
        <w:t xml:space="preserve">deflated.   </w:t>
      </w:r>
    </w:p>
    <w:p w14:paraId="764BB5FA" w14:textId="3257FBBB" w:rsidR="00BF4CBA" w:rsidRPr="007B25AE" w:rsidRDefault="00BF4CBA" w:rsidP="00BF4CBA">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What this means is that the null hypothesis, “Women of child-bearing age with large abdominal protuberances are not pregnant,” having a p-value </w:t>
      </w:r>
      <w:r w:rsidR="000958D3" w:rsidRPr="007B25AE">
        <w:rPr>
          <w:rFonts w:ascii="Baskerville" w:eastAsia="MS PMincho" w:hAnsi="Baskerville" w:cs="Arabic Typesetting"/>
        </w:rPr>
        <w:t>of</w:t>
      </w:r>
      <w:r w:rsidRPr="007B25AE">
        <w:rPr>
          <w:rFonts w:ascii="Baskerville" w:eastAsia="MS PMincho" w:hAnsi="Baskerville" w:cs="Arabic Typesetting"/>
        </w:rPr>
        <w:t xml:space="preserve"> 0.02 or less, would </w:t>
      </w:r>
      <w:proofErr w:type="gramStart"/>
      <w:r w:rsidRPr="007B25AE">
        <w:rPr>
          <w:rFonts w:ascii="Baskerville" w:eastAsia="MS PMincho" w:hAnsi="Baskerville" w:cs="Arabic Typesetting"/>
        </w:rPr>
        <w:t>actually have</w:t>
      </w:r>
      <w:proofErr w:type="gramEnd"/>
      <w:r w:rsidRPr="007B25AE">
        <w:rPr>
          <w:rFonts w:ascii="Baskerville" w:eastAsia="MS PMincho" w:hAnsi="Baskerville" w:cs="Arabic Typesetting"/>
        </w:rPr>
        <w:t xml:space="preserve"> a p-value that was </w:t>
      </w:r>
      <w:r w:rsidR="000958D3" w:rsidRPr="007B25AE">
        <w:rPr>
          <w:rFonts w:ascii="Baskerville" w:eastAsia="MS PMincho" w:hAnsi="Baskerville" w:cs="Arabic Typesetting"/>
        </w:rPr>
        <w:t>even</w:t>
      </w:r>
      <w:r w:rsidRPr="007B25AE">
        <w:rPr>
          <w:rFonts w:ascii="Baskerville" w:eastAsia="MS PMincho" w:hAnsi="Baskerville" w:cs="Arabic Typesetting"/>
        </w:rPr>
        <w:t xml:space="preserve"> much </w:t>
      </w:r>
      <w:r w:rsidR="00D276F3" w:rsidRPr="007B25AE">
        <w:rPr>
          <w:rFonts w:ascii="Baskerville" w:eastAsia="MS PMincho" w:hAnsi="Baskerville" w:cs="Arabic Typesetting"/>
        </w:rPr>
        <w:t>high</w:t>
      </w:r>
      <w:r w:rsidR="000958D3" w:rsidRPr="007B25AE">
        <w:rPr>
          <w:rFonts w:ascii="Baskerville" w:eastAsia="MS PMincho" w:hAnsi="Baskerville" w:cs="Arabic Typesetting"/>
        </w:rPr>
        <w:t>er</w:t>
      </w:r>
      <w:r w:rsidRPr="007B25AE">
        <w:rPr>
          <w:rFonts w:ascii="Baskerville" w:eastAsia="MS PMincho" w:hAnsi="Baskerville" w:cs="Arabic Typesetting"/>
        </w:rPr>
        <w:t xml:space="preserve"> than what is observed when abdominal swelling caused by kidney stones and phantom pregnancies are added to the known exceptions of malignant and non-malignant tumors. </w:t>
      </w:r>
    </w:p>
    <w:p w14:paraId="51912644" w14:textId="674EE6F1" w:rsidR="00BF4CBA" w:rsidRPr="007B25AE" w:rsidRDefault="00BF4CBA" w:rsidP="00BF4CBA">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With this, the </w:t>
      </w:r>
      <w:r w:rsidR="00D276F3" w:rsidRPr="007B25AE">
        <w:rPr>
          <w:rFonts w:ascii="Baskerville" w:eastAsia="MS PMincho" w:hAnsi="Baskerville" w:cs="Arabic Typesetting"/>
        </w:rPr>
        <w:t xml:space="preserve">real </w:t>
      </w:r>
      <w:r w:rsidRPr="007B25AE">
        <w:rPr>
          <w:rFonts w:ascii="Baskerville" w:eastAsia="MS PMincho" w:hAnsi="Baskerville" w:cs="Arabic Typesetting"/>
        </w:rPr>
        <w:t xml:space="preserve">confidence level would </w:t>
      </w:r>
      <w:proofErr w:type="gramStart"/>
      <w:r w:rsidRPr="007B25AE">
        <w:rPr>
          <w:rFonts w:ascii="Baskerville" w:eastAsia="MS PMincho" w:hAnsi="Baskerville" w:cs="Arabic Typesetting"/>
        </w:rPr>
        <w:t>actually be</w:t>
      </w:r>
      <w:proofErr w:type="gramEnd"/>
      <w:r w:rsidRPr="007B25AE">
        <w:rPr>
          <w:rFonts w:ascii="Baskerville" w:eastAsia="MS PMincho" w:hAnsi="Baskerville" w:cs="Arabic Typesetting"/>
        </w:rPr>
        <w:t xml:space="preserve"> much lower than it appears when the researcher’s common knowledge about female abdominal protuberance</w:t>
      </w:r>
      <w:r w:rsidR="009E2B2C" w:rsidRPr="007B25AE">
        <w:rPr>
          <w:rFonts w:ascii="Baskerville" w:eastAsia="MS PMincho" w:hAnsi="Baskerville" w:cs="Arabic Typesetting"/>
        </w:rPr>
        <w:t>,</w:t>
      </w:r>
      <w:r w:rsidRPr="007B25AE">
        <w:rPr>
          <w:rFonts w:ascii="Baskerville" w:eastAsia="MS PMincho" w:hAnsi="Baskerville" w:cs="Arabic Typesetting"/>
        </w:rPr>
        <w:t xml:space="preserve"> combined with the empirical observation </w:t>
      </w:r>
      <w:r w:rsidR="000958D3" w:rsidRPr="007B25AE">
        <w:rPr>
          <w:rFonts w:ascii="Baskerville" w:eastAsia="MS PMincho" w:hAnsi="Baskerville" w:cs="Arabic Typesetting"/>
        </w:rPr>
        <w:t xml:space="preserve">of samples drawn from the population </w:t>
      </w:r>
      <w:r w:rsidRPr="007B25AE">
        <w:rPr>
          <w:rFonts w:ascii="Baskerville" w:eastAsia="MS PMincho" w:hAnsi="Baskerville" w:cs="Arabic Typesetting"/>
        </w:rPr>
        <w:t xml:space="preserve">does not cover </w:t>
      </w:r>
      <w:r w:rsidR="00C71FA0" w:rsidRPr="007B25AE">
        <w:rPr>
          <w:rFonts w:ascii="Baskerville" w:eastAsia="MS PMincho" w:hAnsi="Baskerville" w:cs="Arabic Typesetting"/>
        </w:rPr>
        <w:t xml:space="preserve">anything close to </w:t>
      </w:r>
      <w:r w:rsidRPr="007B25AE">
        <w:rPr>
          <w:rFonts w:ascii="Baskerville" w:eastAsia="MS PMincho" w:hAnsi="Baskerville" w:cs="Arabic Typesetting"/>
        </w:rPr>
        <w:t>the full range of the realities</w:t>
      </w:r>
      <w:r w:rsidR="00D66971" w:rsidRPr="007B25AE">
        <w:rPr>
          <w:rFonts w:ascii="Baskerville" w:eastAsia="MS PMincho" w:hAnsi="Baskerville" w:cs="Arabic Typesetting"/>
        </w:rPr>
        <w:t xml:space="preserve"> out there</w:t>
      </w:r>
      <w:r w:rsidRPr="007B25AE">
        <w:rPr>
          <w:rFonts w:ascii="Baskerville" w:eastAsia="MS PMincho" w:hAnsi="Baskerville" w:cs="Arabic Typesetting"/>
        </w:rPr>
        <w:t>. In this situation, the 98% level of confidence</w:t>
      </w:r>
      <w:r w:rsidR="00D66971" w:rsidRPr="007B25AE">
        <w:rPr>
          <w:rFonts w:ascii="Baskerville" w:eastAsia="MS PMincho" w:hAnsi="Baskerville" w:cs="Arabic Typesetting"/>
        </w:rPr>
        <w:t xml:space="preserve">, then, would </w:t>
      </w:r>
      <w:proofErr w:type="gramStart"/>
      <w:r w:rsidR="00D66971" w:rsidRPr="007B25AE">
        <w:rPr>
          <w:rFonts w:ascii="Baskerville" w:eastAsia="MS PMincho" w:hAnsi="Baskerville" w:cs="Arabic Typesetting"/>
        </w:rPr>
        <w:t>actually be</w:t>
      </w:r>
      <w:proofErr w:type="gramEnd"/>
      <w:r w:rsidRPr="007B25AE">
        <w:rPr>
          <w:rFonts w:ascii="Baskerville" w:eastAsia="MS PMincho" w:hAnsi="Baskerville" w:cs="Arabic Typesetting"/>
        </w:rPr>
        <w:t xml:space="preserve"> false. This is typically a “false positive” or a Type I Error. </w:t>
      </w:r>
      <w:r w:rsidR="009E2B2C" w:rsidRPr="007B25AE">
        <w:rPr>
          <w:rFonts w:ascii="Baskerville" w:eastAsia="MS PMincho" w:hAnsi="Baskerville" w:cs="Arabic Typesetting"/>
        </w:rPr>
        <w:t>In other words, w</w:t>
      </w:r>
      <w:r w:rsidR="00D276F3" w:rsidRPr="007B25AE">
        <w:rPr>
          <w:rFonts w:ascii="Baskerville" w:eastAsia="MS PMincho" w:hAnsi="Baskerville" w:cs="Arabic Typesetting"/>
        </w:rPr>
        <w:t xml:space="preserve">hat you </w:t>
      </w:r>
      <w:r w:rsidR="009E2B2C" w:rsidRPr="007B25AE">
        <w:rPr>
          <w:rFonts w:ascii="Baskerville" w:eastAsia="MS PMincho" w:hAnsi="Baskerville" w:cs="Arabic Typesetting"/>
        </w:rPr>
        <w:t>se</w:t>
      </w:r>
      <w:r w:rsidR="00D276F3" w:rsidRPr="007B25AE">
        <w:rPr>
          <w:rFonts w:ascii="Baskerville" w:eastAsia="MS PMincho" w:hAnsi="Baskerville" w:cs="Arabic Typesetting"/>
        </w:rPr>
        <w:t xml:space="preserve">e empirically is not </w:t>
      </w:r>
      <w:r w:rsidR="009E2B2C" w:rsidRPr="007B25AE">
        <w:rPr>
          <w:rFonts w:ascii="Baskerville" w:eastAsia="MS PMincho" w:hAnsi="Baskerville" w:cs="Arabic Typesetting"/>
        </w:rPr>
        <w:t xml:space="preserve">always </w:t>
      </w:r>
      <w:r w:rsidR="00D276F3" w:rsidRPr="007B25AE">
        <w:rPr>
          <w:rFonts w:ascii="Baskerville" w:eastAsia="MS PMincho" w:hAnsi="Baskerville" w:cs="Arabic Typesetting"/>
        </w:rPr>
        <w:t xml:space="preserve">what you get. </w:t>
      </w:r>
      <w:r w:rsidRPr="007B25AE">
        <w:rPr>
          <w:rFonts w:ascii="Baskerville" w:eastAsia="MS PMincho" w:hAnsi="Baskerville" w:cs="Arabic Typesetting"/>
        </w:rPr>
        <w:t xml:space="preserve">The exact reverse of this is </w:t>
      </w:r>
      <w:r w:rsidR="00D66971" w:rsidRPr="007B25AE">
        <w:rPr>
          <w:rFonts w:ascii="Baskerville" w:eastAsia="MS PMincho" w:hAnsi="Baskerville" w:cs="Arabic Typesetting"/>
        </w:rPr>
        <w:t xml:space="preserve">referred to </w:t>
      </w:r>
      <w:r w:rsidRPr="007B25AE">
        <w:rPr>
          <w:rFonts w:ascii="Baskerville" w:eastAsia="MS PMincho" w:hAnsi="Baskerville" w:cs="Arabic Typesetting"/>
        </w:rPr>
        <w:t xml:space="preserve">as a “false negative,” or a Type II Error. </w:t>
      </w:r>
      <w:r w:rsidR="00D66971" w:rsidRPr="007B25AE">
        <w:rPr>
          <w:rFonts w:ascii="Baskerville" w:eastAsia="MS PMincho" w:hAnsi="Baskerville" w:cs="Arabic Typesetting"/>
        </w:rPr>
        <w:t>Can you imagine how much more</w:t>
      </w:r>
      <w:r w:rsidR="009E2B2C" w:rsidRPr="007B25AE">
        <w:rPr>
          <w:rFonts w:ascii="Baskerville" w:eastAsia="MS PMincho" w:hAnsi="Baskerville" w:cs="Arabic Typesetting"/>
        </w:rPr>
        <w:t xml:space="preserve"> </w:t>
      </w:r>
      <w:r w:rsidR="000958D3" w:rsidRPr="007B25AE">
        <w:rPr>
          <w:rFonts w:ascii="Baskerville" w:eastAsia="MS PMincho" w:hAnsi="Baskerville" w:cs="Arabic Typesetting"/>
        </w:rPr>
        <w:t>these two errors would appear in those times when ultrasound, etc. w</w:t>
      </w:r>
      <w:r w:rsidR="009C15ED" w:rsidRPr="007B25AE">
        <w:rPr>
          <w:rFonts w:ascii="Baskerville" w:eastAsia="MS PMincho" w:hAnsi="Baskerville" w:cs="Arabic Typesetting"/>
        </w:rPr>
        <w:t>as</w:t>
      </w:r>
      <w:r w:rsidR="000958D3" w:rsidRPr="007B25AE">
        <w:rPr>
          <w:rFonts w:ascii="Baskerville" w:eastAsia="MS PMincho" w:hAnsi="Baskerville" w:cs="Arabic Typesetting"/>
        </w:rPr>
        <w:t xml:space="preserve"> not </w:t>
      </w:r>
      <w:r w:rsidR="00C71FA0" w:rsidRPr="007B25AE">
        <w:rPr>
          <w:rFonts w:ascii="Baskerville" w:eastAsia="MS PMincho" w:hAnsi="Baskerville" w:cs="Arabic Typesetting"/>
        </w:rPr>
        <w:t>among the diagnostic tools in the medical kit</w:t>
      </w:r>
      <w:r w:rsidR="000958D3" w:rsidRPr="007B25AE">
        <w:rPr>
          <w:rFonts w:ascii="Baskerville" w:eastAsia="MS PMincho" w:hAnsi="Baskerville" w:cs="Arabic Typesetting"/>
        </w:rPr>
        <w:t>?</w:t>
      </w:r>
      <w:r w:rsidRPr="007B25AE">
        <w:rPr>
          <w:rFonts w:ascii="Baskerville" w:eastAsia="MS PMincho" w:hAnsi="Baskerville" w:cs="Arabic Typesetting"/>
        </w:rPr>
        <w:t xml:space="preserve">   </w:t>
      </w:r>
    </w:p>
    <w:p w14:paraId="4875CEA7" w14:textId="568FE2CA" w:rsidR="00BF4CBA" w:rsidRPr="007B25AE" w:rsidRDefault="00BF4CBA" w:rsidP="00BF4CBA">
      <w:pPr>
        <w:spacing w:line="360" w:lineRule="auto"/>
        <w:rPr>
          <w:rFonts w:ascii="Baskerville" w:eastAsia="MS PMincho" w:hAnsi="Baskerville" w:cs="Arabic Typesetting"/>
        </w:rPr>
      </w:pPr>
      <w:r w:rsidRPr="007B25AE">
        <w:rPr>
          <w:rFonts w:ascii="Baskerville" w:eastAsia="MS PMincho" w:hAnsi="Baskerville" w:cs="Arabic Typesetting"/>
        </w:rPr>
        <w:tab/>
        <w:t xml:space="preserve">If one were to shade the entire area under the normal distribution curve, immediately following the female’s ultrasound, today, where the confidence level is </w:t>
      </w:r>
      <w:r w:rsidR="0022313F" w:rsidRPr="007B25AE">
        <w:rPr>
          <w:rFonts w:ascii="Baskerville" w:eastAsia="MS PMincho" w:hAnsi="Baskerville" w:cs="Arabic Typesetting"/>
        </w:rPr>
        <w:t xml:space="preserve">a </w:t>
      </w:r>
      <w:r w:rsidRPr="007B25AE">
        <w:rPr>
          <w:rFonts w:ascii="Baskerville" w:eastAsia="MS PMincho" w:hAnsi="Baskerville" w:cs="Arabic Typesetting"/>
        </w:rPr>
        <w:t xml:space="preserve">100% probability, it would appear to be </w:t>
      </w:r>
      <w:proofErr w:type="gramStart"/>
      <w:r w:rsidRPr="007B25AE">
        <w:rPr>
          <w:rFonts w:ascii="Baskerville" w:eastAsia="MS PMincho" w:hAnsi="Baskerville" w:cs="Arabic Typesetting"/>
        </w:rPr>
        <w:t>completely filled</w:t>
      </w:r>
      <w:proofErr w:type="gramEnd"/>
      <w:r w:rsidR="000958D3" w:rsidRPr="007B25AE">
        <w:rPr>
          <w:rFonts w:ascii="Baskerville" w:eastAsia="MS PMincho" w:hAnsi="Baskerville" w:cs="Arabic Typesetting"/>
        </w:rPr>
        <w:t xml:space="preserve"> </w:t>
      </w:r>
      <w:r w:rsidRPr="007B25AE">
        <w:rPr>
          <w:rFonts w:ascii="Baskerville" w:eastAsia="MS PMincho" w:hAnsi="Baskerville" w:cs="Arabic Typesetting"/>
        </w:rPr>
        <w:t xml:space="preserve">in. Implicitly, </w:t>
      </w:r>
      <w:r w:rsidR="00D276F3" w:rsidRPr="007B25AE">
        <w:rPr>
          <w:rFonts w:ascii="Baskerville" w:eastAsia="MS PMincho" w:hAnsi="Baskerville" w:cs="Arabic Typesetting"/>
        </w:rPr>
        <w:t xml:space="preserve">though, </w:t>
      </w:r>
      <w:r w:rsidRPr="007B25AE">
        <w:rPr>
          <w:rFonts w:ascii="Baskerville" w:eastAsia="MS PMincho" w:hAnsi="Baskerville" w:cs="Arabic Typesetting"/>
        </w:rPr>
        <w:t>one might want to say that p</w:t>
      </w:r>
      <w:r w:rsidR="00D276F3" w:rsidRPr="007B25AE">
        <w:rPr>
          <w:rFonts w:ascii="Baskerville" w:eastAsia="MS PMincho" w:hAnsi="Baskerville" w:cs="Arabic Typesetting"/>
        </w:rPr>
        <w:t xml:space="preserve">= </w:t>
      </w:r>
      <w:r w:rsidRPr="007B25AE">
        <w:rPr>
          <w:rFonts w:ascii="Baskerville" w:eastAsia="MS PMincho" w:hAnsi="Baskerville" w:cs="Arabic Typesetting"/>
        </w:rPr>
        <w:t xml:space="preserve">0. Yet, responding, thus, to that situation would not be completely true since the bell curve is actually </w:t>
      </w:r>
      <w:r w:rsidR="00C71FA0" w:rsidRPr="007B25AE">
        <w:rPr>
          <w:rFonts w:ascii="Baskerville" w:eastAsia="MS PMincho" w:hAnsi="Baskerville" w:cs="Arabic Typesetting"/>
        </w:rPr>
        <w:t>“</w:t>
      </w:r>
      <w:r w:rsidRPr="007B25AE">
        <w:rPr>
          <w:rFonts w:ascii="Baskerville" w:eastAsia="MS PMincho" w:hAnsi="Baskerville" w:cs="Arabic Typesetting"/>
        </w:rPr>
        <w:t>asymptotic.</w:t>
      </w:r>
      <w:r w:rsidR="00C71FA0" w:rsidRPr="007B25AE">
        <w:rPr>
          <w:rFonts w:ascii="Baskerville" w:eastAsia="MS PMincho" w:hAnsi="Baskerville" w:cs="Arabic Typesetting"/>
        </w:rPr>
        <w:t>”</w:t>
      </w:r>
      <w:r w:rsidRPr="007B25AE">
        <w:rPr>
          <w:rFonts w:ascii="Baskerville" w:eastAsia="MS PMincho" w:hAnsi="Baskerville" w:cs="Arabic Typesetting"/>
        </w:rPr>
        <w:t xml:space="preserve"> In this situation, the report would state that the null hypothesis (H</w:t>
      </w:r>
      <w:r w:rsidRPr="007B25AE">
        <w:rPr>
          <w:rFonts w:ascii="Baskerville" w:eastAsia="MS PMincho" w:hAnsi="Baskerville" w:cs="Arabic Typesetting"/>
          <w:vertAlign w:val="subscript"/>
        </w:rPr>
        <w:t>0</w:t>
      </w:r>
      <w:r w:rsidRPr="007B25AE">
        <w:rPr>
          <w:rFonts w:ascii="Baskerville" w:eastAsia="MS PMincho" w:hAnsi="Baskerville" w:cs="Arabic Typesetting"/>
        </w:rPr>
        <w:t xml:space="preserve">) is automatically “rejected" without the need to further state that the </w:t>
      </w:r>
      <w:r w:rsidR="00D276F3" w:rsidRPr="007B25AE">
        <w:rPr>
          <w:rFonts w:ascii="Baskerville" w:eastAsia="MS PMincho" w:hAnsi="Baskerville" w:cs="Arabic Typesetting"/>
        </w:rPr>
        <w:t xml:space="preserve">probability taken from a </w:t>
      </w:r>
      <w:r w:rsidR="00091CFF" w:rsidRPr="007B25AE">
        <w:rPr>
          <w:rFonts w:ascii="Baskerville" w:eastAsia="MS PMincho" w:hAnsi="Baskerville" w:cs="Arabic Typesetting"/>
        </w:rPr>
        <w:t>statistically significance</w:t>
      </w:r>
      <w:r w:rsidR="00D276F3" w:rsidRPr="007B25AE">
        <w:rPr>
          <w:rFonts w:ascii="Baskerville" w:eastAsia="MS PMincho" w:hAnsi="Baskerville" w:cs="Arabic Typesetting"/>
        </w:rPr>
        <w:t xml:space="preserve"> </w:t>
      </w:r>
      <w:r w:rsidR="00091CFF" w:rsidRPr="007B25AE">
        <w:rPr>
          <w:rFonts w:ascii="Baskerville" w:eastAsia="MS PMincho" w:hAnsi="Baskerville" w:cs="Arabic Typesetting"/>
        </w:rPr>
        <w:t>of p</w:t>
      </w:r>
      <m:oMath>
        <m:r>
          <m:rPr>
            <m:sty m:val="p"/>
          </m:rPr>
          <w:rPr>
            <w:rFonts w:ascii="Cambria Math" w:eastAsia="MS PMincho" w:hAnsi="Cambria Math" w:cs="Arabic Typesetting"/>
          </w:rPr>
          <m:t>≤</m:t>
        </m:r>
      </m:oMath>
      <w:r w:rsidR="00091CFF" w:rsidRPr="007B25AE">
        <w:rPr>
          <w:rFonts w:ascii="Baskerville" w:eastAsia="MS PMincho" w:hAnsi="Baskerville" w:cs="Arabic Typesetting"/>
        </w:rPr>
        <w:t xml:space="preserve"> 0.</w:t>
      </w:r>
      <w:r w:rsidRPr="007B25AE">
        <w:rPr>
          <w:rFonts w:ascii="Baskerville" w:eastAsia="MS PMincho" w:hAnsi="Baskerville" w:cs="Arabic Typesetting"/>
        </w:rPr>
        <w:t xml:space="preserve"> 0 and the confidence level (with the area under the bell</w:t>
      </w:r>
      <w:r w:rsidR="00091CFF" w:rsidRPr="007B25AE">
        <w:rPr>
          <w:rFonts w:ascii="Baskerville" w:eastAsia="MS PMincho" w:hAnsi="Baskerville" w:cs="Arabic Typesetting"/>
        </w:rPr>
        <w:t xml:space="preserve"> </w:t>
      </w:r>
      <w:r w:rsidR="0022313F" w:rsidRPr="007B25AE">
        <w:rPr>
          <w:rFonts w:ascii="Baskerville" w:eastAsia="MS PMincho" w:hAnsi="Baskerville" w:cs="Arabic Typesetting"/>
        </w:rPr>
        <w:t>curve</w:t>
      </w:r>
      <w:r w:rsidR="00091CFF" w:rsidRPr="007B25AE">
        <w:rPr>
          <w:rFonts w:ascii="Baskerville" w:eastAsia="MS PMincho" w:hAnsi="Baskerville" w:cs="Arabic Typesetting"/>
        </w:rPr>
        <w:t xml:space="preserve"> appear</w:t>
      </w:r>
      <w:r w:rsidR="0022313F" w:rsidRPr="007B25AE">
        <w:rPr>
          <w:rFonts w:ascii="Baskerville" w:eastAsia="MS PMincho" w:hAnsi="Baskerville" w:cs="Arabic Typesetting"/>
        </w:rPr>
        <w:t>ing</w:t>
      </w:r>
      <w:r w:rsidR="00091CFF" w:rsidRPr="007B25AE">
        <w:rPr>
          <w:rFonts w:ascii="Baskerville" w:eastAsia="MS PMincho" w:hAnsi="Baskerville" w:cs="Arabic Typesetting"/>
        </w:rPr>
        <w:t xml:space="preserve"> to be</w:t>
      </w:r>
      <w:r w:rsidRPr="007B25AE">
        <w:rPr>
          <w:rFonts w:ascii="Baskerville" w:eastAsia="MS PMincho" w:hAnsi="Baskerville" w:cs="Arabic Typesetting"/>
        </w:rPr>
        <w:t xml:space="preserve"> completely shaded) is a "certainty." </w:t>
      </w:r>
    </w:p>
    <w:p w14:paraId="6A85AF3D" w14:textId="5EEBF385" w:rsidR="00BF4CBA" w:rsidRPr="007B25AE" w:rsidRDefault="00BF4CBA" w:rsidP="00BF4CBA">
      <w:pPr>
        <w:spacing w:line="360" w:lineRule="auto"/>
        <w:rPr>
          <w:rFonts w:ascii="Baskerville" w:eastAsia="MS PMincho" w:hAnsi="Baskerville" w:cs="Arabic Typesetting"/>
        </w:rPr>
      </w:pPr>
      <w:r w:rsidRPr="007B25AE">
        <w:rPr>
          <w:rFonts w:ascii="Baskerville" w:eastAsia="MS PMincho" w:hAnsi="Baskerville" w:cs="Arabic Typesetting"/>
        </w:rPr>
        <w:tab/>
        <w:t xml:space="preserve">If the question is asked, "What is the p-value in a situation of absolute certainty?" We could not say p = 0. Neither could we </w:t>
      </w:r>
      <w:r w:rsidR="0022313F" w:rsidRPr="007B25AE">
        <w:rPr>
          <w:rFonts w:ascii="Baskerville" w:eastAsia="MS PMincho" w:hAnsi="Baskerville" w:cs="Arabic Typesetting"/>
        </w:rPr>
        <w:t>suggest an interval</w:t>
      </w:r>
      <w:r w:rsidRPr="007B25AE">
        <w:rPr>
          <w:rFonts w:ascii="Baskerville" w:eastAsia="MS PMincho" w:hAnsi="Baskerville" w:cs="Arabic Typesetting"/>
        </w:rPr>
        <w:t xml:space="preserve"> </w:t>
      </w:r>
      <w:r w:rsidR="0022313F" w:rsidRPr="007B25AE">
        <w:rPr>
          <w:rFonts w:ascii="Baskerville" w:eastAsia="MS PMincho" w:hAnsi="Baskerville" w:cs="Arabic Typesetting"/>
        </w:rPr>
        <w:t>t</w:t>
      </w:r>
      <w:r w:rsidRPr="007B25AE">
        <w:rPr>
          <w:rFonts w:ascii="Baskerville" w:eastAsia="MS PMincho" w:hAnsi="Baskerville" w:cs="Arabic Typesetting"/>
        </w:rPr>
        <w:t>hat seems to be the logical mathematical conclusion</w:t>
      </w:r>
      <w:r w:rsidR="0022313F" w:rsidRPr="007B25AE">
        <w:rPr>
          <w:rFonts w:ascii="Baskerville" w:eastAsia="MS PMincho" w:hAnsi="Baskerville" w:cs="Arabic Typesetting"/>
        </w:rPr>
        <w:t>,</w:t>
      </w:r>
      <w:r w:rsidRPr="007B25AE">
        <w:rPr>
          <w:rFonts w:ascii="Baskerville" w:eastAsia="MS PMincho" w:hAnsi="Baskerville" w:cs="Arabic Typesetting"/>
        </w:rPr>
        <w:t xml:space="preserve"> 0 </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 p</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0.  For, since the normal distribution curve is an </w:t>
      </w:r>
      <w:r w:rsidR="00091CFF" w:rsidRPr="007B25AE">
        <w:rPr>
          <w:rFonts w:ascii="Baskerville" w:eastAsia="MS PMincho" w:hAnsi="Baskerville" w:cs="Arabic Typesetting"/>
        </w:rPr>
        <w:t>“</w:t>
      </w:r>
      <w:r w:rsidRPr="007B25AE">
        <w:rPr>
          <w:rFonts w:ascii="Baskerville" w:eastAsia="MS PMincho" w:hAnsi="Baskerville" w:cs="Arabic Typesetting"/>
        </w:rPr>
        <w:t>asymptote,</w:t>
      </w:r>
      <w:r w:rsidR="00091CFF" w:rsidRPr="007B25AE">
        <w:rPr>
          <w:rFonts w:ascii="Baskerville" w:eastAsia="MS PMincho" w:hAnsi="Baskerville" w:cs="Arabic Typesetting"/>
        </w:rPr>
        <w:t>”</w:t>
      </w:r>
      <w:r w:rsidRPr="007B25AE">
        <w:rPr>
          <w:rFonts w:ascii="Baskerville" w:eastAsia="MS PMincho" w:hAnsi="Baskerville" w:cs="Arabic Typesetting"/>
        </w:rPr>
        <w:t xml:space="preserve"> we would have to conclude that p = { } is a "null set" or an "empty set</w:t>
      </w:r>
      <w:r w:rsidR="00091CFF" w:rsidRPr="007B25AE">
        <w:rPr>
          <w:rFonts w:ascii="Baskerville" w:eastAsia="MS PMincho" w:hAnsi="Baskerville" w:cs="Arabic Typesetting"/>
        </w:rPr>
        <w:t>.</w:t>
      </w:r>
      <w:r w:rsidRPr="007B25AE">
        <w:rPr>
          <w:rFonts w:ascii="Baskerville" w:eastAsia="MS PMincho" w:hAnsi="Baskerville" w:cs="Arabic Typesetting"/>
        </w:rPr>
        <w:t xml:space="preserve">" So, while we are forced to admit that there is such a thing as an </w:t>
      </w:r>
      <w:r w:rsidR="00C71FA0" w:rsidRPr="007B25AE">
        <w:rPr>
          <w:rFonts w:ascii="Baskerville" w:eastAsia="MS PMincho" w:hAnsi="Baskerville" w:cs="Arabic Typesetting"/>
        </w:rPr>
        <w:t>“</w:t>
      </w:r>
      <w:r w:rsidRPr="007B25AE">
        <w:rPr>
          <w:rFonts w:ascii="Baskerville" w:eastAsia="MS PMincho" w:hAnsi="Baskerville" w:cs="Arabic Typesetting"/>
        </w:rPr>
        <w:t>absolute certainty,</w:t>
      </w:r>
      <w:r w:rsidR="00C71FA0" w:rsidRPr="007B25AE">
        <w:rPr>
          <w:rFonts w:ascii="Baskerville" w:eastAsia="MS PMincho" w:hAnsi="Baskerville" w:cs="Arabic Typesetting"/>
        </w:rPr>
        <w:t>”</w:t>
      </w:r>
      <w:r w:rsidRPr="007B25AE">
        <w:rPr>
          <w:rFonts w:ascii="Baskerville" w:eastAsia="MS PMincho" w:hAnsi="Baskerville" w:cs="Arabic Typesetting"/>
        </w:rPr>
        <w:t xml:space="preserve"> out there somewhere, and perhaps admit the truth against the seeming absurdity </w:t>
      </w:r>
      <w:r w:rsidR="00D24531" w:rsidRPr="007B25AE">
        <w:rPr>
          <w:rFonts w:ascii="Baskerville" w:eastAsia="MS PMincho" w:hAnsi="Baskerville" w:cs="Arabic Typesetting"/>
        </w:rPr>
        <w:t>with</w:t>
      </w:r>
      <w:r w:rsidRPr="007B25AE">
        <w:rPr>
          <w:rFonts w:ascii="Baskerville" w:eastAsia="MS PMincho" w:hAnsi="Baskerville" w:cs="Arabic Typesetting"/>
        </w:rPr>
        <w:t xml:space="preserve"> the confidence of </w:t>
      </w:r>
      <w:r w:rsidR="00D24531" w:rsidRPr="007B25AE">
        <w:rPr>
          <w:rFonts w:ascii="Baskerville" w:eastAsia="MS PMincho" w:hAnsi="Baskerville" w:cs="Arabic Typesetting"/>
        </w:rPr>
        <w:t xml:space="preserve">there being </w:t>
      </w:r>
      <w:r w:rsidRPr="007B25AE">
        <w:rPr>
          <w:rFonts w:ascii="Baskerville" w:eastAsia="MS PMincho" w:hAnsi="Baskerville" w:cs="Arabic Typesetting"/>
        </w:rPr>
        <w:t xml:space="preserve">a "God", at 100% probability, statisticians </w:t>
      </w:r>
      <w:r w:rsidR="00091CFF" w:rsidRPr="007B25AE">
        <w:rPr>
          <w:rFonts w:ascii="Baskerville" w:eastAsia="MS PMincho" w:hAnsi="Baskerville" w:cs="Arabic Typesetting"/>
        </w:rPr>
        <w:t xml:space="preserve">would </w:t>
      </w:r>
      <w:r w:rsidRPr="007B25AE">
        <w:rPr>
          <w:rFonts w:ascii="Baskerville" w:eastAsia="MS PMincho" w:hAnsi="Baskerville" w:cs="Arabic Typesetting"/>
        </w:rPr>
        <w:t>tend to put on the breaks at 99.73%, or thereabout. What we do know is that when the p-value is less than or equal to 0.05</w:t>
      </w:r>
      <w:r w:rsidR="0022313F" w:rsidRPr="007B25AE">
        <w:rPr>
          <w:rFonts w:ascii="Baskerville" w:eastAsia="MS PMincho" w:hAnsi="Baskerville" w:cs="Arabic Typesetting"/>
        </w:rPr>
        <w:t>,</w:t>
      </w:r>
      <w:r w:rsidRPr="007B25AE">
        <w:rPr>
          <w:rFonts w:ascii="Baskerville" w:eastAsia="MS PMincho" w:hAnsi="Baskerville" w:cs="Arabic Typesetting"/>
        </w:rPr>
        <w:t xml:space="preserve"> or </w:t>
      </w:r>
      <w:r w:rsidR="005D1B0B" w:rsidRPr="007B25AE">
        <w:rPr>
          <w:rFonts w:ascii="Baskerville" w:eastAsia="MS PMincho" w:hAnsi="Baskerville" w:cs="Arabic Typesetting"/>
        </w:rPr>
        <w:t>has a statistical significance of</w:t>
      </w:r>
      <w:r w:rsidRPr="007B25AE">
        <w:rPr>
          <w:rFonts w:ascii="Baskerville" w:eastAsia="MS PMincho" w:hAnsi="Baskerville" w:cs="Arabic Typesetting"/>
        </w:rPr>
        <w:t xml:space="preserve"> 5%</w:t>
      </w:r>
      <w:r w:rsidR="003B3E2B" w:rsidRPr="007B25AE">
        <w:rPr>
          <w:rFonts w:ascii="Baskerville" w:eastAsia="MS PMincho" w:hAnsi="Baskerville" w:cs="Arabic Typesetting"/>
        </w:rPr>
        <w:t xml:space="preserve"> or less</w:t>
      </w:r>
      <w:r w:rsidRPr="007B25AE">
        <w:rPr>
          <w:rFonts w:ascii="Baskerville" w:eastAsia="MS PMincho" w:hAnsi="Baskerville" w:cs="Arabic Typesetting"/>
        </w:rPr>
        <w:t>, we are saying that the shaded area</w:t>
      </w:r>
      <w:r w:rsidR="00091CFF" w:rsidRPr="007B25AE">
        <w:rPr>
          <w:rFonts w:ascii="Baskerville" w:eastAsia="MS PMincho" w:hAnsi="Baskerville" w:cs="Arabic Typesetting"/>
        </w:rPr>
        <w:t xml:space="preserve"> </w:t>
      </w:r>
      <w:r w:rsidRPr="007B25AE">
        <w:rPr>
          <w:rFonts w:ascii="Baskerville" w:eastAsia="MS PMincho" w:hAnsi="Baskerville" w:cs="Arabic Typesetting"/>
        </w:rPr>
        <w:t xml:space="preserve">would be </w:t>
      </w:r>
      <w:r w:rsidR="003B3E2B" w:rsidRPr="007B25AE">
        <w:rPr>
          <w:rFonts w:ascii="Baskerville" w:eastAsia="MS PMincho" w:hAnsi="Baskerville" w:cs="Arabic Typesetting"/>
        </w:rPr>
        <w:t xml:space="preserve">at least </w:t>
      </w:r>
      <w:r w:rsidRPr="007B25AE">
        <w:rPr>
          <w:rFonts w:ascii="Baskerville" w:eastAsia="MS PMincho" w:hAnsi="Baskerville" w:cs="Arabic Typesetting"/>
        </w:rPr>
        <w:t>95%</w:t>
      </w:r>
      <w:r w:rsidR="00091CFF" w:rsidRPr="007B25AE">
        <w:rPr>
          <w:rFonts w:ascii="Baskerville" w:eastAsia="MS PMincho" w:hAnsi="Baskerville" w:cs="Arabic Typesetting"/>
        </w:rPr>
        <w:t xml:space="preserve">, which should provide plenty of </w:t>
      </w:r>
      <w:r w:rsidR="0022313F" w:rsidRPr="007B25AE">
        <w:rPr>
          <w:rFonts w:ascii="Baskerville" w:eastAsia="MS PMincho" w:hAnsi="Baskerville" w:cs="Arabic Typesetting"/>
        </w:rPr>
        <w:t>“</w:t>
      </w:r>
      <w:r w:rsidR="00091CFF" w:rsidRPr="007B25AE">
        <w:rPr>
          <w:rFonts w:ascii="Baskerville" w:eastAsia="MS PMincho" w:hAnsi="Baskerville" w:cs="Arabic Typesetting"/>
        </w:rPr>
        <w:t>confidence</w:t>
      </w:r>
      <w:r w:rsidRPr="007B25AE">
        <w:rPr>
          <w:rFonts w:ascii="Baskerville" w:eastAsia="MS PMincho" w:hAnsi="Baskerville" w:cs="Arabic Typesetting"/>
        </w:rPr>
        <w:t>.</w:t>
      </w:r>
      <w:r w:rsidR="0022313F" w:rsidRPr="007B25AE">
        <w:rPr>
          <w:rFonts w:ascii="Baskerville" w:eastAsia="MS PMincho" w:hAnsi="Baskerville" w:cs="Arabic Typesetting"/>
        </w:rPr>
        <w:t>”</w:t>
      </w:r>
      <w:r w:rsidRPr="007B25AE">
        <w:rPr>
          <w:rFonts w:ascii="Baskerville" w:eastAsia="MS PMincho" w:hAnsi="Baskerville" w:cs="Arabic Typesetting"/>
        </w:rPr>
        <w:t xml:space="preserve"> The </w:t>
      </w:r>
      <w:r w:rsidR="005D1B0B" w:rsidRPr="007B25AE">
        <w:rPr>
          <w:rFonts w:ascii="Baskerville" w:eastAsia="MS PMincho" w:hAnsi="Baskerville" w:cs="Arabic Typesetting"/>
        </w:rPr>
        <w:t>collinearity</w:t>
      </w:r>
      <w:r w:rsidRPr="007B25AE">
        <w:rPr>
          <w:rFonts w:ascii="Baskerville" w:eastAsia="MS PMincho" w:hAnsi="Baskerville" w:cs="Arabic Typesetting"/>
        </w:rPr>
        <w:t xml:space="preserve"> between the 0.05</w:t>
      </w:r>
      <w:r w:rsidR="005D1B0B" w:rsidRPr="007B25AE">
        <w:rPr>
          <w:rFonts w:ascii="Baskerville" w:eastAsia="MS PMincho" w:hAnsi="Baskerville" w:cs="Arabic Typesetting"/>
        </w:rPr>
        <w:t xml:space="preserve"> or less</w:t>
      </w:r>
      <w:r w:rsidRPr="007B25AE">
        <w:rPr>
          <w:rFonts w:ascii="Baskerville" w:eastAsia="MS PMincho" w:hAnsi="Baskerville" w:cs="Arabic Typesetting"/>
        </w:rPr>
        <w:t xml:space="preserve"> p-value, the 5% significance level, and the 95% </w:t>
      </w:r>
      <w:r w:rsidR="003B3E2B" w:rsidRPr="007B25AE">
        <w:rPr>
          <w:rFonts w:ascii="Baskerville" w:eastAsia="MS PMincho" w:hAnsi="Baskerville" w:cs="Arabic Typesetting"/>
        </w:rPr>
        <w:t xml:space="preserve">or greater </w:t>
      </w:r>
      <w:r w:rsidR="00091CFF" w:rsidRPr="007B25AE">
        <w:rPr>
          <w:rFonts w:ascii="Baskerville" w:eastAsia="MS PMincho" w:hAnsi="Baskerville" w:cs="Arabic Typesetting"/>
        </w:rPr>
        <w:t xml:space="preserve">level </w:t>
      </w:r>
      <w:r w:rsidRPr="007B25AE">
        <w:rPr>
          <w:rFonts w:ascii="Baskerville" w:eastAsia="MS PMincho" w:hAnsi="Baskerville" w:cs="Arabic Typesetting"/>
        </w:rPr>
        <w:t xml:space="preserve">of confidence </w:t>
      </w:r>
      <w:r w:rsidR="005D1B0B" w:rsidRPr="007B25AE">
        <w:rPr>
          <w:rFonts w:ascii="Baskerville" w:eastAsia="MS PMincho" w:hAnsi="Baskerville" w:cs="Arabic Typesetting"/>
        </w:rPr>
        <w:t>in</w:t>
      </w:r>
      <w:r w:rsidRPr="007B25AE">
        <w:rPr>
          <w:rFonts w:ascii="Baskerville" w:eastAsia="MS PMincho" w:hAnsi="Baskerville" w:cs="Arabic Typesetting"/>
        </w:rPr>
        <w:t xml:space="preserve"> </w:t>
      </w:r>
      <w:r w:rsidR="0022313F" w:rsidRPr="007B25AE">
        <w:rPr>
          <w:rFonts w:ascii="Baskerville" w:eastAsia="MS PMincho" w:hAnsi="Baskerville" w:cs="Arabic Typesetting"/>
        </w:rPr>
        <w:t xml:space="preserve">the viability </w:t>
      </w:r>
      <w:r w:rsidR="00143930" w:rsidRPr="007B25AE">
        <w:rPr>
          <w:rFonts w:ascii="Baskerville" w:eastAsia="MS PMincho" w:hAnsi="Baskerville" w:cs="Arabic Typesetting"/>
        </w:rPr>
        <w:t xml:space="preserve">of </w:t>
      </w:r>
      <w:r w:rsidR="005D1B0B" w:rsidRPr="007B25AE">
        <w:rPr>
          <w:rFonts w:ascii="Baskerville" w:eastAsia="MS PMincho" w:hAnsi="Baskerville" w:cs="Arabic Typesetting"/>
        </w:rPr>
        <w:t>H</w:t>
      </w:r>
      <w:r w:rsidR="005D1B0B" w:rsidRPr="007B25AE">
        <w:rPr>
          <w:rFonts w:ascii="Baskerville" w:eastAsia="MS PMincho" w:hAnsi="Baskerville" w:cs="Arabic Typesetting"/>
          <w:sz w:val="32"/>
          <w:szCs w:val="32"/>
          <w:vertAlign w:val="subscript"/>
        </w:rPr>
        <w:t>a</w:t>
      </w:r>
      <w:r w:rsidR="005173D9" w:rsidRPr="007B25AE">
        <w:rPr>
          <w:rFonts w:ascii="Baskerville" w:eastAsia="MS PMincho" w:hAnsi="Baskerville" w:cs="Arabic Typesetting"/>
        </w:rPr>
        <w:t>,</w:t>
      </w:r>
      <w:r w:rsidR="00143930" w:rsidRPr="007B25AE">
        <w:rPr>
          <w:rFonts w:ascii="Baskerville" w:eastAsia="MS PMincho" w:hAnsi="Baskerville" w:cs="Arabic Typesetting"/>
        </w:rPr>
        <w:t xml:space="preserve"> </w:t>
      </w:r>
      <w:r w:rsidRPr="007B25AE">
        <w:rPr>
          <w:rFonts w:ascii="Baskerville" w:eastAsia="MS PMincho" w:hAnsi="Baskerville" w:cs="Arabic Typesetting"/>
        </w:rPr>
        <w:t xml:space="preserve">would be right at the second standard deviation, guaranteeing a rejection of </w:t>
      </w:r>
      <w:r w:rsidR="00E572EF" w:rsidRPr="007B25AE">
        <w:rPr>
          <w:rFonts w:ascii="Baskerville" w:eastAsia="MS PMincho" w:hAnsi="Baskerville" w:cs="Arabic Typesetting"/>
        </w:rPr>
        <w:t>the null hypothesis (</w:t>
      </w:r>
      <w:r w:rsidRPr="007B25AE">
        <w:rPr>
          <w:rFonts w:ascii="Baskerville" w:eastAsia="MS PMincho" w:hAnsi="Baskerville" w:cs="Arabic Typesetting"/>
        </w:rPr>
        <w:t>H</w:t>
      </w:r>
      <w:r w:rsidRPr="007B25AE">
        <w:rPr>
          <w:rFonts w:ascii="Baskerville" w:eastAsia="MS PMincho" w:hAnsi="Baskerville" w:cs="Arabic Typesetting"/>
          <w:vertAlign w:val="subscript"/>
        </w:rPr>
        <w:t>0</w:t>
      </w:r>
      <w:r w:rsidR="00E572EF" w:rsidRPr="007B25AE">
        <w:rPr>
          <w:rFonts w:ascii="Baskerville" w:eastAsia="MS PMincho" w:hAnsi="Baskerville" w:cs="Arabic Typesetting"/>
        </w:rPr>
        <w:t>)</w:t>
      </w:r>
      <w:r w:rsidRPr="007B25AE">
        <w:rPr>
          <w:rFonts w:ascii="Baskerville" w:eastAsia="MS PMincho" w:hAnsi="Baskerville" w:cs="Arabic Typesetting"/>
        </w:rPr>
        <w:t xml:space="preserve">.  </w:t>
      </w:r>
    </w:p>
    <w:p w14:paraId="25A09772" w14:textId="3C027490" w:rsidR="00BF4CBA" w:rsidRPr="007B25AE" w:rsidRDefault="00BF4CBA" w:rsidP="00BF4CBA">
      <w:pPr>
        <w:spacing w:line="360" w:lineRule="auto"/>
        <w:rPr>
          <w:rFonts w:ascii="Baskerville" w:eastAsia="MS PMincho" w:hAnsi="Baskerville" w:cs="Arabic Typesetting"/>
        </w:rPr>
      </w:pPr>
      <w:r w:rsidRPr="007B25AE">
        <w:rPr>
          <w:rFonts w:ascii="Baskerville" w:eastAsia="MS PMincho" w:hAnsi="Baskerville" w:cs="Arabic Typesetting"/>
        </w:rPr>
        <w:tab/>
        <w:t>Since the object is to "reject" or "not reject" the null hypothesis</w:t>
      </w:r>
      <w:r w:rsidR="00143930" w:rsidRPr="007B25AE">
        <w:rPr>
          <w:rFonts w:ascii="Baskerville" w:eastAsia="MS PMincho" w:hAnsi="Baskerville" w:cs="Arabic Typesetting"/>
        </w:rPr>
        <w:t>,</w:t>
      </w:r>
      <w:r w:rsidR="003B3E2B" w:rsidRPr="007B25AE">
        <w:rPr>
          <w:rFonts w:ascii="Baskerville" w:eastAsia="MS PMincho" w:hAnsi="Baskerville" w:cs="Arabic Typesetting"/>
        </w:rPr>
        <w:t xml:space="preserve"> when </w:t>
      </w:r>
      <w:r w:rsidR="00143930" w:rsidRPr="007B25AE">
        <w:rPr>
          <w:rFonts w:ascii="Baskerville" w:eastAsia="MS PMincho" w:hAnsi="Baskerville" w:cs="Arabic Typesetting"/>
        </w:rPr>
        <w:t xml:space="preserve">a </w:t>
      </w:r>
      <w:r w:rsidRPr="007B25AE">
        <w:rPr>
          <w:rFonts w:ascii="Baskerville" w:eastAsia="MS PMincho" w:hAnsi="Baskerville" w:cs="Arabic Typesetting"/>
        </w:rPr>
        <w:t xml:space="preserve">p-value of 0.05 </w:t>
      </w:r>
      <w:r w:rsidR="003B3E2B" w:rsidRPr="007B25AE">
        <w:rPr>
          <w:rFonts w:ascii="Baskerville" w:eastAsia="MS PMincho" w:hAnsi="Baskerville" w:cs="Arabic Typesetting"/>
        </w:rPr>
        <w:t xml:space="preserve">is assigned, we </w:t>
      </w:r>
      <w:r w:rsidR="001F6FB9" w:rsidRPr="007B25AE">
        <w:rPr>
          <w:rFonts w:ascii="Baskerville" w:eastAsia="MS PMincho" w:hAnsi="Baskerville" w:cs="Arabic Typesetting"/>
        </w:rPr>
        <w:t>would say</w:t>
      </w:r>
      <w:r w:rsidR="003B3E2B" w:rsidRPr="007B25AE">
        <w:rPr>
          <w:rFonts w:ascii="Baskerville" w:eastAsia="MS PMincho" w:hAnsi="Baskerville" w:cs="Arabic Typesetting"/>
        </w:rPr>
        <w:t xml:space="preserve"> that we have </w:t>
      </w:r>
      <w:r w:rsidRPr="007B25AE">
        <w:rPr>
          <w:rFonts w:ascii="Baskerville" w:eastAsia="MS PMincho" w:hAnsi="Baskerville" w:cs="Arabic Typesetting"/>
        </w:rPr>
        <w:t>a rejection of the null hypothesis (H</w:t>
      </w:r>
      <w:r w:rsidRPr="007B25AE">
        <w:rPr>
          <w:rFonts w:ascii="Baskerville" w:eastAsia="MS PMincho" w:hAnsi="Baskerville" w:cs="Arabic Typesetting"/>
          <w:vertAlign w:val="subscript"/>
        </w:rPr>
        <w:t>0</w:t>
      </w:r>
      <w:r w:rsidRPr="007B25AE">
        <w:rPr>
          <w:rFonts w:ascii="Baskerville" w:eastAsia="MS PMincho" w:hAnsi="Baskerville" w:cs="Arabic Typesetting"/>
        </w:rPr>
        <w:t>) rather than an acceptance of the alternative hypothesis</w:t>
      </w:r>
      <w:r w:rsidR="00D94995" w:rsidRPr="007B25AE">
        <w:rPr>
          <w:rFonts w:ascii="Baskerville" w:eastAsia="MS PMincho" w:hAnsi="Baskerville" w:cs="Arabic Typesetting"/>
        </w:rPr>
        <w:t xml:space="preserve"> (H</w:t>
      </w:r>
      <w:r w:rsidR="00D94995" w:rsidRPr="007B25AE">
        <w:rPr>
          <w:rFonts w:ascii="Baskerville" w:eastAsia="MS PMincho" w:hAnsi="Baskerville" w:cs="Arabic Typesetting"/>
          <w:sz w:val="32"/>
          <w:szCs w:val="32"/>
          <w:vertAlign w:val="subscript"/>
        </w:rPr>
        <w:t>a</w:t>
      </w:r>
      <w:r w:rsidR="00D94995" w:rsidRPr="007B25AE">
        <w:rPr>
          <w:rFonts w:ascii="Baskerville" w:eastAsia="MS PMincho" w:hAnsi="Baskerville" w:cs="Arabic Typesetting"/>
        </w:rPr>
        <w:t xml:space="preserve">). </w:t>
      </w:r>
      <w:r w:rsidR="001F6FB9" w:rsidRPr="007B25AE">
        <w:rPr>
          <w:rFonts w:ascii="Baskerville" w:eastAsia="MS PMincho" w:hAnsi="Baskerville" w:cs="Arabic Typesetting"/>
        </w:rPr>
        <w:t>W</w:t>
      </w:r>
      <w:r w:rsidRPr="007B25AE">
        <w:rPr>
          <w:rFonts w:ascii="Baskerville" w:eastAsia="MS PMincho" w:hAnsi="Baskerville" w:cs="Arabic Typesetting"/>
        </w:rPr>
        <w:t>hat this means is that by "default</w:t>
      </w:r>
      <w:r w:rsidR="00143930" w:rsidRPr="007B25AE">
        <w:rPr>
          <w:rFonts w:ascii="Baskerville" w:eastAsia="MS PMincho" w:hAnsi="Baskerville" w:cs="Arabic Typesetting"/>
        </w:rPr>
        <w:t>,</w:t>
      </w:r>
      <w:r w:rsidRPr="007B25AE">
        <w:rPr>
          <w:rFonts w:ascii="Baskerville" w:eastAsia="MS PMincho" w:hAnsi="Baskerville" w:cs="Arabic Typesetting"/>
        </w:rPr>
        <w:t>" the alternative hypothesis</w:t>
      </w:r>
      <w:r w:rsidR="003B3E2B" w:rsidRPr="007B25AE">
        <w:rPr>
          <w:rFonts w:ascii="Baskerville" w:eastAsia="MS PMincho" w:hAnsi="Baskerville" w:cs="Arabic Typesetting"/>
        </w:rPr>
        <w:t>,</w:t>
      </w:r>
      <w:r w:rsidRPr="007B25AE">
        <w:rPr>
          <w:rFonts w:ascii="Baskerville" w:eastAsia="MS PMincho" w:hAnsi="Baskerville" w:cs="Arabic Typesetting"/>
        </w:rPr>
        <w:t xml:space="preserve"> </w:t>
      </w:r>
      <w:r w:rsidR="00D94995" w:rsidRPr="007B25AE">
        <w:rPr>
          <w:rFonts w:ascii="Baskerville" w:eastAsia="MS PMincho" w:hAnsi="Baskerville" w:cs="Arabic Typesetting"/>
        </w:rPr>
        <w:t>being</w:t>
      </w:r>
      <w:r w:rsidRPr="007B25AE">
        <w:rPr>
          <w:rFonts w:ascii="Baskerville" w:eastAsia="MS PMincho" w:hAnsi="Baskerville" w:cs="Arabic Typesetting"/>
        </w:rPr>
        <w:t xml:space="preserve"> "</w:t>
      </w:r>
      <w:r w:rsidR="00D94995" w:rsidRPr="007B25AE">
        <w:rPr>
          <w:rFonts w:ascii="Baskerville" w:eastAsia="MS PMincho" w:hAnsi="Baskerville" w:cs="Arabic Typesetting"/>
        </w:rPr>
        <w:t>not rejected</w:t>
      </w:r>
      <w:r w:rsidRPr="007B25AE">
        <w:rPr>
          <w:rFonts w:ascii="Baskerville" w:eastAsia="MS PMincho" w:hAnsi="Baskerville" w:cs="Arabic Typesetting"/>
        </w:rPr>
        <w:t>"</w:t>
      </w:r>
      <w:r w:rsidR="00D94995" w:rsidRPr="007B25AE">
        <w:rPr>
          <w:rFonts w:ascii="Baskerville" w:eastAsia="MS PMincho" w:hAnsi="Baskerville" w:cs="Arabic Typesetting"/>
        </w:rPr>
        <w:t>—is viable</w:t>
      </w:r>
      <w:r w:rsidRPr="007B25AE">
        <w:rPr>
          <w:rFonts w:ascii="Baskerville" w:eastAsia="MS PMincho" w:hAnsi="Baskerville" w:cs="Arabic Typesetting"/>
        </w:rPr>
        <w:t xml:space="preserve">. </w:t>
      </w:r>
    </w:p>
    <w:p w14:paraId="1CDEB38D" w14:textId="7A9CDC28" w:rsidR="00BF4CBA" w:rsidRPr="007B25AE" w:rsidRDefault="00BF4CBA" w:rsidP="00BF4CBA">
      <w:pPr>
        <w:spacing w:line="360" w:lineRule="auto"/>
        <w:rPr>
          <w:rFonts w:ascii="Baskerville" w:eastAsia="MS PMincho" w:hAnsi="Baskerville" w:cs="Arabic Typesetting"/>
        </w:rPr>
      </w:pPr>
      <w:r w:rsidRPr="007B25AE">
        <w:rPr>
          <w:rFonts w:ascii="Baskerville" w:eastAsia="MS PMincho" w:hAnsi="Baskerville" w:cs="Arabic Typesetting"/>
        </w:rPr>
        <w:tab/>
        <w:t xml:space="preserve">Likewise, a p-value of 0.03 </w:t>
      </w:r>
      <w:r w:rsidR="003B3E2B" w:rsidRPr="007B25AE">
        <w:rPr>
          <w:rFonts w:ascii="Baskerville" w:eastAsia="MS PMincho" w:hAnsi="Baskerville" w:cs="Arabic Typesetting"/>
        </w:rPr>
        <w:t>with a</w:t>
      </w:r>
      <w:r w:rsidRPr="007B25AE">
        <w:rPr>
          <w:rFonts w:ascii="Baskerville" w:eastAsia="MS PMincho" w:hAnsi="Baskerville" w:cs="Arabic Typesetting"/>
        </w:rPr>
        <w:t xml:space="preserve"> </w:t>
      </w:r>
      <w:r w:rsidR="00D94995" w:rsidRPr="007B25AE">
        <w:rPr>
          <w:rFonts w:ascii="Baskerville" w:eastAsia="MS PMincho" w:hAnsi="Baskerville" w:cs="Arabic Typesetting"/>
        </w:rPr>
        <w:t xml:space="preserve">probable </w:t>
      </w:r>
      <w:r w:rsidRPr="007B25AE">
        <w:rPr>
          <w:rFonts w:ascii="Baskerville" w:eastAsia="MS PMincho" w:hAnsi="Baskerville" w:cs="Arabic Typesetting"/>
        </w:rPr>
        <w:t>significance</w:t>
      </w:r>
      <w:r w:rsidR="003B3E2B" w:rsidRPr="007B25AE">
        <w:rPr>
          <w:rFonts w:ascii="Baskerville" w:eastAsia="MS PMincho" w:hAnsi="Baskerville" w:cs="Arabic Typesetting"/>
        </w:rPr>
        <w:t>, starting at 3% or less,</w:t>
      </w:r>
      <w:r w:rsidRPr="007B25AE">
        <w:rPr>
          <w:rFonts w:ascii="Baskerville" w:eastAsia="MS PMincho" w:hAnsi="Baskerville" w:cs="Arabic Typesetting"/>
        </w:rPr>
        <w:t xml:space="preserve"> would </w:t>
      </w:r>
      <w:r w:rsidR="001C775A" w:rsidRPr="007B25AE">
        <w:rPr>
          <w:rFonts w:ascii="Baskerville" w:eastAsia="MS PMincho" w:hAnsi="Baskerville" w:cs="Arabic Typesetting"/>
        </w:rPr>
        <w:t xml:space="preserve">be left with a </w:t>
      </w:r>
      <w:r w:rsidR="001F6FB9" w:rsidRPr="007B25AE">
        <w:rPr>
          <w:rFonts w:ascii="Baskerville" w:eastAsia="MS PMincho" w:hAnsi="Baskerville" w:cs="Arabic Typesetting"/>
        </w:rPr>
        <w:t xml:space="preserve">97%, </w:t>
      </w:r>
      <w:r w:rsidRPr="007B25AE">
        <w:rPr>
          <w:rFonts w:ascii="Baskerville" w:eastAsia="MS PMincho" w:hAnsi="Baskerville" w:cs="Arabic Typesetting"/>
        </w:rPr>
        <w:t xml:space="preserve">shaded area </w:t>
      </w:r>
      <w:r w:rsidR="001C775A" w:rsidRPr="007B25AE">
        <w:rPr>
          <w:rFonts w:ascii="Baskerville" w:eastAsia="MS PMincho" w:hAnsi="Baskerville" w:cs="Arabic Typesetting"/>
        </w:rPr>
        <w:t>under the curve</w:t>
      </w:r>
      <w:r w:rsidR="001F6FB9" w:rsidRPr="007B25AE">
        <w:rPr>
          <w:rFonts w:ascii="Baskerville" w:eastAsia="MS PMincho" w:hAnsi="Baskerville" w:cs="Arabic Typesetting"/>
        </w:rPr>
        <w:t>,</w:t>
      </w:r>
      <w:r w:rsidR="00D94995" w:rsidRPr="007B25AE">
        <w:rPr>
          <w:rFonts w:ascii="Baskerville" w:eastAsia="MS PMincho" w:hAnsi="Baskerville" w:cs="Arabic Typesetting"/>
        </w:rPr>
        <w:t xml:space="preserve"> </w:t>
      </w:r>
      <w:r w:rsidR="001C775A" w:rsidRPr="007B25AE">
        <w:rPr>
          <w:rFonts w:ascii="Baskerville" w:eastAsia="MS PMincho" w:hAnsi="Baskerville" w:cs="Arabic Typesetting"/>
        </w:rPr>
        <w:t>leaving just the tails tapering off into</w:t>
      </w:r>
      <w:r w:rsidR="00143930" w:rsidRPr="007B25AE">
        <w:rPr>
          <w:rFonts w:ascii="Baskerville" w:eastAsia="MS PMincho" w:hAnsi="Baskerville" w:cs="Arabic Typesetting"/>
        </w:rPr>
        <w:t>,</w:t>
      </w:r>
      <w:r w:rsidR="001C775A" w:rsidRPr="007B25AE">
        <w:rPr>
          <w:rFonts w:ascii="Baskerville" w:eastAsia="MS PMincho" w:hAnsi="Baskerville" w:cs="Arabic Typesetting"/>
        </w:rPr>
        <w:t xml:space="preserve"> God knows where</w:t>
      </w:r>
      <w:r w:rsidRPr="007B25AE">
        <w:rPr>
          <w:rFonts w:ascii="Baskerville" w:eastAsia="MS PMincho" w:hAnsi="Baskerville" w:cs="Arabic Typesetting"/>
        </w:rPr>
        <w:t xml:space="preserve">. With </w:t>
      </w:r>
      <w:r w:rsidR="00D94995" w:rsidRPr="007B25AE">
        <w:rPr>
          <w:rFonts w:ascii="Baskerville" w:eastAsia="MS PMincho" w:hAnsi="Baskerville" w:cs="Arabic Typesetting"/>
        </w:rPr>
        <w:t>that</w:t>
      </w:r>
      <w:r w:rsidRPr="007B25AE">
        <w:rPr>
          <w:rFonts w:ascii="Baskerville" w:eastAsia="MS PMincho" w:hAnsi="Baskerville" w:cs="Arabic Typesetting"/>
        </w:rPr>
        <w:t xml:space="preserve"> confidence </w:t>
      </w:r>
      <w:r w:rsidR="00143930" w:rsidRPr="007B25AE">
        <w:rPr>
          <w:rFonts w:ascii="Baskerville" w:eastAsia="MS PMincho" w:hAnsi="Baskerville" w:cs="Arabic Typesetting"/>
        </w:rPr>
        <w:t xml:space="preserve">level </w:t>
      </w:r>
      <w:r w:rsidRPr="007B25AE">
        <w:rPr>
          <w:rFonts w:ascii="Baskerville" w:eastAsia="MS PMincho" w:hAnsi="Baskerville" w:cs="Arabic Typesetting"/>
        </w:rPr>
        <w:t xml:space="preserve">of 97% probability, the significance level would be very nearly </w:t>
      </w:r>
      <w:r w:rsidR="00570FFE" w:rsidRPr="007B25AE">
        <w:rPr>
          <w:rFonts w:ascii="Baskerville" w:eastAsia="MS PMincho" w:hAnsi="Baskerville" w:cs="Arabic Typesetting"/>
        </w:rPr>
        <w:t>“</w:t>
      </w:r>
      <w:r w:rsidRPr="007B25AE">
        <w:rPr>
          <w:rFonts w:ascii="Baskerville" w:eastAsia="MS PMincho" w:hAnsi="Baskerville" w:cs="Arabic Typesetting"/>
        </w:rPr>
        <w:t>absolute rejection,</w:t>
      </w:r>
      <w:r w:rsidR="00570FFE" w:rsidRPr="007B25AE">
        <w:rPr>
          <w:rFonts w:ascii="Baskerville" w:eastAsia="MS PMincho" w:hAnsi="Baskerville" w:cs="Arabic Typesetting"/>
        </w:rPr>
        <w:t>”</w:t>
      </w:r>
      <w:r w:rsidRPr="007B25AE">
        <w:rPr>
          <w:rFonts w:ascii="Baskerville" w:eastAsia="MS PMincho" w:hAnsi="Baskerville" w:cs="Arabic Typesetting"/>
        </w:rPr>
        <w:t xml:space="preserve"> approaching three standard deviations to the right of the mean</w:t>
      </w:r>
      <w:r w:rsidR="00F4482A" w:rsidRPr="007B25AE">
        <w:rPr>
          <w:rFonts w:ascii="Baskerville" w:eastAsia="MS PMincho" w:hAnsi="Baskerville" w:cs="Arabic Typesetting"/>
        </w:rPr>
        <w:t xml:space="preserve"> for the positive tail</w:t>
      </w:r>
      <w:r w:rsidRPr="007B25AE">
        <w:rPr>
          <w:rFonts w:ascii="Baskerville" w:eastAsia="MS PMincho" w:hAnsi="Baskerville" w:cs="Arabic Typesetting"/>
        </w:rPr>
        <w:t xml:space="preserve">.      </w:t>
      </w:r>
    </w:p>
    <w:p w14:paraId="269AF879" w14:textId="56D1EBB0" w:rsidR="00BF4CBA" w:rsidRPr="007B25AE" w:rsidRDefault="00BF4CBA" w:rsidP="00BF4CBA">
      <w:pPr>
        <w:spacing w:line="360" w:lineRule="auto"/>
        <w:rPr>
          <w:rFonts w:ascii="Baskerville" w:eastAsia="MS PMincho" w:hAnsi="Baskerville" w:cs="Arabic Typesetting"/>
        </w:rPr>
      </w:pPr>
      <w:r w:rsidRPr="007B25AE">
        <w:rPr>
          <w:rFonts w:ascii="Baskerville" w:eastAsia="MS PMincho" w:hAnsi="Baskerville" w:cs="Arabic Typesetting"/>
        </w:rPr>
        <w:tab/>
        <w:t>Of course, care must be taken to ensure that the test used is the one most suited to the study at hand. The reason why we need to take such special care in the test selection is t</w:t>
      </w:r>
      <w:r w:rsidR="002B11ED" w:rsidRPr="007B25AE">
        <w:rPr>
          <w:rFonts w:ascii="Baskerville" w:eastAsia="MS PMincho" w:hAnsi="Baskerville" w:cs="Arabic Typesetting"/>
        </w:rPr>
        <w:t xml:space="preserve">hat we </w:t>
      </w:r>
      <w:proofErr w:type="gramStart"/>
      <w:r w:rsidR="002B11ED" w:rsidRPr="007B25AE">
        <w:rPr>
          <w:rFonts w:ascii="Baskerville" w:eastAsia="MS PMincho" w:hAnsi="Baskerville" w:cs="Arabic Typesetting"/>
        </w:rPr>
        <w:t>have to</w:t>
      </w:r>
      <w:proofErr w:type="gramEnd"/>
      <w:r w:rsidR="002B11ED" w:rsidRPr="007B25AE">
        <w:rPr>
          <w:rFonts w:ascii="Baskerville" w:eastAsia="MS PMincho" w:hAnsi="Baskerville" w:cs="Arabic Typesetting"/>
        </w:rPr>
        <w:t xml:space="preserve"> be </w:t>
      </w:r>
      <w:r w:rsidRPr="007B25AE">
        <w:rPr>
          <w:rFonts w:ascii="Baskerville" w:eastAsia="MS PMincho" w:hAnsi="Baskerville" w:cs="Arabic Typesetting"/>
        </w:rPr>
        <w:t xml:space="preserve">sure that the p-value we obtain is the right fit. </w:t>
      </w:r>
      <w:r w:rsidR="00380173" w:rsidRPr="007B25AE">
        <w:rPr>
          <w:rFonts w:ascii="Baskerville" w:eastAsia="MS PMincho" w:hAnsi="Baskerville" w:cs="Arabic Typesetting"/>
        </w:rPr>
        <w:t xml:space="preserve">The question is asked, </w:t>
      </w:r>
      <w:r w:rsidRPr="007B25AE">
        <w:rPr>
          <w:rFonts w:ascii="Baskerville" w:eastAsia="MS PMincho" w:hAnsi="Baskerville" w:cs="Arabic Typesetting"/>
        </w:rPr>
        <w:t xml:space="preserve">how do we then </w:t>
      </w:r>
      <w:r w:rsidR="00570FFE" w:rsidRPr="007B25AE">
        <w:rPr>
          <w:rFonts w:ascii="Baskerville" w:eastAsia="MS PMincho" w:hAnsi="Baskerville" w:cs="Arabic Typesetting"/>
        </w:rPr>
        <w:t>determine what a suitable</w:t>
      </w:r>
      <w:r w:rsidRPr="007B25AE">
        <w:rPr>
          <w:rFonts w:ascii="Baskerville" w:eastAsia="MS PMincho" w:hAnsi="Baskerville" w:cs="Arabic Typesetting"/>
        </w:rPr>
        <w:t xml:space="preserve"> p-value</w:t>
      </w:r>
      <w:r w:rsidR="00380173" w:rsidRPr="007B25AE">
        <w:rPr>
          <w:rFonts w:ascii="Baskerville" w:eastAsia="MS PMincho" w:hAnsi="Baskerville" w:cs="Arabic Typesetting"/>
        </w:rPr>
        <w:t xml:space="preserve"> is</w:t>
      </w:r>
      <w:r w:rsidRPr="007B25AE">
        <w:rPr>
          <w:rFonts w:ascii="Baskerville" w:eastAsia="MS PMincho" w:hAnsi="Baskerville" w:cs="Arabic Typesetting"/>
        </w:rPr>
        <w:t xml:space="preserve">? </w:t>
      </w:r>
      <w:r w:rsidR="00380173" w:rsidRPr="007B25AE">
        <w:rPr>
          <w:rFonts w:ascii="Baskerville" w:eastAsia="MS PMincho" w:hAnsi="Baskerville" w:cs="Arabic Typesetting"/>
        </w:rPr>
        <w:t xml:space="preserve"> Hale &amp; Carlson tell us that </w:t>
      </w:r>
      <w:r w:rsidRPr="007B25AE">
        <w:rPr>
          <w:rFonts w:ascii="Baskerville" w:eastAsia="MS PMincho" w:hAnsi="Baskerville" w:cs="Arabic Typesetting"/>
        </w:rPr>
        <w:t xml:space="preserve">"The p-value is the probability of a specific statistical model that a statistical summary of the data (i.e., the sample mean difference between two compared groups) would be equal to, or more extreme than its observed value" (Hale &amp; Carlson, 2016). </w:t>
      </w:r>
    </w:p>
    <w:p w14:paraId="223B020A" w14:textId="6BB7226A" w:rsidR="00BF4CBA" w:rsidRPr="007B25AE" w:rsidRDefault="00BF4CBA" w:rsidP="00BF4CBA">
      <w:pPr>
        <w:spacing w:line="360" w:lineRule="auto"/>
        <w:rPr>
          <w:rFonts w:ascii="Baskerville" w:eastAsia="MS PMincho" w:hAnsi="Baskerville" w:cs="Arabic Typesetting"/>
        </w:rPr>
      </w:pPr>
      <w:r w:rsidRPr="007B25AE">
        <w:rPr>
          <w:rFonts w:ascii="Baskerville" w:eastAsia="MS PMincho" w:hAnsi="Baskerville" w:cs="Arabic Typesetting"/>
        </w:rPr>
        <w:tab/>
        <w:t xml:space="preserve">Once we assume that the researcher has done his due diligence and has arrived at </w:t>
      </w:r>
      <w:r w:rsidR="00253D17" w:rsidRPr="007B25AE">
        <w:rPr>
          <w:rFonts w:ascii="Baskerville" w:eastAsia="MS PMincho" w:hAnsi="Baskerville" w:cs="Arabic Typesetting"/>
        </w:rPr>
        <w:t>the initially identified</w:t>
      </w:r>
      <w:r w:rsidRPr="007B25AE">
        <w:rPr>
          <w:rFonts w:ascii="Baskerville" w:eastAsia="MS PMincho" w:hAnsi="Baskerville" w:cs="Arabic Typesetting"/>
        </w:rPr>
        <w:t xml:space="preserve"> p-value of 0.02</w:t>
      </w:r>
      <w:r w:rsidR="00380173" w:rsidRPr="007B25AE">
        <w:rPr>
          <w:rFonts w:ascii="Baskerville" w:eastAsia="MS PMincho" w:hAnsi="Baskerville" w:cs="Arabic Typesetting"/>
        </w:rPr>
        <w:t>,</w:t>
      </w:r>
      <w:r w:rsidRPr="007B25AE">
        <w:rPr>
          <w:rFonts w:ascii="Baskerville" w:eastAsia="MS PMincho" w:hAnsi="Baskerville" w:cs="Arabic Typesetting"/>
        </w:rPr>
        <w:t xml:space="preserve"> in respect to the number of Black high school seniors who entered teach</w:t>
      </w:r>
      <w:r w:rsidR="00380173" w:rsidRPr="007B25AE">
        <w:rPr>
          <w:rFonts w:ascii="Baskerville" w:eastAsia="MS PMincho" w:hAnsi="Baskerville" w:cs="Arabic Typesetting"/>
        </w:rPr>
        <w:t xml:space="preserve">ing </w:t>
      </w:r>
      <w:r w:rsidRPr="007B25AE">
        <w:rPr>
          <w:rFonts w:ascii="Baskerville" w:eastAsia="MS PMincho" w:hAnsi="Baskerville" w:cs="Arabic Typesetting"/>
        </w:rPr>
        <w:t xml:space="preserve">as the career goal on their college application </w:t>
      </w:r>
      <w:r w:rsidR="00570FFE" w:rsidRPr="007B25AE">
        <w:rPr>
          <w:rFonts w:ascii="Baskerville" w:eastAsia="MS PMincho" w:hAnsi="Baskerville" w:cs="Arabic Typesetting"/>
        </w:rPr>
        <w:t>are</w:t>
      </w:r>
      <w:r w:rsidRPr="007B25AE">
        <w:rPr>
          <w:rFonts w:ascii="Baskerville" w:eastAsia="MS PMincho" w:hAnsi="Baskerville" w:cs="Arabic Typesetting"/>
        </w:rPr>
        <w:t xml:space="preserve"> decreas</w:t>
      </w:r>
      <w:r w:rsidR="00570FFE" w:rsidRPr="007B25AE">
        <w:rPr>
          <w:rFonts w:ascii="Baskerville" w:eastAsia="MS PMincho" w:hAnsi="Baskerville" w:cs="Arabic Typesetting"/>
        </w:rPr>
        <w:t>ing, we are ready to run the test</w:t>
      </w:r>
      <w:r w:rsidRPr="007B25AE">
        <w:rPr>
          <w:rFonts w:ascii="Baskerville" w:eastAsia="MS PMincho" w:hAnsi="Baskerville" w:cs="Arabic Typesetting"/>
        </w:rPr>
        <w:t xml:space="preserve">. However, the researcher now has the four pieces needed to satisfy the outcome of the test: (1) the null hypothesis (2) the alternative hypothesis (3) the significance level, and (4) the p-value.                                                            </w:t>
      </w:r>
    </w:p>
    <w:p w14:paraId="7CE45196" w14:textId="5AAA7F52" w:rsidR="00771A33" w:rsidRPr="007B25AE" w:rsidRDefault="00BF4CBA" w:rsidP="009F2A48">
      <w:pPr>
        <w:spacing w:line="360" w:lineRule="auto"/>
        <w:ind w:firstLine="720"/>
        <w:rPr>
          <w:rFonts w:ascii="Baskerville" w:eastAsia="MS PMincho" w:hAnsi="Baskerville" w:cs="Arabic Typesetting"/>
        </w:rPr>
      </w:pPr>
      <w:r w:rsidRPr="007B25AE">
        <w:rPr>
          <w:rFonts w:ascii="Baskerville" w:eastAsia="MS PMincho" w:hAnsi="Baskerville" w:cs="Arabic Typesetting"/>
        </w:rPr>
        <w:t>Obviously, every sample has a mean (</w:t>
      </w:r>
      <w:r w:rsidR="003759CA" w:rsidRPr="007B25AE">
        <w:rPr>
          <w:rFonts w:ascii="Baskerville" w:eastAsia="MS PMincho" w:hAnsi="Baskerville" w:cs="Arabic Typesetting"/>
        </w:rPr>
        <w:t>an x-bar</w:t>
      </w:r>
      <w:r w:rsidRPr="007B25AE">
        <w:rPr>
          <w:rFonts w:ascii="Baskerville" w:eastAsia="MS PMincho" w:hAnsi="Baskerville" w:cs="Arabic Typesetting"/>
        </w:rPr>
        <w:t xml:space="preserve">) although the mean of </w:t>
      </w:r>
      <w:r w:rsidR="003759CA" w:rsidRPr="007B25AE">
        <w:rPr>
          <w:rFonts w:ascii="Baskerville" w:eastAsia="MS PMincho" w:hAnsi="Baskerville" w:cs="Arabic Typesetting"/>
        </w:rPr>
        <w:t>the</w:t>
      </w:r>
      <w:r w:rsidRPr="007B25AE">
        <w:rPr>
          <w:rFonts w:ascii="Baskerville" w:eastAsia="MS PMincho" w:hAnsi="Baskerville" w:cs="Arabic Typesetting"/>
        </w:rPr>
        <w:t xml:space="preserve"> sample may, by chance</w:t>
      </w:r>
      <w:r w:rsidR="00380173" w:rsidRPr="007B25AE">
        <w:rPr>
          <w:rFonts w:ascii="Baskerville" w:eastAsia="MS PMincho" w:hAnsi="Baskerville" w:cs="Arabic Typesetting"/>
        </w:rPr>
        <w:t>,</w:t>
      </w:r>
      <w:r w:rsidRPr="007B25AE">
        <w:rPr>
          <w:rFonts w:ascii="Baskerville" w:eastAsia="MS PMincho" w:hAnsi="Baskerville" w:cs="Arabic Typesetting"/>
        </w:rPr>
        <w:t xml:space="preserve"> be the same as the population mean (</w:t>
      </w:r>
      <m:oMath>
        <m:r>
          <m:rPr>
            <m:sty m:val="b"/>
          </m:rPr>
          <w:rPr>
            <w:rFonts w:ascii="Cambria Math" w:eastAsia="MS PMincho" w:hAnsi="Cambria Math" w:cs="Arabic Typesetting"/>
          </w:rPr>
          <m:t>μ</m:t>
        </m:r>
      </m:oMath>
      <w:r w:rsidRPr="007B25AE">
        <w:rPr>
          <w:rFonts w:ascii="Baskerville" w:eastAsia="MS PMincho" w:hAnsi="Baskerville" w:cs="Arabic Typesetting"/>
        </w:rPr>
        <w:t xml:space="preserve">). </w:t>
      </w:r>
      <w:r w:rsidR="003759CA" w:rsidRPr="007B25AE">
        <w:rPr>
          <w:rFonts w:ascii="Baskerville" w:eastAsia="MS PMincho" w:hAnsi="Baskerville" w:cs="Arabic Typesetting"/>
        </w:rPr>
        <w:t>Although t</w:t>
      </w:r>
      <w:r w:rsidRPr="007B25AE">
        <w:rPr>
          <w:rFonts w:ascii="Baskerville" w:eastAsia="MS PMincho" w:hAnsi="Baskerville" w:cs="Arabic Typesetting"/>
        </w:rPr>
        <w:t xml:space="preserve">his is </w:t>
      </w:r>
      <w:r w:rsidR="003759CA" w:rsidRPr="007B25AE">
        <w:rPr>
          <w:rFonts w:ascii="Baskerville" w:eastAsia="MS PMincho" w:hAnsi="Baskerville" w:cs="Arabic Typesetting"/>
        </w:rPr>
        <w:t>quite</w:t>
      </w:r>
      <w:r w:rsidRPr="007B25AE">
        <w:rPr>
          <w:rFonts w:ascii="Baskerville" w:eastAsia="MS PMincho" w:hAnsi="Baskerville" w:cs="Arabic Typesetting"/>
        </w:rPr>
        <w:t xml:space="preserve"> possibility</w:t>
      </w:r>
      <w:r w:rsidR="003759CA" w:rsidRPr="007B25AE">
        <w:rPr>
          <w:rFonts w:ascii="Baskerville" w:eastAsia="MS PMincho" w:hAnsi="Baskerville" w:cs="Arabic Typesetting"/>
        </w:rPr>
        <w:t>, it is</w:t>
      </w:r>
      <w:r w:rsidRPr="007B25AE">
        <w:rPr>
          <w:rFonts w:ascii="Baskerville" w:eastAsia="MS PMincho" w:hAnsi="Baskerville" w:cs="Arabic Typesetting"/>
        </w:rPr>
        <w:t xml:space="preserve"> very improbable. The question to be asked is what is the range in which the true value lies when there is a high probability of significance? The range is that region in which </w:t>
      </w:r>
      <w:r w:rsidR="003759CA" w:rsidRPr="007B25AE">
        <w:rPr>
          <w:rFonts w:ascii="Baskerville" w:eastAsia="MS PMincho" w:hAnsi="Baskerville" w:cs="Arabic Typesetting"/>
        </w:rPr>
        <w:t xml:space="preserve">both </w:t>
      </w:r>
      <w:r w:rsidRPr="007B25AE">
        <w:rPr>
          <w:rFonts w:ascii="Baskerville" w:eastAsia="MS PMincho" w:hAnsi="Baskerville" w:cs="Arabic Typesetting"/>
        </w:rPr>
        <w:t xml:space="preserve">the mean of the sample and the population mean lie. In this case, this region which is called the "confidence interval" will have a high probability. </w:t>
      </w:r>
      <w:r w:rsidR="003759CA" w:rsidRPr="007B25AE">
        <w:rPr>
          <w:rFonts w:ascii="Baskerville" w:eastAsia="MS PMincho" w:hAnsi="Baskerville" w:cs="Arabic Typesetting"/>
        </w:rPr>
        <w:t>So, i</w:t>
      </w:r>
      <w:r w:rsidRPr="007B25AE">
        <w:rPr>
          <w:rFonts w:ascii="Baskerville" w:eastAsia="MS PMincho" w:hAnsi="Baskerville" w:cs="Arabic Typesetting"/>
        </w:rPr>
        <w:t>f an effect is significant, all the values in the confidence interval will be on the same side of the mean</w:t>
      </w:r>
      <w:r w:rsidR="003759CA" w:rsidRPr="007B25AE">
        <w:rPr>
          <w:rFonts w:ascii="Baskerville" w:eastAsia="MS PMincho" w:hAnsi="Baskerville" w:cs="Arabic Typesetting"/>
        </w:rPr>
        <w:t>—</w:t>
      </w:r>
      <w:r w:rsidRPr="007B25AE">
        <w:rPr>
          <w:rFonts w:ascii="Baskerville" w:eastAsia="MS PMincho" w:hAnsi="Baskerville" w:cs="Arabic Typesetting"/>
        </w:rPr>
        <w:t>either positive or negative.</w:t>
      </w:r>
    </w:p>
    <w:p w14:paraId="5DFDA918" w14:textId="00271117" w:rsidR="00355E6A" w:rsidRPr="007B25AE" w:rsidRDefault="007A1868" w:rsidP="007215A6">
      <w:pPr>
        <w:spacing w:line="360" w:lineRule="auto"/>
        <w:rPr>
          <w:rFonts w:ascii="Baskerville" w:eastAsia="MS PMincho" w:hAnsi="Baskerville" w:cs="Arabic Typesetting"/>
          <w:color w:val="FF0000"/>
        </w:rPr>
      </w:pPr>
      <w:r w:rsidRPr="007B25AE">
        <w:rPr>
          <w:rFonts w:ascii="Baskerville" w:eastAsia="MS PMincho" w:hAnsi="Baskerville" w:cs="Arabic Typesetting"/>
          <w:b/>
          <w:bCs/>
        </w:rPr>
        <w:t>6</w:t>
      </w:r>
      <w:r w:rsidR="00771A33" w:rsidRPr="007B25AE">
        <w:rPr>
          <w:rFonts w:ascii="Baskerville" w:eastAsia="MS PMincho" w:hAnsi="Baskerville" w:cs="Arabic Typesetting"/>
        </w:rPr>
        <w:t xml:space="preserve">. </w:t>
      </w:r>
      <w:r w:rsidR="007215A6" w:rsidRPr="007B25AE">
        <w:rPr>
          <w:rFonts w:ascii="Baskerville" w:eastAsia="MS PMincho" w:hAnsi="Baskerville" w:cs="Arabic Typesetting"/>
          <w:b/>
          <w:bCs/>
        </w:rPr>
        <w:t>Literature Review Structure</w:t>
      </w:r>
      <w:r w:rsidR="007215A6" w:rsidRPr="007B25AE">
        <w:rPr>
          <w:rFonts w:ascii="Baskerville" w:eastAsia="MS PMincho" w:hAnsi="Baskerville" w:cs="Arabic Typesetting"/>
        </w:rPr>
        <w:t xml:space="preserve">. </w:t>
      </w:r>
      <w:r w:rsidR="001E4F56" w:rsidRPr="007B25AE">
        <w:rPr>
          <w:rFonts w:ascii="Baskerville" w:eastAsia="MS PMincho" w:hAnsi="Baskerville" w:cs="Arabic Typesetting"/>
        </w:rPr>
        <w:t xml:space="preserve">My friend and colleague, Charles </w:t>
      </w:r>
      <w:proofErr w:type="spellStart"/>
      <w:r w:rsidR="001E4F56" w:rsidRPr="007B25AE">
        <w:rPr>
          <w:rFonts w:ascii="Baskerville" w:eastAsia="MS PMincho" w:hAnsi="Baskerville" w:cs="Arabic Typesetting"/>
        </w:rPr>
        <w:t>Ogundimu</w:t>
      </w:r>
      <w:proofErr w:type="spellEnd"/>
      <w:r w:rsidR="001E4F56" w:rsidRPr="007B25AE">
        <w:rPr>
          <w:rFonts w:ascii="Baskerville" w:eastAsia="MS PMincho" w:hAnsi="Baskerville" w:cs="Arabic Typesetting"/>
        </w:rPr>
        <w:t xml:space="preserve">, submitted a </w:t>
      </w:r>
      <w:r w:rsidR="00C470A6" w:rsidRPr="007B25AE">
        <w:rPr>
          <w:rFonts w:ascii="Baskerville" w:eastAsia="MS PMincho" w:hAnsi="Baskerville" w:cs="Arabic Typesetting"/>
        </w:rPr>
        <w:t>dissertation to his committee at Columbia University</w:t>
      </w:r>
      <w:r w:rsidRPr="007B25AE">
        <w:rPr>
          <w:rFonts w:ascii="Baskerville" w:eastAsia="MS PMincho" w:hAnsi="Baskerville" w:cs="Arabic Typesetting"/>
        </w:rPr>
        <w:t>,</w:t>
      </w:r>
      <w:r w:rsidR="00C470A6" w:rsidRPr="007B25AE">
        <w:rPr>
          <w:rFonts w:ascii="Baskerville" w:eastAsia="MS PMincho" w:hAnsi="Baskerville" w:cs="Arabic Typesetting"/>
        </w:rPr>
        <w:t xml:space="preserve"> in 2014.  His dissertation </w:t>
      </w:r>
      <w:r w:rsidR="00656508" w:rsidRPr="007B25AE">
        <w:rPr>
          <w:rFonts w:ascii="Baskerville" w:eastAsia="MS PMincho" w:hAnsi="Baskerville" w:cs="Arabic Typesetting"/>
        </w:rPr>
        <w:t>wa</w:t>
      </w:r>
      <w:r w:rsidR="00C470A6" w:rsidRPr="007B25AE">
        <w:rPr>
          <w:rFonts w:ascii="Baskerville" w:eastAsia="MS PMincho" w:hAnsi="Baskerville" w:cs="Arabic Typesetting"/>
        </w:rPr>
        <w:t xml:space="preserve">s entitled, </w:t>
      </w:r>
      <w:r w:rsidR="0031196E" w:rsidRPr="007B25AE">
        <w:rPr>
          <w:rFonts w:ascii="Baskerville" w:eastAsia="MS PMincho" w:hAnsi="Baskerville" w:cs="Arabic Typesetting"/>
        </w:rPr>
        <w:t>“</w:t>
      </w:r>
      <w:r w:rsidR="00C470A6" w:rsidRPr="007B25AE">
        <w:rPr>
          <w:rFonts w:ascii="Baskerville" w:eastAsia="MS PMincho" w:hAnsi="Baskerville" w:cs="Arabic Typesetting"/>
        </w:rPr>
        <w:t>Does the Mode of Entry into Teaching Matter in Teacher Retention</w:t>
      </w:r>
      <w:r w:rsidR="00E275C3" w:rsidRPr="007B25AE">
        <w:rPr>
          <w:rFonts w:ascii="Baskerville" w:eastAsia="MS PMincho" w:hAnsi="Baskerville" w:cs="Arabic Typesetting"/>
        </w:rPr>
        <w:t>, etc.</w:t>
      </w:r>
      <w:r w:rsidR="00C470A6" w:rsidRPr="007B25AE">
        <w:rPr>
          <w:rFonts w:ascii="Baskerville" w:eastAsia="MS PMincho" w:hAnsi="Baskerville" w:cs="Arabic Typesetting"/>
        </w:rPr>
        <w:t>?</w:t>
      </w:r>
      <w:r w:rsidR="0031196E" w:rsidRPr="007B25AE">
        <w:rPr>
          <w:rFonts w:ascii="Baskerville" w:eastAsia="MS PMincho" w:hAnsi="Baskerville" w:cs="Arabic Typesetting"/>
        </w:rPr>
        <w:t>”</w:t>
      </w:r>
      <w:r w:rsidR="00C470A6" w:rsidRPr="007B25AE">
        <w:rPr>
          <w:rFonts w:ascii="Baskerville" w:eastAsia="MS PMincho" w:hAnsi="Baskerville" w:cs="Arabic Typesetting"/>
        </w:rPr>
        <w:t xml:space="preserve"> </w:t>
      </w:r>
      <w:r w:rsidR="00656508" w:rsidRPr="007B25AE">
        <w:rPr>
          <w:rFonts w:ascii="Baskerville" w:eastAsia="MS PMincho" w:hAnsi="Baskerville" w:cs="Arabic Typesetting"/>
        </w:rPr>
        <w:t xml:space="preserve"> </w:t>
      </w:r>
      <w:r w:rsidR="003759CA" w:rsidRPr="007B25AE">
        <w:rPr>
          <w:rFonts w:ascii="Baskerville" w:eastAsia="MS PMincho" w:hAnsi="Baskerville" w:cs="Arabic Typesetting"/>
        </w:rPr>
        <w:t>I</w:t>
      </w:r>
      <w:r w:rsidR="00656508" w:rsidRPr="007B25AE">
        <w:rPr>
          <w:rFonts w:ascii="Baskerville" w:eastAsia="MS PMincho" w:hAnsi="Baskerville" w:cs="Arabic Typesetting"/>
        </w:rPr>
        <w:t>n it, Chapter II beg</w:t>
      </w:r>
      <w:r w:rsidR="008B2B64" w:rsidRPr="007B25AE">
        <w:rPr>
          <w:rFonts w:ascii="Baskerville" w:eastAsia="MS PMincho" w:hAnsi="Baskerville" w:cs="Arabic Typesetting"/>
        </w:rPr>
        <w:t>i</w:t>
      </w:r>
      <w:r w:rsidR="00656508" w:rsidRPr="007B25AE">
        <w:rPr>
          <w:rFonts w:ascii="Baskerville" w:eastAsia="MS PMincho" w:hAnsi="Baskerville" w:cs="Arabic Typesetting"/>
        </w:rPr>
        <w:t>n</w:t>
      </w:r>
      <w:r w:rsidR="008B2B64" w:rsidRPr="007B25AE">
        <w:rPr>
          <w:rFonts w:ascii="Baskerville" w:eastAsia="MS PMincho" w:hAnsi="Baskerville" w:cs="Arabic Typesetting"/>
        </w:rPr>
        <w:t>s</w:t>
      </w:r>
      <w:r w:rsidR="00656508" w:rsidRPr="007B25AE">
        <w:rPr>
          <w:rFonts w:ascii="Baskerville" w:eastAsia="MS PMincho" w:hAnsi="Baskerville" w:cs="Arabic Typesetting"/>
        </w:rPr>
        <w:t xml:space="preserve"> with an Introduct</w:t>
      </w:r>
      <w:r w:rsidR="00836D65" w:rsidRPr="007B25AE">
        <w:rPr>
          <w:rFonts w:ascii="Baskerville" w:eastAsia="MS PMincho" w:hAnsi="Baskerville" w:cs="Arabic Typesetting"/>
        </w:rPr>
        <w:t xml:space="preserve">ory paragraph </w:t>
      </w:r>
      <w:r w:rsidR="004A2A38" w:rsidRPr="007B25AE">
        <w:rPr>
          <w:rFonts w:ascii="Baskerville" w:eastAsia="MS PMincho" w:hAnsi="Baskerville" w:cs="Arabic Typesetting"/>
        </w:rPr>
        <w:t xml:space="preserve">as </w:t>
      </w:r>
      <w:r w:rsidR="00E275C3" w:rsidRPr="007B25AE">
        <w:rPr>
          <w:rFonts w:ascii="Baskerville" w:eastAsia="MS PMincho" w:hAnsi="Baskerville" w:cs="Arabic Typesetting"/>
        </w:rPr>
        <w:t xml:space="preserve">the first </w:t>
      </w:r>
      <w:r w:rsidR="004A2A38" w:rsidRPr="007B25AE">
        <w:rPr>
          <w:rFonts w:ascii="Baskerville" w:eastAsia="MS PMincho" w:hAnsi="Baskerville" w:cs="Arabic Typesetting"/>
        </w:rPr>
        <w:t>part of</w:t>
      </w:r>
      <w:r w:rsidR="00836D65" w:rsidRPr="007B25AE">
        <w:rPr>
          <w:rFonts w:ascii="Baskerville" w:eastAsia="MS PMincho" w:hAnsi="Baskerville" w:cs="Arabic Typesetting"/>
        </w:rPr>
        <w:t xml:space="preserve"> h</w:t>
      </w:r>
      <w:r w:rsidR="0031196E" w:rsidRPr="007B25AE">
        <w:rPr>
          <w:rFonts w:ascii="Baskerville" w:eastAsia="MS PMincho" w:hAnsi="Baskerville" w:cs="Arabic Typesetting"/>
        </w:rPr>
        <w:t>is</w:t>
      </w:r>
      <w:r w:rsidR="00836D65" w:rsidRPr="007B25AE">
        <w:rPr>
          <w:rFonts w:ascii="Baskerville" w:eastAsia="MS PMincho" w:hAnsi="Baskerville" w:cs="Arabic Typesetting"/>
        </w:rPr>
        <w:t xml:space="preserve"> Literature Review. The</w:t>
      </w:r>
      <w:r w:rsidR="00656508" w:rsidRPr="007B25AE">
        <w:rPr>
          <w:rFonts w:ascii="Baskerville" w:eastAsia="MS PMincho" w:hAnsi="Baskerville" w:cs="Arabic Typesetting"/>
        </w:rPr>
        <w:t xml:space="preserve"> central </w:t>
      </w:r>
      <w:r w:rsidR="004B39E5" w:rsidRPr="007B25AE">
        <w:rPr>
          <w:rFonts w:ascii="Baskerville" w:eastAsia="MS PMincho" w:hAnsi="Baskerville" w:cs="Arabic Typesetting"/>
        </w:rPr>
        <w:t xml:space="preserve">focus </w:t>
      </w:r>
      <w:r w:rsidR="00836D65" w:rsidRPr="007B25AE">
        <w:rPr>
          <w:rFonts w:ascii="Baskerville" w:eastAsia="MS PMincho" w:hAnsi="Baskerville" w:cs="Arabic Typesetting"/>
        </w:rPr>
        <w:t xml:space="preserve">of that first paragraph </w:t>
      </w:r>
      <w:r w:rsidR="00EA06AD" w:rsidRPr="007B25AE">
        <w:rPr>
          <w:rFonts w:ascii="Baskerville" w:eastAsia="MS PMincho" w:hAnsi="Baskerville" w:cs="Arabic Typesetting"/>
        </w:rPr>
        <w:t>seems bent on providing</w:t>
      </w:r>
      <w:r w:rsidR="004B39E5" w:rsidRPr="007B25AE">
        <w:rPr>
          <w:rFonts w:ascii="Baskerville" w:eastAsia="MS PMincho" w:hAnsi="Baskerville" w:cs="Arabic Typesetting"/>
        </w:rPr>
        <w:t xml:space="preserve"> </w:t>
      </w:r>
      <w:r w:rsidR="00FB6BB8" w:rsidRPr="007B25AE">
        <w:rPr>
          <w:rFonts w:ascii="Baskerville" w:eastAsia="MS PMincho" w:hAnsi="Baskerville" w:cs="Arabic Typesetting"/>
        </w:rPr>
        <w:t>the</w:t>
      </w:r>
      <w:r w:rsidR="004B39E5" w:rsidRPr="007B25AE">
        <w:rPr>
          <w:rFonts w:ascii="Baskerville" w:eastAsia="MS PMincho" w:hAnsi="Baskerville" w:cs="Arabic Typesetting"/>
        </w:rPr>
        <w:t xml:space="preserve"> historical </w:t>
      </w:r>
      <w:r w:rsidR="004B39E5" w:rsidRPr="007B25AE">
        <w:rPr>
          <w:rFonts w:ascii="Baskerville" w:eastAsia="MS PMincho" w:hAnsi="Baskerville" w:cs="Arabic Typesetting"/>
          <w:color w:val="FF0000"/>
        </w:rPr>
        <w:t>background</w:t>
      </w:r>
      <w:r w:rsidR="004B39E5" w:rsidRPr="007B25AE">
        <w:rPr>
          <w:rFonts w:ascii="Baskerville" w:eastAsia="MS PMincho" w:hAnsi="Baskerville" w:cs="Arabic Typesetting"/>
        </w:rPr>
        <w:t xml:space="preserve"> </w:t>
      </w:r>
      <w:r w:rsidR="00836D65" w:rsidRPr="007B25AE">
        <w:rPr>
          <w:rFonts w:ascii="Baskerville" w:eastAsia="MS PMincho" w:hAnsi="Baskerville" w:cs="Arabic Typesetting"/>
        </w:rPr>
        <w:t>as the backdrop for</w:t>
      </w:r>
      <w:r w:rsidR="004B39E5" w:rsidRPr="007B25AE">
        <w:rPr>
          <w:rFonts w:ascii="Baskerville" w:eastAsia="MS PMincho" w:hAnsi="Baskerville" w:cs="Arabic Typesetting"/>
        </w:rPr>
        <w:t xml:space="preserve"> the</w:t>
      </w:r>
      <w:r w:rsidR="00656508" w:rsidRPr="007B25AE">
        <w:rPr>
          <w:rFonts w:ascii="Baskerville" w:eastAsia="MS PMincho" w:hAnsi="Baskerville" w:cs="Arabic Typesetting"/>
        </w:rPr>
        <w:t xml:space="preserve"> body of the</w:t>
      </w:r>
      <w:r w:rsidR="00FB6BB8" w:rsidRPr="007B25AE">
        <w:rPr>
          <w:rFonts w:ascii="Baskerville" w:eastAsia="MS PMincho" w:hAnsi="Baskerville" w:cs="Arabic Typesetting"/>
        </w:rPr>
        <w:t xml:space="preserve"> </w:t>
      </w:r>
      <w:r w:rsidR="00656508" w:rsidRPr="007B25AE">
        <w:rPr>
          <w:rFonts w:ascii="Baskerville" w:eastAsia="MS PMincho" w:hAnsi="Baskerville" w:cs="Arabic Typesetting"/>
        </w:rPr>
        <w:t xml:space="preserve">Literature Review </w:t>
      </w:r>
      <w:r w:rsidR="004B39E5" w:rsidRPr="007B25AE">
        <w:rPr>
          <w:rFonts w:ascii="Baskerville" w:eastAsia="MS PMincho" w:hAnsi="Baskerville" w:cs="Arabic Typesetting"/>
        </w:rPr>
        <w:t>portion</w:t>
      </w:r>
      <w:r w:rsidR="00FB6BB8" w:rsidRPr="007B25AE">
        <w:rPr>
          <w:rFonts w:ascii="Baskerville" w:eastAsia="MS PMincho" w:hAnsi="Baskerville" w:cs="Arabic Typesetting"/>
        </w:rPr>
        <w:t xml:space="preserve">, as well as </w:t>
      </w:r>
      <w:r w:rsidR="00E275C3" w:rsidRPr="007B25AE">
        <w:rPr>
          <w:rFonts w:ascii="Baskerville" w:eastAsia="MS PMincho" w:hAnsi="Baskerville" w:cs="Arabic Typesetting"/>
        </w:rPr>
        <w:t xml:space="preserve">the referent to </w:t>
      </w:r>
      <w:r w:rsidR="00FB6BB8" w:rsidRPr="007B25AE">
        <w:rPr>
          <w:rFonts w:ascii="Baskerville" w:eastAsia="MS PMincho" w:hAnsi="Baskerville" w:cs="Arabic Typesetting"/>
        </w:rPr>
        <w:t xml:space="preserve">the rest </w:t>
      </w:r>
      <w:r w:rsidR="004B39E5" w:rsidRPr="007B25AE">
        <w:rPr>
          <w:rFonts w:ascii="Baskerville" w:eastAsia="MS PMincho" w:hAnsi="Baskerville" w:cs="Arabic Typesetting"/>
        </w:rPr>
        <w:t>of the dissertation</w:t>
      </w:r>
      <w:r w:rsidR="00FB6BB8" w:rsidRPr="007B25AE">
        <w:rPr>
          <w:rFonts w:ascii="Baskerville" w:eastAsia="MS PMincho" w:hAnsi="Baskerville" w:cs="Arabic Typesetting"/>
        </w:rPr>
        <w:t xml:space="preserve">, in the main, </w:t>
      </w:r>
      <w:r w:rsidR="00EA06AD" w:rsidRPr="007B25AE">
        <w:rPr>
          <w:rFonts w:ascii="Baskerville" w:eastAsia="MS PMincho" w:hAnsi="Baskerville" w:cs="Arabic Typesetting"/>
        </w:rPr>
        <w:t>also</w:t>
      </w:r>
      <w:r w:rsidR="0031196E" w:rsidRPr="007B25AE">
        <w:rPr>
          <w:rFonts w:ascii="Baskerville" w:eastAsia="MS PMincho" w:hAnsi="Baskerville" w:cs="Arabic Typesetting"/>
        </w:rPr>
        <w:t>, for</w:t>
      </w:r>
      <w:r w:rsidR="00EA06AD" w:rsidRPr="007B25AE">
        <w:rPr>
          <w:rFonts w:ascii="Baskerville" w:eastAsia="MS PMincho" w:hAnsi="Baskerville" w:cs="Arabic Typesetting"/>
        </w:rPr>
        <w:t xml:space="preserve"> accentuat</w:t>
      </w:r>
      <w:r w:rsidR="004A2A38" w:rsidRPr="007B25AE">
        <w:rPr>
          <w:rFonts w:ascii="Baskerville" w:eastAsia="MS PMincho" w:hAnsi="Baskerville" w:cs="Arabic Typesetting"/>
        </w:rPr>
        <w:t>ing</w:t>
      </w:r>
      <w:r w:rsidR="00FB6BB8" w:rsidRPr="007B25AE">
        <w:rPr>
          <w:rFonts w:ascii="Baskerville" w:eastAsia="MS PMincho" w:hAnsi="Baskerville" w:cs="Arabic Typesetting"/>
        </w:rPr>
        <w:t xml:space="preserve"> the </w:t>
      </w:r>
      <w:r w:rsidR="00FB6BB8" w:rsidRPr="007B25AE">
        <w:rPr>
          <w:rFonts w:ascii="Baskerville" w:eastAsia="MS PMincho" w:hAnsi="Baskerville" w:cs="Arabic Typesetting"/>
          <w:color w:val="FF0000"/>
        </w:rPr>
        <w:t>rationale</w:t>
      </w:r>
      <w:r w:rsidR="00EA06AD" w:rsidRPr="007B25AE">
        <w:rPr>
          <w:rFonts w:ascii="Baskerville" w:eastAsia="MS PMincho" w:hAnsi="Baskerville" w:cs="Arabic Typesetting"/>
          <w:color w:val="000000" w:themeColor="text1"/>
        </w:rPr>
        <w:t xml:space="preserve"> for the </w:t>
      </w:r>
      <w:r w:rsidR="00E275C3" w:rsidRPr="007B25AE">
        <w:rPr>
          <w:rFonts w:ascii="Baskerville" w:eastAsia="MS PMincho" w:hAnsi="Baskerville" w:cs="Arabic Typesetting"/>
          <w:color w:val="000000" w:themeColor="text1"/>
        </w:rPr>
        <w:t xml:space="preserve">Literature </w:t>
      </w:r>
      <w:r w:rsidR="00EA06AD" w:rsidRPr="007B25AE">
        <w:rPr>
          <w:rFonts w:ascii="Baskerville" w:eastAsia="MS PMincho" w:hAnsi="Baskerville" w:cs="Arabic Typesetting"/>
          <w:color w:val="000000" w:themeColor="text1"/>
        </w:rPr>
        <w:t>Review, itself</w:t>
      </w:r>
      <w:r w:rsidR="00FB6BB8" w:rsidRPr="007B25AE">
        <w:rPr>
          <w:rFonts w:ascii="Baskerville" w:eastAsia="MS PMincho" w:hAnsi="Baskerville" w:cs="Arabic Typesetting"/>
        </w:rPr>
        <w:t xml:space="preserve">. </w:t>
      </w:r>
      <w:r w:rsidR="00355E6A" w:rsidRPr="007B25AE">
        <w:rPr>
          <w:rFonts w:ascii="Baskerville" w:eastAsia="MS PMincho" w:hAnsi="Baskerville" w:cs="Arabic Typesetting"/>
        </w:rPr>
        <w:t xml:space="preserve"> </w:t>
      </w:r>
    </w:p>
    <w:p w14:paraId="7A1A1670" w14:textId="20839843" w:rsidR="00F57C54" w:rsidRPr="007B25AE" w:rsidRDefault="00EA06AD" w:rsidP="00BF4CBA">
      <w:pPr>
        <w:spacing w:line="360" w:lineRule="auto"/>
        <w:ind w:firstLine="720"/>
        <w:rPr>
          <w:rFonts w:ascii="Baskerville" w:eastAsia="MS PMincho" w:hAnsi="Baskerville" w:cs="Arabic Typesetting"/>
        </w:rPr>
      </w:pPr>
      <w:r w:rsidRPr="007B25AE">
        <w:rPr>
          <w:rFonts w:ascii="Baskerville" w:eastAsia="MS PMincho" w:hAnsi="Baskerville" w:cs="Arabic Typesetting"/>
        </w:rPr>
        <w:t>The</w:t>
      </w:r>
      <w:r w:rsidR="00355E6A" w:rsidRPr="007B25AE">
        <w:rPr>
          <w:rFonts w:ascii="Baskerville" w:eastAsia="MS PMincho" w:hAnsi="Baskerville" w:cs="Arabic Typesetting"/>
        </w:rPr>
        <w:t xml:space="preserve"> </w:t>
      </w:r>
      <w:r w:rsidR="00355E6A" w:rsidRPr="007B25AE">
        <w:rPr>
          <w:rFonts w:ascii="Baskerville" w:eastAsia="MS PMincho" w:hAnsi="Baskerville" w:cs="Arabic Typesetting"/>
          <w:color w:val="FF0000"/>
        </w:rPr>
        <w:t>historical background</w:t>
      </w:r>
      <w:r w:rsidRPr="007B25AE">
        <w:rPr>
          <w:rFonts w:ascii="Baskerville" w:eastAsia="MS PMincho" w:hAnsi="Baskerville" w:cs="Arabic Typesetting"/>
          <w:color w:val="FF0000"/>
        </w:rPr>
        <w:t xml:space="preserve"> </w:t>
      </w:r>
      <w:r w:rsidRPr="007B25AE">
        <w:rPr>
          <w:rFonts w:ascii="Baskerville" w:eastAsia="MS PMincho" w:hAnsi="Baskerville" w:cs="Arabic Typesetting"/>
        </w:rPr>
        <w:t>he pro</w:t>
      </w:r>
      <w:r w:rsidR="004A2A38" w:rsidRPr="007B25AE">
        <w:rPr>
          <w:rFonts w:ascii="Baskerville" w:eastAsia="MS PMincho" w:hAnsi="Baskerville" w:cs="Arabic Typesetting"/>
        </w:rPr>
        <w:t>v</w:t>
      </w:r>
      <w:r w:rsidRPr="007B25AE">
        <w:rPr>
          <w:rFonts w:ascii="Baskerville" w:eastAsia="MS PMincho" w:hAnsi="Baskerville" w:cs="Arabic Typesetting"/>
        </w:rPr>
        <w:t>id</w:t>
      </w:r>
      <w:r w:rsidR="003D6532" w:rsidRPr="007B25AE">
        <w:rPr>
          <w:rFonts w:ascii="Baskerville" w:eastAsia="MS PMincho" w:hAnsi="Baskerville" w:cs="Arabic Typesetting"/>
        </w:rPr>
        <w:t>es</w:t>
      </w:r>
      <w:r w:rsidR="00355E6A" w:rsidRPr="007B25AE">
        <w:rPr>
          <w:rFonts w:ascii="Baskerville" w:eastAsia="MS PMincho" w:hAnsi="Baskerville" w:cs="Arabic Typesetting"/>
        </w:rPr>
        <w:t>, from the inception</w:t>
      </w:r>
      <w:r w:rsidR="00E275C3" w:rsidRPr="007B25AE">
        <w:rPr>
          <w:rFonts w:ascii="Baskerville" w:eastAsia="MS PMincho" w:hAnsi="Baskerville" w:cs="Arabic Typesetting"/>
        </w:rPr>
        <w:t xml:space="preserve"> forward</w:t>
      </w:r>
      <w:r w:rsidR="00355E6A" w:rsidRPr="007B25AE">
        <w:rPr>
          <w:rFonts w:ascii="Baskerville" w:eastAsia="MS PMincho" w:hAnsi="Baskerville" w:cs="Arabic Typesetting"/>
        </w:rPr>
        <w:t xml:space="preserve">, </w:t>
      </w:r>
      <w:r w:rsidR="00B16C8C" w:rsidRPr="007B25AE">
        <w:rPr>
          <w:rFonts w:ascii="Baskerville" w:eastAsia="MS PMincho" w:hAnsi="Baskerville" w:cs="Arabic Typesetting"/>
        </w:rPr>
        <w:t>point</w:t>
      </w:r>
      <w:r w:rsidRPr="007B25AE">
        <w:rPr>
          <w:rFonts w:ascii="Baskerville" w:eastAsia="MS PMincho" w:hAnsi="Baskerville" w:cs="Arabic Typesetting"/>
        </w:rPr>
        <w:t>s</w:t>
      </w:r>
      <w:r w:rsidR="00B16C8C" w:rsidRPr="007B25AE">
        <w:rPr>
          <w:rFonts w:ascii="Baskerville" w:eastAsia="MS PMincho" w:hAnsi="Baskerville" w:cs="Arabic Typesetting"/>
        </w:rPr>
        <w:t xml:space="preserve"> to what he recall</w:t>
      </w:r>
      <w:r w:rsidR="003D6532" w:rsidRPr="007B25AE">
        <w:rPr>
          <w:rFonts w:ascii="Baskerville" w:eastAsia="MS PMincho" w:hAnsi="Baskerville" w:cs="Arabic Typesetting"/>
        </w:rPr>
        <w:t>s</w:t>
      </w:r>
      <w:r w:rsidR="00B16C8C" w:rsidRPr="007B25AE">
        <w:rPr>
          <w:rFonts w:ascii="Baskerville" w:eastAsia="MS PMincho" w:hAnsi="Baskerville" w:cs="Arabic Typesetting"/>
        </w:rPr>
        <w:t xml:space="preserve"> </w:t>
      </w:r>
      <w:r w:rsidR="004A2A38" w:rsidRPr="007B25AE">
        <w:rPr>
          <w:rFonts w:ascii="Baskerville" w:eastAsia="MS PMincho" w:hAnsi="Baskerville" w:cs="Arabic Typesetting"/>
        </w:rPr>
        <w:t>as being</w:t>
      </w:r>
      <w:r w:rsidR="00B16C8C" w:rsidRPr="007B25AE">
        <w:rPr>
          <w:rFonts w:ascii="Baskerville" w:eastAsia="MS PMincho" w:hAnsi="Baskerville" w:cs="Arabic Typesetting"/>
        </w:rPr>
        <w:t xml:space="preserve"> a teacher</w:t>
      </w:r>
      <w:r w:rsidR="00F4482A" w:rsidRPr="007B25AE">
        <w:rPr>
          <w:rFonts w:ascii="Baskerville" w:eastAsia="MS PMincho" w:hAnsi="Baskerville" w:cs="Arabic Typesetting"/>
        </w:rPr>
        <w:t>-</w:t>
      </w:r>
      <w:r w:rsidR="00B16C8C" w:rsidRPr="007B25AE">
        <w:rPr>
          <w:rFonts w:ascii="Baskerville" w:eastAsia="MS PMincho" w:hAnsi="Baskerville" w:cs="Arabic Typesetting"/>
        </w:rPr>
        <w:t>surplus, in the 1970s</w:t>
      </w:r>
      <w:r w:rsidR="00355E6A" w:rsidRPr="007B25AE">
        <w:rPr>
          <w:rFonts w:ascii="Baskerville" w:eastAsia="MS PMincho" w:hAnsi="Baskerville" w:cs="Arabic Typesetting"/>
        </w:rPr>
        <w:t xml:space="preserve"> </w:t>
      </w:r>
      <w:r w:rsidR="00B16C8C" w:rsidRPr="007B25AE">
        <w:rPr>
          <w:rFonts w:ascii="Baskerville" w:eastAsia="MS PMincho" w:hAnsi="Baskerville" w:cs="Arabic Typesetting"/>
        </w:rPr>
        <w:t xml:space="preserve">that triggered widespread layoffs, and in turn, </w:t>
      </w:r>
      <w:r w:rsidR="004A2A38" w:rsidRPr="007B25AE">
        <w:rPr>
          <w:rFonts w:ascii="Baskerville" w:eastAsia="MS PMincho" w:hAnsi="Baskerville" w:cs="Arabic Typesetting"/>
        </w:rPr>
        <w:t xml:space="preserve">curled back upon itself into </w:t>
      </w:r>
      <w:r w:rsidR="00B16C8C" w:rsidRPr="007B25AE">
        <w:rPr>
          <w:rFonts w:ascii="Baskerville" w:eastAsia="MS PMincho" w:hAnsi="Baskerville" w:cs="Arabic Typesetting"/>
        </w:rPr>
        <w:t>a demand</w:t>
      </w:r>
      <w:r w:rsidR="00274074" w:rsidRPr="007B25AE">
        <w:rPr>
          <w:rFonts w:ascii="Baskerville" w:eastAsia="MS PMincho" w:hAnsi="Baskerville" w:cs="Arabic Typesetting"/>
        </w:rPr>
        <w:t>-</w:t>
      </w:r>
      <w:r w:rsidR="00B16C8C" w:rsidRPr="007B25AE">
        <w:rPr>
          <w:rFonts w:ascii="Baskerville" w:eastAsia="MS PMincho" w:hAnsi="Baskerville" w:cs="Arabic Typesetting"/>
        </w:rPr>
        <w:t>supply interaction</w:t>
      </w:r>
      <w:r w:rsidR="003D6532" w:rsidRPr="007B25AE">
        <w:rPr>
          <w:rFonts w:ascii="Baskerville" w:eastAsia="MS PMincho" w:hAnsi="Baskerville" w:cs="Arabic Typesetting"/>
        </w:rPr>
        <w:t>,</w:t>
      </w:r>
      <w:r w:rsidR="00B16C8C" w:rsidRPr="007B25AE">
        <w:rPr>
          <w:rFonts w:ascii="Baskerville" w:eastAsia="MS PMincho" w:hAnsi="Baskerville" w:cs="Arabic Typesetting"/>
        </w:rPr>
        <w:t xml:space="preserve"> </w:t>
      </w:r>
      <w:r w:rsidR="00E275C3" w:rsidRPr="007B25AE">
        <w:rPr>
          <w:rFonts w:ascii="Baskerville" w:eastAsia="MS PMincho" w:hAnsi="Baskerville" w:cs="Arabic Typesetting"/>
        </w:rPr>
        <w:t xml:space="preserve">resembling the “Cobweb Theory” </w:t>
      </w:r>
      <w:r w:rsidR="003D6532" w:rsidRPr="007B25AE">
        <w:rPr>
          <w:rFonts w:ascii="Baskerville" w:eastAsia="MS PMincho" w:hAnsi="Baskerville" w:cs="Arabic Typesetting"/>
        </w:rPr>
        <w:t xml:space="preserve">in economics, </w:t>
      </w:r>
      <w:r w:rsidR="00290E61" w:rsidRPr="007B25AE">
        <w:rPr>
          <w:rFonts w:ascii="Baskerville" w:eastAsia="MS PMincho" w:hAnsi="Baskerville" w:cs="Arabic Typesetting"/>
        </w:rPr>
        <w:t xml:space="preserve">as it </w:t>
      </w:r>
      <w:r w:rsidR="00B16C8C" w:rsidRPr="007B25AE">
        <w:rPr>
          <w:rFonts w:ascii="Baskerville" w:eastAsia="MS PMincho" w:hAnsi="Baskerville" w:cs="Arabic Typesetting"/>
        </w:rPr>
        <w:t>c</w:t>
      </w:r>
      <w:r w:rsidR="00290E61" w:rsidRPr="007B25AE">
        <w:rPr>
          <w:rFonts w:ascii="Baskerville" w:eastAsia="MS PMincho" w:hAnsi="Baskerville" w:cs="Arabic Typesetting"/>
        </w:rPr>
        <w:t>o</w:t>
      </w:r>
      <w:r w:rsidR="00B16C8C" w:rsidRPr="007B25AE">
        <w:rPr>
          <w:rFonts w:ascii="Baskerville" w:eastAsia="MS PMincho" w:hAnsi="Baskerville" w:cs="Arabic Typesetting"/>
        </w:rPr>
        <w:t>me</w:t>
      </w:r>
      <w:r w:rsidR="00290E61" w:rsidRPr="007B25AE">
        <w:rPr>
          <w:rFonts w:ascii="Baskerville" w:eastAsia="MS PMincho" w:hAnsi="Baskerville" w:cs="Arabic Typesetting"/>
        </w:rPr>
        <w:t>s</w:t>
      </w:r>
      <w:r w:rsidR="00B16C8C" w:rsidRPr="007B25AE">
        <w:rPr>
          <w:rFonts w:ascii="Baskerville" w:eastAsia="MS PMincho" w:hAnsi="Baskerville" w:cs="Arabic Typesetting"/>
        </w:rPr>
        <w:t xml:space="preserve"> full circle to a</w:t>
      </w:r>
      <w:r w:rsidR="004A2A38" w:rsidRPr="007B25AE">
        <w:rPr>
          <w:rFonts w:ascii="Baskerville" w:eastAsia="MS PMincho" w:hAnsi="Baskerville" w:cs="Arabic Typesetting"/>
        </w:rPr>
        <w:t xml:space="preserve"> pre-</w:t>
      </w:r>
      <w:r w:rsidR="0031196E" w:rsidRPr="007B25AE">
        <w:rPr>
          <w:rFonts w:ascii="Baskerville" w:eastAsia="MS PMincho" w:hAnsi="Baskerville" w:cs="Arabic Typesetting"/>
        </w:rPr>
        <w:t>19</w:t>
      </w:r>
      <w:r w:rsidR="004A2A38" w:rsidRPr="007B25AE">
        <w:rPr>
          <w:rFonts w:ascii="Baskerville" w:eastAsia="MS PMincho" w:hAnsi="Baskerville" w:cs="Arabic Typesetting"/>
        </w:rPr>
        <w:t>70s</w:t>
      </w:r>
      <w:r w:rsidR="00B16C8C" w:rsidRPr="007B25AE">
        <w:rPr>
          <w:rFonts w:ascii="Baskerville" w:eastAsia="MS PMincho" w:hAnsi="Baskerville" w:cs="Arabic Typesetting"/>
        </w:rPr>
        <w:t xml:space="preserve"> acute teacher shortage</w:t>
      </w:r>
      <w:r w:rsidR="0031196E" w:rsidRPr="007B25AE">
        <w:rPr>
          <w:rFonts w:ascii="Baskerville" w:eastAsia="MS PMincho" w:hAnsi="Baskerville" w:cs="Arabic Typesetting"/>
        </w:rPr>
        <w:t>,</w:t>
      </w:r>
      <w:r w:rsidRPr="007B25AE">
        <w:rPr>
          <w:rFonts w:ascii="Baskerville" w:eastAsia="MS PMincho" w:hAnsi="Baskerville" w:cs="Arabic Typesetting"/>
        </w:rPr>
        <w:t xml:space="preserve"> thereafter</w:t>
      </w:r>
      <w:r w:rsidR="00B16C8C" w:rsidRPr="007B25AE">
        <w:rPr>
          <w:rFonts w:ascii="Baskerville" w:eastAsia="MS PMincho" w:hAnsi="Baskerville" w:cs="Arabic Typesetting"/>
        </w:rPr>
        <w:t>. He</w:t>
      </w:r>
      <w:r w:rsidR="00274074" w:rsidRPr="007B25AE">
        <w:rPr>
          <w:rFonts w:ascii="Baskerville" w:eastAsia="MS PMincho" w:hAnsi="Baskerville" w:cs="Arabic Typesetting"/>
        </w:rPr>
        <w:t>,</w:t>
      </w:r>
      <w:r w:rsidR="00B16C8C" w:rsidRPr="007B25AE">
        <w:rPr>
          <w:rFonts w:ascii="Baskerville" w:eastAsia="MS PMincho" w:hAnsi="Baskerville" w:cs="Arabic Typesetting"/>
        </w:rPr>
        <w:t xml:space="preserve"> then</w:t>
      </w:r>
      <w:r w:rsidR="00274074" w:rsidRPr="007B25AE">
        <w:rPr>
          <w:rFonts w:ascii="Baskerville" w:eastAsia="MS PMincho" w:hAnsi="Baskerville" w:cs="Arabic Typesetting"/>
        </w:rPr>
        <w:t>,</w:t>
      </w:r>
      <w:r w:rsidR="00B16C8C" w:rsidRPr="007B25AE">
        <w:rPr>
          <w:rFonts w:ascii="Baskerville" w:eastAsia="MS PMincho" w:hAnsi="Baskerville" w:cs="Arabic Typesetting"/>
        </w:rPr>
        <w:t xml:space="preserve"> call</w:t>
      </w:r>
      <w:r w:rsidR="003D6532" w:rsidRPr="007B25AE">
        <w:rPr>
          <w:rFonts w:ascii="Baskerville" w:eastAsia="MS PMincho" w:hAnsi="Baskerville" w:cs="Arabic Typesetting"/>
        </w:rPr>
        <w:t>s</w:t>
      </w:r>
      <w:r w:rsidR="00B16C8C" w:rsidRPr="007B25AE">
        <w:rPr>
          <w:rFonts w:ascii="Baskerville" w:eastAsia="MS PMincho" w:hAnsi="Baskerville" w:cs="Arabic Typesetting"/>
        </w:rPr>
        <w:t xml:space="preserve"> </w:t>
      </w:r>
      <w:r w:rsidR="00274074" w:rsidRPr="007B25AE">
        <w:rPr>
          <w:rFonts w:ascii="Baskerville" w:eastAsia="MS PMincho" w:hAnsi="Baskerville" w:cs="Arabic Typesetting"/>
        </w:rPr>
        <w:t xml:space="preserve">attention to the </w:t>
      </w:r>
      <w:r w:rsidR="0031196E" w:rsidRPr="007B25AE">
        <w:rPr>
          <w:rFonts w:ascii="Baskerville" w:eastAsia="MS PMincho" w:hAnsi="Baskerville" w:cs="Arabic Typesetting"/>
        </w:rPr>
        <w:t xml:space="preserve">famous </w:t>
      </w:r>
      <w:r w:rsidR="00274074" w:rsidRPr="007B25AE">
        <w:rPr>
          <w:rFonts w:ascii="Baskerville" w:eastAsia="MS PMincho" w:hAnsi="Baskerville" w:cs="Arabic Typesetting"/>
        </w:rPr>
        <w:t>1981 “A Nation at Risk” publication</w:t>
      </w:r>
      <w:r w:rsidR="003D6532" w:rsidRPr="007B25AE">
        <w:rPr>
          <w:rFonts w:ascii="Baskerville" w:eastAsia="MS PMincho" w:hAnsi="Baskerville" w:cs="Arabic Typesetting"/>
        </w:rPr>
        <w:t>,</w:t>
      </w:r>
      <w:r w:rsidR="00274074" w:rsidRPr="007B25AE">
        <w:rPr>
          <w:rFonts w:ascii="Baskerville" w:eastAsia="MS PMincho" w:hAnsi="Baskerville" w:cs="Arabic Typesetting"/>
        </w:rPr>
        <w:t xml:space="preserve"> and its outcry </w:t>
      </w:r>
      <w:r w:rsidR="00F4482A" w:rsidRPr="007B25AE">
        <w:rPr>
          <w:rFonts w:ascii="Baskerville" w:eastAsia="MS PMincho" w:hAnsi="Baskerville" w:cs="Arabic Typesetting"/>
        </w:rPr>
        <w:t>that</w:t>
      </w:r>
      <w:r w:rsidR="00274074" w:rsidRPr="007B25AE">
        <w:rPr>
          <w:rFonts w:ascii="Baskerville" w:eastAsia="MS PMincho" w:hAnsi="Baskerville" w:cs="Arabic Typesetting"/>
        </w:rPr>
        <w:t xml:space="preserve"> the educational system </w:t>
      </w:r>
      <w:r w:rsidR="00F4482A" w:rsidRPr="007B25AE">
        <w:rPr>
          <w:rFonts w:ascii="Baskerville" w:eastAsia="MS PMincho" w:hAnsi="Baskerville" w:cs="Arabic Typesetting"/>
        </w:rPr>
        <w:t>should</w:t>
      </w:r>
      <w:r w:rsidR="00274074" w:rsidRPr="007B25AE">
        <w:rPr>
          <w:rFonts w:ascii="Baskerville" w:eastAsia="MS PMincho" w:hAnsi="Baskerville" w:cs="Arabic Typesetting"/>
        </w:rPr>
        <w:t xml:space="preserve"> </w:t>
      </w:r>
      <w:r w:rsidR="00CB7CE9" w:rsidRPr="007B25AE">
        <w:rPr>
          <w:rFonts w:ascii="Baskerville" w:eastAsia="MS PMincho" w:hAnsi="Baskerville" w:cs="Arabic Typesetting"/>
        </w:rPr>
        <w:t xml:space="preserve">turn its attention </w:t>
      </w:r>
      <w:r w:rsidR="00274074" w:rsidRPr="007B25AE">
        <w:rPr>
          <w:rFonts w:ascii="Baskerville" w:eastAsia="MS PMincho" w:hAnsi="Baskerville" w:cs="Arabic Typesetting"/>
        </w:rPr>
        <w:t xml:space="preserve">to </w:t>
      </w:r>
      <w:r w:rsidR="00CB7CE9" w:rsidRPr="007B25AE">
        <w:rPr>
          <w:rFonts w:ascii="Baskerville" w:eastAsia="MS PMincho" w:hAnsi="Baskerville" w:cs="Arabic Typesetting"/>
        </w:rPr>
        <w:t>the urgency for</w:t>
      </w:r>
      <w:r w:rsidR="00274074" w:rsidRPr="007B25AE">
        <w:rPr>
          <w:rFonts w:ascii="Baskerville" w:eastAsia="MS PMincho" w:hAnsi="Baskerville" w:cs="Arabic Typesetting"/>
        </w:rPr>
        <w:t xml:space="preserve"> the United States </w:t>
      </w:r>
      <w:r w:rsidR="00CB7CE9" w:rsidRPr="007B25AE">
        <w:rPr>
          <w:rFonts w:ascii="Baskerville" w:eastAsia="MS PMincho" w:hAnsi="Baskerville" w:cs="Arabic Typesetting"/>
        </w:rPr>
        <w:t xml:space="preserve">to sharpen its </w:t>
      </w:r>
      <w:r w:rsidR="00274074" w:rsidRPr="007B25AE">
        <w:rPr>
          <w:rFonts w:ascii="Baskerville" w:eastAsia="MS PMincho" w:hAnsi="Baskerville" w:cs="Arabic Typesetting"/>
        </w:rPr>
        <w:t xml:space="preserve">competitive </w:t>
      </w:r>
      <w:r w:rsidR="00CB7CE9" w:rsidRPr="007B25AE">
        <w:rPr>
          <w:rFonts w:ascii="Baskerville" w:eastAsia="MS PMincho" w:hAnsi="Baskerville" w:cs="Arabic Typesetting"/>
        </w:rPr>
        <w:t xml:space="preserve">edge </w:t>
      </w:r>
      <w:r w:rsidR="00274074" w:rsidRPr="007B25AE">
        <w:rPr>
          <w:rFonts w:ascii="Baskerville" w:eastAsia="MS PMincho" w:hAnsi="Baskerville" w:cs="Arabic Typesetting"/>
        </w:rPr>
        <w:t xml:space="preserve">in the </w:t>
      </w:r>
      <w:r w:rsidR="00AB2946" w:rsidRPr="007B25AE">
        <w:rPr>
          <w:rFonts w:ascii="Baskerville" w:eastAsia="MS PMincho" w:hAnsi="Baskerville" w:cs="Arabic Typesetting"/>
        </w:rPr>
        <w:t xml:space="preserve">industrial world of </w:t>
      </w:r>
      <w:r w:rsidR="00274074" w:rsidRPr="007B25AE">
        <w:rPr>
          <w:rFonts w:ascii="Baskerville" w:eastAsia="MS PMincho" w:hAnsi="Baskerville" w:cs="Arabic Typesetting"/>
        </w:rPr>
        <w:t>rapidly advancing</w:t>
      </w:r>
      <w:r w:rsidR="00AB2946" w:rsidRPr="007B25AE">
        <w:rPr>
          <w:rFonts w:ascii="Baskerville" w:eastAsia="MS PMincho" w:hAnsi="Baskerville" w:cs="Arabic Typesetting"/>
        </w:rPr>
        <w:t xml:space="preserve"> technology</w:t>
      </w:r>
      <w:r w:rsidR="00CB7CE9" w:rsidRPr="007B25AE">
        <w:rPr>
          <w:rFonts w:ascii="Baskerville" w:eastAsia="MS PMincho" w:hAnsi="Baskerville" w:cs="Arabic Typesetting"/>
        </w:rPr>
        <w:t xml:space="preserve"> by teaching math</w:t>
      </w:r>
      <w:r w:rsidR="0031196E" w:rsidRPr="007B25AE">
        <w:rPr>
          <w:rFonts w:ascii="Baskerville" w:eastAsia="MS PMincho" w:hAnsi="Baskerville" w:cs="Arabic Typesetting"/>
        </w:rPr>
        <w:t>ematics</w:t>
      </w:r>
      <w:r w:rsidR="00CB7CE9" w:rsidRPr="007B25AE">
        <w:rPr>
          <w:rFonts w:ascii="Baskerville" w:eastAsia="MS PMincho" w:hAnsi="Baskerville" w:cs="Arabic Typesetting"/>
        </w:rPr>
        <w:t xml:space="preserve"> and science across the curricu</w:t>
      </w:r>
      <w:r w:rsidR="008D4591" w:rsidRPr="007B25AE">
        <w:rPr>
          <w:rFonts w:ascii="Baskerville" w:eastAsia="MS PMincho" w:hAnsi="Baskerville" w:cs="Arabic Typesetting"/>
        </w:rPr>
        <w:t>la</w:t>
      </w:r>
      <w:r w:rsidR="00AB2946" w:rsidRPr="007B25AE">
        <w:rPr>
          <w:rFonts w:ascii="Baskerville" w:eastAsia="MS PMincho" w:hAnsi="Baskerville" w:cs="Arabic Typesetting"/>
        </w:rPr>
        <w:t>. Thus, the connection between the title of the dissertation</w:t>
      </w:r>
      <w:r w:rsidRPr="007B25AE">
        <w:rPr>
          <w:rFonts w:ascii="Baskerville" w:eastAsia="MS PMincho" w:hAnsi="Baskerville" w:cs="Arabic Typesetting"/>
        </w:rPr>
        <w:t>,</w:t>
      </w:r>
      <w:r w:rsidR="00AB2946" w:rsidRPr="007B25AE">
        <w:rPr>
          <w:rFonts w:ascii="Baskerville" w:eastAsia="MS PMincho" w:hAnsi="Baskerville" w:cs="Arabic Typesetting"/>
        </w:rPr>
        <w:t xml:space="preserve"> and the promise</w:t>
      </w:r>
      <w:r w:rsidRPr="007B25AE">
        <w:rPr>
          <w:rFonts w:ascii="Baskerville" w:eastAsia="MS PMincho" w:hAnsi="Baskerville" w:cs="Arabic Typesetting"/>
        </w:rPr>
        <w:t>, going forward</w:t>
      </w:r>
      <w:r w:rsidR="00F57C54" w:rsidRPr="007B25AE">
        <w:rPr>
          <w:rFonts w:ascii="Baskerville" w:eastAsia="MS PMincho" w:hAnsi="Baskerville" w:cs="Arabic Typesetting"/>
        </w:rPr>
        <w:t xml:space="preserve"> into</w:t>
      </w:r>
      <w:r w:rsidR="00AB2946" w:rsidRPr="007B25AE">
        <w:rPr>
          <w:rFonts w:ascii="Baskerville" w:eastAsia="MS PMincho" w:hAnsi="Baskerville" w:cs="Arabic Typesetting"/>
        </w:rPr>
        <w:t xml:space="preserve"> the body of the Literature Review was made. </w:t>
      </w:r>
      <w:r w:rsidR="00274074" w:rsidRPr="007B25AE">
        <w:rPr>
          <w:rFonts w:ascii="Baskerville" w:eastAsia="MS PMincho" w:hAnsi="Baskerville" w:cs="Arabic Typesetting"/>
        </w:rPr>
        <w:t xml:space="preserve"> </w:t>
      </w:r>
      <w:r w:rsidR="00AB2946" w:rsidRPr="007B25AE">
        <w:rPr>
          <w:rFonts w:ascii="Baskerville" w:eastAsia="MS PMincho" w:hAnsi="Baskerville" w:cs="Arabic Typesetting"/>
        </w:rPr>
        <w:t>And</w:t>
      </w:r>
      <w:r w:rsidR="00EE71BC" w:rsidRPr="007B25AE">
        <w:rPr>
          <w:rFonts w:ascii="Baskerville" w:eastAsia="MS PMincho" w:hAnsi="Baskerville" w:cs="Arabic Typesetting"/>
        </w:rPr>
        <w:t xml:space="preserve"> </w:t>
      </w:r>
      <w:r w:rsidR="00AB2946" w:rsidRPr="007B25AE">
        <w:rPr>
          <w:rFonts w:ascii="Baskerville" w:eastAsia="MS PMincho" w:hAnsi="Baskerville" w:cs="Arabic Typesetting"/>
        </w:rPr>
        <w:t xml:space="preserve">there it was, the rationale for </w:t>
      </w:r>
      <w:r w:rsidR="0031196E" w:rsidRPr="007B25AE">
        <w:rPr>
          <w:rFonts w:ascii="Baskerville" w:eastAsia="MS PMincho" w:hAnsi="Baskerville" w:cs="Arabic Typesetting"/>
        </w:rPr>
        <w:t xml:space="preserve">the </w:t>
      </w:r>
      <w:proofErr w:type="gramStart"/>
      <w:r w:rsidR="00AB2946" w:rsidRPr="007B25AE">
        <w:rPr>
          <w:rFonts w:ascii="Baskerville" w:eastAsia="MS PMincho" w:hAnsi="Baskerville" w:cs="Arabic Typesetting"/>
        </w:rPr>
        <w:t>dissertation</w:t>
      </w:r>
      <w:r w:rsidR="0031196E" w:rsidRPr="007B25AE">
        <w:rPr>
          <w:rFonts w:ascii="Baskerville" w:eastAsia="MS PMincho" w:hAnsi="Baskerville" w:cs="Arabic Typesetting"/>
        </w:rPr>
        <w:t xml:space="preserve"> as a whole</w:t>
      </w:r>
      <w:proofErr w:type="gramEnd"/>
      <w:r w:rsidR="00836D65" w:rsidRPr="007B25AE">
        <w:rPr>
          <w:rFonts w:ascii="Baskerville" w:eastAsia="MS PMincho" w:hAnsi="Baskerville" w:cs="Arabic Typesetting"/>
        </w:rPr>
        <w:t xml:space="preserve">. </w:t>
      </w:r>
    </w:p>
    <w:p w14:paraId="56E16677" w14:textId="645664D7" w:rsidR="002E6EE3" w:rsidRPr="007B25AE" w:rsidRDefault="0098638A" w:rsidP="00BF4CBA">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Throughout the introduction </w:t>
      </w:r>
      <w:r w:rsidR="0031196E" w:rsidRPr="007B25AE">
        <w:rPr>
          <w:rFonts w:ascii="Baskerville" w:eastAsia="MS PMincho" w:hAnsi="Baskerville" w:cs="Arabic Typesetting"/>
        </w:rPr>
        <w:t>o</w:t>
      </w:r>
      <w:r w:rsidR="00923BA4" w:rsidRPr="007B25AE">
        <w:rPr>
          <w:rFonts w:ascii="Baskerville" w:eastAsia="MS PMincho" w:hAnsi="Baskerville" w:cs="Arabic Typesetting"/>
        </w:rPr>
        <w:t>f</w:t>
      </w:r>
      <w:r w:rsidRPr="007B25AE">
        <w:rPr>
          <w:rFonts w:ascii="Baskerville" w:eastAsia="MS PMincho" w:hAnsi="Baskerville" w:cs="Arabic Typesetting"/>
        </w:rPr>
        <w:t xml:space="preserve"> this Literature Review, Charles </w:t>
      </w:r>
      <w:proofErr w:type="spellStart"/>
      <w:r w:rsidR="00923BA4" w:rsidRPr="007B25AE">
        <w:rPr>
          <w:rFonts w:ascii="Baskerville" w:eastAsia="MS PMincho" w:hAnsi="Baskerville" w:cs="Arabic Typesetting"/>
        </w:rPr>
        <w:t>Ogundimu</w:t>
      </w:r>
      <w:proofErr w:type="spellEnd"/>
      <w:r w:rsidR="00923BA4" w:rsidRPr="007B25AE">
        <w:rPr>
          <w:rFonts w:ascii="Baskerville" w:eastAsia="MS PMincho" w:hAnsi="Baskerville" w:cs="Arabic Typesetting"/>
        </w:rPr>
        <w:t xml:space="preserve"> </w:t>
      </w:r>
      <w:r w:rsidRPr="007B25AE">
        <w:rPr>
          <w:rFonts w:ascii="Baskerville" w:eastAsia="MS PMincho" w:hAnsi="Baskerville" w:cs="Arabic Typesetting"/>
        </w:rPr>
        <w:t xml:space="preserve">had </w:t>
      </w:r>
      <w:r w:rsidR="002A1741" w:rsidRPr="007B25AE">
        <w:rPr>
          <w:rFonts w:ascii="Baskerville" w:eastAsia="MS PMincho" w:hAnsi="Baskerville" w:cs="Arabic Typesetting"/>
        </w:rPr>
        <w:t xml:space="preserve">cited a </w:t>
      </w:r>
      <w:r w:rsidR="00923BA4" w:rsidRPr="007B25AE">
        <w:rPr>
          <w:rFonts w:ascii="Baskerville" w:eastAsia="MS PMincho" w:hAnsi="Baskerville" w:cs="Arabic Typesetting"/>
        </w:rPr>
        <w:t>pretty good chunk</w:t>
      </w:r>
      <w:r w:rsidR="00DC1D70" w:rsidRPr="007B25AE">
        <w:rPr>
          <w:rFonts w:ascii="Baskerville" w:eastAsia="MS PMincho" w:hAnsi="Baskerville" w:cs="Arabic Typesetting"/>
        </w:rPr>
        <w:t xml:space="preserve"> </w:t>
      </w:r>
      <w:r w:rsidR="002A1741" w:rsidRPr="007B25AE">
        <w:rPr>
          <w:rFonts w:ascii="Baskerville" w:eastAsia="MS PMincho" w:hAnsi="Baskerville" w:cs="Arabic Typesetting"/>
        </w:rPr>
        <w:t xml:space="preserve">of sources. Although Columbia University allows the use of sources </w:t>
      </w:r>
      <w:r w:rsidR="00923BA4" w:rsidRPr="007B25AE">
        <w:rPr>
          <w:rFonts w:ascii="Baskerville" w:eastAsia="MS PMincho" w:hAnsi="Baskerville" w:cs="Arabic Typesetting"/>
        </w:rPr>
        <w:t xml:space="preserve">dated </w:t>
      </w:r>
      <w:r w:rsidR="002A1741" w:rsidRPr="007B25AE">
        <w:rPr>
          <w:rFonts w:ascii="Baskerville" w:eastAsia="MS PMincho" w:hAnsi="Baskerville" w:cs="Arabic Typesetting"/>
        </w:rPr>
        <w:t xml:space="preserve">up to ten years </w:t>
      </w:r>
      <w:r w:rsidR="008D4591" w:rsidRPr="007B25AE">
        <w:rPr>
          <w:rFonts w:ascii="Baskerville" w:eastAsia="MS PMincho" w:hAnsi="Baskerville" w:cs="Arabic Typesetting"/>
        </w:rPr>
        <w:t xml:space="preserve">prior to </w:t>
      </w:r>
      <w:r w:rsidR="00923BA4" w:rsidRPr="007B25AE">
        <w:rPr>
          <w:rFonts w:ascii="Baskerville" w:eastAsia="MS PMincho" w:hAnsi="Baskerville" w:cs="Arabic Typesetting"/>
        </w:rPr>
        <w:t xml:space="preserve">one’s dissertation </w:t>
      </w:r>
      <w:r w:rsidR="008D4591" w:rsidRPr="007B25AE">
        <w:rPr>
          <w:rFonts w:ascii="Baskerville" w:eastAsia="MS PMincho" w:hAnsi="Baskerville" w:cs="Arabic Typesetting"/>
        </w:rPr>
        <w:t>research</w:t>
      </w:r>
      <w:r w:rsidR="002A1741" w:rsidRPr="007B25AE">
        <w:rPr>
          <w:rFonts w:ascii="Baskerville" w:eastAsia="MS PMincho" w:hAnsi="Baskerville" w:cs="Arabic Typesetting"/>
        </w:rPr>
        <w:t>, only three sources—Loeb &amp; Darling-Hammond, 2005; Boyd et al</w:t>
      </w:r>
      <w:r w:rsidR="00923BA4" w:rsidRPr="007B25AE">
        <w:rPr>
          <w:rFonts w:ascii="Baskerville" w:eastAsia="MS PMincho" w:hAnsi="Baskerville" w:cs="Arabic Typesetting"/>
        </w:rPr>
        <w:t xml:space="preserve">, </w:t>
      </w:r>
      <w:r w:rsidR="002A1741" w:rsidRPr="007B25AE">
        <w:rPr>
          <w:rFonts w:ascii="Baskerville" w:eastAsia="MS PMincho" w:hAnsi="Baskerville" w:cs="Arabic Typesetting"/>
        </w:rPr>
        <w:t xml:space="preserve">2005; Clotfelter et al, 2004—satisfied the </w:t>
      </w:r>
      <w:r w:rsidR="008D4591" w:rsidRPr="007B25AE">
        <w:rPr>
          <w:rFonts w:ascii="Baskerville" w:eastAsia="MS PMincho" w:hAnsi="Baskerville" w:cs="Arabic Typesetting"/>
        </w:rPr>
        <w:t xml:space="preserve">ten-year </w:t>
      </w:r>
      <w:r w:rsidR="002A1741" w:rsidRPr="007B25AE">
        <w:rPr>
          <w:rFonts w:ascii="Baskerville" w:eastAsia="MS PMincho" w:hAnsi="Baskerville" w:cs="Arabic Typesetting"/>
        </w:rPr>
        <w:t xml:space="preserve">criterion. So, Charles </w:t>
      </w:r>
      <w:r w:rsidR="00DC1D70" w:rsidRPr="007B25AE">
        <w:rPr>
          <w:rFonts w:ascii="Baskerville" w:eastAsia="MS PMincho" w:hAnsi="Baskerville" w:cs="Arabic Typesetting"/>
        </w:rPr>
        <w:t>closed the</w:t>
      </w:r>
      <w:r w:rsidR="002A1741" w:rsidRPr="007B25AE">
        <w:rPr>
          <w:rFonts w:ascii="Baskerville" w:eastAsia="MS PMincho" w:hAnsi="Baskerville" w:cs="Arabic Typesetting"/>
        </w:rPr>
        <w:t xml:space="preserve"> introduction </w:t>
      </w:r>
      <w:r w:rsidR="007C479F" w:rsidRPr="007B25AE">
        <w:rPr>
          <w:rFonts w:ascii="Baskerville" w:eastAsia="MS PMincho" w:hAnsi="Baskerville" w:cs="Arabic Typesetting"/>
        </w:rPr>
        <w:t xml:space="preserve">of the Literature Review by stating that “one significant </w:t>
      </w:r>
      <w:r w:rsidR="007C479F" w:rsidRPr="007B25AE">
        <w:rPr>
          <w:rFonts w:ascii="Baskerville" w:eastAsia="MS PMincho" w:hAnsi="Baskerville" w:cs="Arabic Typesetting"/>
          <w:color w:val="FF0000"/>
        </w:rPr>
        <w:t>limitation</w:t>
      </w:r>
      <w:r w:rsidR="007C479F" w:rsidRPr="007B25AE">
        <w:rPr>
          <w:rFonts w:ascii="Baskerville" w:eastAsia="MS PMincho" w:hAnsi="Baskerville" w:cs="Arabic Typesetting"/>
        </w:rPr>
        <w:t xml:space="preserve"> is that many of these studies are dated</w:t>
      </w:r>
      <w:r w:rsidR="00CD587D" w:rsidRPr="007B25AE">
        <w:rPr>
          <w:rFonts w:ascii="Baskerville" w:eastAsia="MS PMincho" w:hAnsi="Baskerville" w:cs="Arabic Typesetting"/>
        </w:rPr>
        <w:t>” (</w:t>
      </w:r>
      <w:proofErr w:type="spellStart"/>
      <w:r w:rsidR="00CD587D" w:rsidRPr="007B25AE">
        <w:rPr>
          <w:rFonts w:ascii="Baskerville" w:eastAsia="MS PMincho" w:hAnsi="Baskerville" w:cs="Arabic Typesetting"/>
        </w:rPr>
        <w:t>Ogundimu</w:t>
      </w:r>
      <w:proofErr w:type="spellEnd"/>
      <w:r w:rsidR="00CD587D" w:rsidRPr="007B25AE">
        <w:rPr>
          <w:rFonts w:ascii="Baskerville" w:eastAsia="MS PMincho" w:hAnsi="Baskerville" w:cs="Arabic Typesetting"/>
        </w:rPr>
        <w:t>, 2014, p. 17).</w:t>
      </w:r>
    </w:p>
    <w:p w14:paraId="15881D39" w14:textId="2D32FD60" w:rsidR="00D2265F" w:rsidRPr="007B25AE" w:rsidRDefault="002E6EE3"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Next, </w:t>
      </w:r>
      <w:r w:rsidR="000849CD" w:rsidRPr="007B25AE">
        <w:rPr>
          <w:rFonts w:ascii="Baskerville" w:eastAsia="MS PMincho" w:hAnsi="Baskerville" w:cs="Arabic Typesetting"/>
        </w:rPr>
        <w:t>Charles</w:t>
      </w:r>
      <w:r w:rsidR="001F633D" w:rsidRPr="007B25AE">
        <w:rPr>
          <w:rFonts w:ascii="Baskerville" w:eastAsia="MS PMincho" w:hAnsi="Baskerville" w:cs="Arabic Typesetting"/>
        </w:rPr>
        <w:t xml:space="preserve"> beg</w:t>
      </w:r>
      <w:r w:rsidR="00F4482A" w:rsidRPr="007B25AE">
        <w:rPr>
          <w:rFonts w:ascii="Baskerville" w:eastAsia="MS PMincho" w:hAnsi="Baskerville" w:cs="Arabic Typesetting"/>
        </w:rPr>
        <w:t>i</w:t>
      </w:r>
      <w:r w:rsidR="001F633D" w:rsidRPr="007B25AE">
        <w:rPr>
          <w:rFonts w:ascii="Baskerville" w:eastAsia="MS PMincho" w:hAnsi="Baskerville" w:cs="Arabic Typesetting"/>
        </w:rPr>
        <w:t>n</w:t>
      </w:r>
      <w:r w:rsidR="00F4482A" w:rsidRPr="007B25AE">
        <w:rPr>
          <w:rFonts w:ascii="Baskerville" w:eastAsia="MS PMincho" w:hAnsi="Baskerville" w:cs="Arabic Typesetting"/>
        </w:rPr>
        <w:t>s</w:t>
      </w:r>
      <w:r w:rsidRPr="007B25AE">
        <w:rPr>
          <w:rFonts w:ascii="Baskerville" w:eastAsia="MS PMincho" w:hAnsi="Baskerville" w:cs="Arabic Typesetting"/>
        </w:rPr>
        <w:t xml:space="preserve"> </w:t>
      </w:r>
      <w:r w:rsidR="004508A4" w:rsidRPr="007B25AE">
        <w:rPr>
          <w:rFonts w:ascii="Baskerville" w:eastAsia="MS PMincho" w:hAnsi="Baskerville" w:cs="Arabic Typesetting"/>
        </w:rPr>
        <w:t xml:space="preserve">to tackle </w:t>
      </w:r>
      <w:r w:rsidRPr="007B25AE">
        <w:rPr>
          <w:rFonts w:ascii="Baskerville" w:eastAsia="MS PMincho" w:hAnsi="Baskerville" w:cs="Arabic Typesetting"/>
        </w:rPr>
        <w:t>the</w:t>
      </w:r>
      <w:r w:rsidR="00450324" w:rsidRPr="007B25AE">
        <w:rPr>
          <w:rFonts w:ascii="Baskerville" w:eastAsia="MS PMincho" w:hAnsi="Baskerville" w:cs="Arabic Typesetting"/>
        </w:rPr>
        <w:t xml:space="preserve"> </w:t>
      </w:r>
      <w:r w:rsidRPr="007B25AE">
        <w:rPr>
          <w:rFonts w:ascii="Baskerville" w:eastAsia="MS PMincho" w:hAnsi="Baskerville" w:cs="Arabic Typesetting"/>
        </w:rPr>
        <w:t xml:space="preserve">body of </w:t>
      </w:r>
      <w:r w:rsidR="00E14895" w:rsidRPr="007B25AE">
        <w:rPr>
          <w:rFonts w:ascii="Baskerville" w:eastAsia="MS PMincho" w:hAnsi="Baskerville" w:cs="Arabic Typesetting"/>
        </w:rPr>
        <w:t>the</w:t>
      </w:r>
      <w:r w:rsidRPr="007B25AE">
        <w:rPr>
          <w:rFonts w:ascii="Baskerville" w:eastAsia="MS PMincho" w:hAnsi="Baskerville" w:cs="Arabic Typesetting"/>
        </w:rPr>
        <w:t xml:space="preserve"> Literature Review</w:t>
      </w:r>
      <w:r w:rsidR="0034327E" w:rsidRPr="007B25AE">
        <w:rPr>
          <w:rFonts w:ascii="Baskerville" w:eastAsia="MS PMincho" w:hAnsi="Baskerville" w:cs="Arabic Typesetting"/>
        </w:rPr>
        <w:t xml:space="preserve"> </w:t>
      </w:r>
      <w:r w:rsidR="00F4482A" w:rsidRPr="007B25AE">
        <w:rPr>
          <w:rFonts w:ascii="Baskerville" w:eastAsia="MS PMincho" w:hAnsi="Baskerville" w:cs="Arabic Typesetting"/>
        </w:rPr>
        <w:t xml:space="preserve">segment </w:t>
      </w:r>
      <w:r w:rsidR="00287997" w:rsidRPr="007B25AE">
        <w:rPr>
          <w:rFonts w:ascii="Baskerville" w:eastAsia="MS PMincho" w:hAnsi="Baskerville" w:cs="Arabic Typesetting"/>
        </w:rPr>
        <w:t xml:space="preserve">by </w:t>
      </w:r>
      <w:r w:rsidR="00450324" w:rsidRPr="007B25AE">
        <w:rPr>
          <w:rFonts w:ascii="Baskerville" w:eastAsia="MS PMincho" w:hAnsi="Baskerville" w:cs="Arabic Typesetting"/>
        </w:rPr>
        <w:t>sett</w:t>
      </w:r>
      <w:r w:rsidR="001F633D" w:rsidRPr="007B25AE">
        <w:rPr>
          <w:rFonts w:ascii="Baskerville" w:eastAsia="MS PMincho" w:hAnsi="Baskerville" w:cs="Arabic Typesetting"/>
        </w:rPr>
        <w:t xml:space="preserve">ing </w:t>
      </w:r>
      <w:r w:rsidR="00450324" w:rsidRPr="007B25AE">
        <w:rPr>
          <w:rFonts w:ascii="Baskerville" w:eastAsia="MS PMincho" w:hAnsi="Baskerville" w:cs="Arabic Typesetting"/>
        </w:rPr>
        <w:t xml:space="preserve">it off </w:t>
      </w:r>
      <w:r w:rsidR="004E2223" w:rsidRPr="007B25AE">
        <w:rPr>
          <w:rFonts w:ascii="Baskerville" w:eastAsia="MS PMincho" w:hAnsi="Baskerville" w:cs="Arabic Typesetting"/>
        </w:rPr>
        <w:t xml:space="preserve">with </w:t>
      </w:r>
      <w:r w:rsidR="00187721" w:rsidRPr="007B25AE">
        <w:rPr>
          <w:rFonts w:ascii="Baskerville" w:eastAsia="MS PMincho" w:hAnsi="Baskerville" w:cs="Arabic Typesetting"/>
        </w:rPr>
        <w:t>a</w:t>
      </w:r>
      <w:r w:rsidR="001F633D" w:rsidRPr="007B25AE">
        <w:rPr>
          <w:rFonts w:ascii="Baskerville" w:eastAsia="MS PMincho" w:hAnsi="Baskerville" w:cs="Arabic Typesetting"/>
        </w:rPr>
        <w:t xml:space="preserve"> </w:t>
      </w:r>
      <w:r w:rsidR="00992E4E" w:rsidRPr="007B25AE">
        <w:rPr>
          <w:rFonts w:ascii="Baskerville" w:eastAsia="MS PMincho" w:hAnsi="Baskerville" w:cs="Arabic Typesetting"/>
        </w:rPr>
        <w:t>L</w:t>
      </w:r>
      <w:r w:rsidR="001F633D" w:rsidRPr="007B25AE">
        <w:rPr>
          <w:rFonts w:ascii="Baskerville" w:eastAsia="MS PMincho" w:hAnsi="Baskerville" w:cs="Arabic Typesetting"/>
        </w:rPr>
        <w:t xml:space="preserve">evel 2 </w:t>
      </w:r>
      <w:r w:rsidR="00992E4E" w:rsidRPr="007B25AE">
        <w:rPr>
          <w:rFonts w:ascii="Baskerville" w:eastAsia="MS PMincho" w:hAnsi="Baskerville" w:cs="Arabic Typesetting"/>
        </w:rPr>
        <w:t>H</w:t>
      </w:r>
      <w:r w:rsidR="001F633D" w:rsidRPr="007B25AE">
        <w:rPr>
          <w:rFonts w:ascii="Baskerville" w:eastAsia="MS PMincho" w:hAnsi="Baskerville" w:cs="Arabic Typesetting"/>
        </w:rPr>
        <w:t>eading</w:t>
      </w:r>
      <w:r w:rsidR="00E46A80" w:rsidRPr="007B25AE">
        <w:rPr>
          <w:rFonts w:ascii="Baskerville" w:eastAsia="MS PMincho" w:hAnsi="Baskerville" w:cs="Arabic Typesetting"/>
        </w:rPr>
        <w:t xml:space="preserve"> </w:t>
      </w:r>
      <w:r w:rsidR="00BF6ABA" w:rsidRPr="007B25AE">
        <w:rPr>
          <w:rFonts w:ascii="Baskerville" w:eastAsia="MS PMincho" w:hAnsi="Baskerville" w:cs="Arabic Typesetting"/>
        </w:rPr>
        <w:t>in</w:t>
      </w:r>
      <w:r w:rsidR="00E46A80" w:rsidRPr="007B25AE">
        <w:rPr>
          <w:rFonts w:ascii="Baskerville" w:eastAsia="MS PMincho" w:hAnsi="Baskerville" w:cs="Arabic Typesetting"/>
        </w:rPr>
        <w:t xml:space="preserve"> the </w:t>
      </w:r>
      <w:r w:rsidR="00BF6ABA" w:rsidRPr="007B25AE">
        <w:rPr>
          <w:rFonts w:ascii="Baskerville" w:eastAsia="MS PMincho" w:hAnsi="Baskerville" w:cs="Arabic Typesetting"/>
        </w:rPr>
        <w:t xml:space="preserve">form of </w:t>
      </w:r>
      <w:r w:rsidR="003E0BE2" w:rsidRPr="007B25AE">
        <w:rPr>
          <w:rFonts w:ascii="Baskerville" w:eastAsia="MS PMincho" w:hAnsi="Baskerville" w:cs="Arabic Typesetting"/>
        </w:rPr>
        <w:t>the</w:t>
      </w:r>
      <w:r w:rsidR="00BF6ABA" w:rsidRPr="007B25AE">
        <w:rPr>
          <w:rFonts w:ascii="Baskerville" w:eastAsia="MS PMincho" w:hAnsi="Baskerville" w:cs="Arabic Typesetting"/>
        </w:rPr>
        <w:t xml:space="preserve"> </w:t>
      </w:r>
      <w:r w:rsidR="00E46A80" w:rsidRPr="007B25AE">
        <w:rPr>
          <w:rFonts w:ascii="Baskerville" w:eastAsia="MS PMincho" w:hAnsi="Baskerville" w:cs="Arabic Typesetting"/>
        </w:rPr>
        <w:t>interrogative</w:t>
      </w:r>
      <w:r w:rsidR="004A49C7" w:rsidRPr="007B25AE">
        <w:rPr>
          <w:rFonts w:ascii="Baskerville" w:eastAsia="MS PMincho" w:hAnsi="Baskerville" w:cs="Arabic Typesetting"/>
        </w:rPr>
        <w:t>:</w:t>
      </w:r>
      <w:r w:rsidR="001F633D" w:rsidRPr="007B25AE">
        <w:rPr>
          <w:rFonts w:ascii="Baskerville" w:eastAsia="MS PMincho" w:hAnsi="Baskerville" w:cs="Arabic Typesetting"/>
        </w:rPr>
        <w:t xml:space="preserve"> “Who teaches and Why</w:t>
      </w:r>
      <w:r w:rsidR="00E46A80" w:rsidRPr="007B25AE">
        <w:rPr>
          <w:rFonts w:ascii="Baskerville" w:eastAsia="MS PMincho" w:hAnsi="Baskerville" w:cs="Arabic Typesetting"/>
        </w:rPr>
        <w:t>.</w:t>
      </w:r>
      <w:r w:rsidR="001F633D" w:rsidRPr="007B25AE">
        <w:rPr>
          <w:rFonts w:ascii="Baskerville" w:eastAsia="MS PMincho" w:hAnsi="Baskerville" w:cs="Arabic Typesetting"/>
        </w:rPr>
        <w:t xml:space="preserve">” </w:t>
      </w:r>
      <w:r w:rsidR="00CA40DB" w:rsidRPr="007B25AE">
        <w:rPr>
          <w:rFonts w:ascii="Baskerville" w:eastAsia="MS PMincho" w:hAnsi="Baskerville" w:cs="Arabic Typesetting"/>
        </w:rPr>
        <w:t xml:space="preserve">Out of this </w:t>
      </w:r>
      <w:r w:rsidR="003B19B3" w:rsidRPr="007B25AE">
        <w:rPr>
          <w:rFonts w:ascii="Baskerville" w:eastAsia="MS PMincho" w:hAnsi="Baskerville" w:cs="Arabic Typesetting"/>
        </w:rPr>
        <w:t xml:space="preserve"> second </w:t>
      </w:r>
      <w:r w:rsidR="000849CD" w:rsidRPr="007B25AE">
        <w:rPr>
          <w:rFonts w:ascii="Baskerville" w:eastAsia="MS PMincho" w:hAnsi="Baskerville" w:cs="Arabic Typesetting"/>
        </w:rPr>
        <w:t xml:space="preserve">phase </w:t>
      </w:r>
      <w:r w:rsidR="006637A5" w:rsidRPr="007B25AE">
        <w:rPr>
          <w:rFonts w:ascii="Baskerville" w:eastAsia="MS PMincho" w:hAnsi="Baskerville" w:cs="Arabic Typesetting"/>
        </w:rPr>
        <w:t>of t</w:t>
      </w:r>
      <w:r w:rsidR="0031196E" w:rsidRPr="007B25AE">
        <w:rPr>
          <w:rFonts w:ascii="Baskerville" w:eastAsia="MS PMincho" w:hAnsi="Baskerville" w:cs="Arabic Typesetting"/>
        </w:rPr>
        <w:t>he</w:t>
      </w:r>
      <w:r w:rsidR="006637A5" w:rsidRPr="007B25AE">
        <w:rPr>
          <w:rFonts w:ascii="Baskerville" w:eastAsia="MS PMincho" w:hAnsi="Baskerville" w:cs="Arabic Typesetting"/>
        </w:rPr>
        <w:t xml:space="preserve"> Review</w:t>
      </w:r>
      <w:r w:rsidR="0031196E" w:rsidRPr="007B25AE">
        <w:rPr>
          <w:rFonts w:ascii="Baskerville" w:eastAsia="MS PMincho" w:hAnsi="Baskerville" w:cs="Arabic Typesetting"/>
        </w:rPr>
        <w:t>,</w:t>
      </w:r>
      <w:r w:rsidR="000849CD" w:rsidRPr="007B25AE">
        <w:rPr>
          <w:rFonts w:ascii="Baskerville" w:eastAsia="MS PMincho" w:hAnsi="Baskerville" w:cs="Arabic Typesetting"/>
        </w:rPr>
        <w:t xml:space="preserve"> </w:t>
      </w:r>
      <w:r w:rsidR="00C45499" w:rsidRPr="007B25AE">
        <w:rPr>
          <w:rFonts w:ascii="Baskerville" w:eastAsia="MS PMincho" w:hAnsi="Baskerville" w:cs="Arabic Typesetting"/>
        </w:rPr>
        <w:t>from a</w:t>
      </w:r>
      <w:r w:rsidR="003A7E26" w:rsidRPr="007B25AE">
        <w:rPr>
          <w:rFonts w:ascii="Baskerville" w:eastAsia="MS PMincho" w:hAnsi="Baskerville" w:cs="Arabic Typesetting"/>
        </w:rPr>
        <w:t xml:space="preserve"> fresh</w:t>
      </w:r>
      <w:r w:rsidR="000849CD" w:rsidRPr="007B25AE">
        <w:rPr>
          <w:rFonts w:ascii="Baskerville" w:eastAsia="MS PMincho" w:hAnsi="Baskerville" w:cs="Arabic Typesetting"/>
        </w:rPr>
        <w:t xml:space="preserve"> </w:t>
      </w:r>
      <w:r w:rsidR="009463CA" w:rsidRPr="007B25AE">
        <w:rPr>
          <w:rFonts w:ascii="Baskerville" w:eastAsia="MS PMincho" w:hAnsi="Baskerville" w:cs="Arabic Typesetting"/>
        </w:rPr>
        <w:t>new</w:t>
      </w:r>
      <w:r w:rsidR="003B19B3" w:rsidRPr="007B25AE">
        <w:rPr>
          <w:rFonts w:ascii="Baskerville" w:eastAsia="MS PMincho" w:hAnsi="Baskerville" w:cs="Arabic Typesetting"/>
        </w:rPr>
        <w:t xml:space="preserve"> </w:t>
      </w:r>
      <w:r w:rsidR="00C45499" w:rsidRPr="007B25AE">
        <w:rPr>
          <w:rFonts w:ascii="Baskerville" w:eastAsia="MS PMincho" w:hAnsi="Baskerville" w:cs="Arabic Typesetting"/>
        </w:rPr>
        <w:t xml:space="preserve">set of </w:t>
      </w:r>
      <w:r w:rsidR="004A49C7" w:rsidRPr="007B25AE">
        <w:rPr>
          <w:rFonts w:ascii="Baskerville" w:eastAsia="MS PMincho" w:hAnsi="Baskerville" w:cs="Arabic Typesetting"/>
        </w:rPr>
        <w:t>articles, books, and other sources</w:t>
      </w:r>
      <w:r w:rsidR="003B19B3" w:rsidRPr="007B25AE">
        <w:rPr>
          <w:rFonts w:ascii="Baskerville" w:eastAsia="MS PMincho" w:hAnsi="Baskerville" w:cs="Arabic Typesetting"/>
        </w:rPr>
        <w:t xml:space="preserve">, </w:t>
      </w:r>
      <w:r w:rsidR="00CA40DB" w:rsidRPr="007B25AE">
        <w:rPr>
          <w:rFonts w:ascii="Baskerville" w:eastAsia="MS PMincho" w:hAnsi="Baskerville" w:cs="Arabic Typesetting"/>
        </w:rPr>
        <w:t>the</w:t>
      </w:r>
      <w:r w:rsidR="00450324" w:rsidRPr="007B25AE">
        <w:rPr>
          <w:rFonts w:ascii="Baskerville" w:eastAsia="MS PMincho" w:hAnsi="Baskerville" w:cs="Arabic Typesetting"/>
        </w:rPr>
        <w:t xml:space="preserve"> historical ba</w:t>
      </w:r>
      <w:r w:rsidR="00CA40DB" w:rsidRPr="007B25AE">
        <w:rPr>
          <w:rFonts w:ascii="Baskerville" w:eastAsia="MS PMincho" w:hAnsi="Baskerville" w:cs="Arabic Typesetting"/>
        </w:rPr>
        <w:t xml:space="preserve">ckground </w:t>
      </w:r>
      <w:r w:rsidR="00D16F44" w:rsidRPr="007B25AE">
        <w:rPr>
          <w:rFonts w:ascii="Baskerville" w:eastAsia="MS PMincho" w:hAnsi="Baskerville" w:cs="Arabic Typesetting"/>
        </w:rPr>
        <w:t xml:space="preserve">is </w:t>
      </w:r>
      <w:r w:rsidR="008D5EB5" w:rsidRPr="007B25AE">
        <w:rPr>
          <w:rFonts w:ascii="Baskerville" w:eastAsia="MS PMincho" w:hAnsi="Baskerville" w:cs="Arabic Typesetting"/>
        </w:rPr>
        <w:t>expanded</w:t>
      </w:r>
      <w:r w:rsidR="00D16F44" w:rsidRPr="007B25AE">
        <w:rPr>
          <w:rFonts w:ascii="Baskerville" w:eastAsia="MS PMincho" w:hAnsi="Baskerville" w:cs="Arabic Typesetting"/>
        </w:rPr>
        <w:t xml:space="preserve"> in a manner that </w:t>
      </w:r>
      <w:r w:rsidR="00D960B4" w:rsidRPr="007B25AE">
        <w:rPr>
          <w:rFonts w:ascii="Baskerville" w:eastAsia="MS PMincho" w:hAnsi="Baskerville" w:cs="Arabic Typesetting"/>
        </w:rPr>
        <w:t>appear</w:t>
      </w:r>
      <w:r w:rsidR="00C45499" w:rsidRPr="007B25AE">
        <w:rPr>
          <w:rFonts w:ascii="Baskerville" w:eastAsia="MS PMincho" w:hAnsi="Baskerville" w:cs="Arabic Typesetting"/>
        </w:rPr>
        <w:t>s</w:t>
      </w:r>
      <w:r w:rsidR="00984842" w:rsidRPr="007B25AE">
        <w:rPr>
          <w:rFonts w:ascii="Baskerville" w:eastAsia="MS PMincho" w:hAnsi="Baskerville" w:cs="Arabic Typesetting"/>
        </w:rPr>
        <w:t>, at first,</w:t>
      </w:r>
      <w:r w:rsidR="00D960B4" w:rsidRPr="007B25AE">
        <w:rPr>
          <w:rFonts w:ascii="Baskerville" w:eastAsia="MS PMincho" w:hAnsi="Baskerville" w:cs="Arabic Typesetting"/>
        </w:rPr>
        <w:t xml:space="preserve"> to</w:t>
      </w:r>
      <w:r w:rsidR="00984842" w:rsidRPr="007B25AE">
        <w:rPr>
          <w:rFonts w:ascii="Baskerville" w:eastAsia="MS PMincho" w:hAnsi="Baskerville" w:cs="Arabic Typesetting"/>
        </w:rPr>
        <w:t xml:space="preserve"> </w:t>
      </w:r>
      <w:r w:rsidR="00D26F09" w:rsidRPr="007B25AE">
        <w:rPr>
          <w:rFonts w:ascii="Baskerville" w:eastAsia="MS PMincho" w:hAnsi="Baskerville" w:cs="Arabic Typesetting"/>
        </w:rPr>
        <w:t xml:space="preserve">be </w:t>
      </w:r>
      <w:r w:rsidR="00D960B4" w:rsidRPr="007B25AE">
        <w:rPr>
          <w:rFonts w:ascii="Baskerville" w:eastAsia="MS PMincho" w:hAnsi="Baskerville" w:cs="Arabic Typesetting"/>
        </w:rPr>
        <w:t xml:space="preserve">gradually </w:t>
      </w:r>
      <w:r w:rsidR="000E4FCE" w:rsidRPr="007B25AE">
        <w:rPr>
          <w:rFonts w:ascii="Baskerville" w:eastAsia="MS PMincho" w:hAnsi="Baskerville" w:cs="Arabic Typesetting"/>
        </w:rPr>
        <w:t>merging</w:t>
      </w:r>
      <w:r w:rsidR="00984842" w:rsidRPr="007B25AE">
        <w:rPr>
          <w:rFonts w:ascii="Baskerville" w:eastAsia="MS PMincho" w:hAnsi="Baskerville" w:cs="Arabic Typesetting"/>
        </w:rPr>
        <w:t xml:space="preserve"> </w:t>
      </w:r>
      <w:r w:rsidR="0031196E" w:rsidRPr="007B25AE">
        <w:rPr>
          <w:rFonts w:ascii="Baskerville" w:eastAsia="MS PMincho" w:hAnsi="Baskerville" w:cs="Arabic Typesetting"/>
        </w:rPr>
        <w:t>into</w:t>
      </w:r>
      <w:r w:rsidR="000E4FCE" w:rsidRPr="007B25AE">
        <w:rPr>
          <w:rFonts w:ascii="Baskerville" w:eastAsia="MS PMincho" w:hAnsi="Baskerville" w:cs="Arabic Typesetting"/>
        </w:rPr>
        <w:t xml:space="preserve"> </w:t>
      </w:r>
      <w:r w:rsidR="00D960B4" w:rsidRPr="007B25AE">
        <w:rPr>
          <w:rFonts w:ascii="Baskerville" w:eastAsia="MS PMincho" w:hAnsi="Baskerville" w:cs="Arabic Typesetting"/>
        </w:rPr>
        <w:t>a</w:t>
      </w:r>
      <w:r w:rsidR="00D6485D" w:rsidRPr="007B25AE">
        <w:rPr>
          <w:rFonts w:ascii="Baskerville" w:eastAsia="MS PMincho" w:hAnsi="Baskerville" w:cs="Arabic Typesetting"/>
        </w:rPr>
        <w:t xml:space="preserve"> discussion </w:t>
      </w:r>
      <w:r w:rsidR="00D16F44" w:rsidRPr="007B25AE">
        <w:rPr>
          <w:rFonts w:ascii="Baskerville" w:eastAsia="MS PMincho" w:hAnsi="Baskerville" w:cs="Arabic Typesetting"/>
        </w:rPr>
        <w:t>o</w:t>
      </w:r>
      <w:r w:rsidR="006637A5" w:rsidRPr="007B25AE">
        <w:rPr>
          <w:rFonts w:ascii="Baskerville" w:eastAsia="MS PMincho" w:hAnsi="Baskerville" w:cs="Arabic Typesetting"/>
        </w:rPr>
        <w:t>n</w:t>
      </w:r>
      <w:r w:rsidR="00D16F44" w:rsidRPr="007B25AE">
        <w:rPr>
          <w:rFonts w:ascii="Baskerville" w:eastAsia="MS PMincho" w:hAnsi="Baskerville" w:cs="Arabic Typesetting"/>
        </w:rPr>
        <w:t xml:space="preserve"> the</w:t>
      </w:r>
      <w:r w:rsidR="0033086D" w:rsidRPr="007B25AE">
        <w:rPr>
          <w:rFonts w:ascii="Baskerville" w:eastAsia="MS PMincho" w:hAnsi="Baskerville" w:cs="Arabic Typesetting"/>
        </w:rPr>
        <w:t xml:space="preserve"> </w:t>
      </w:r>
      <w:r w:rsidR="003A7E26" w:rsidRPr="007B25AE">
        <w:rPr>
          <w:rFonts w:ascii="Baskerville" w:eastAsia="MS PMincho" w:hAnsi="Baskerville" w:cs="Arabic Typesetting"/>
        </w:rPr>
        <w:t xml:space="preserve">percentages </w:t>
      </w:r>
      <w:r w:rsidR="00D16F44" w:rsidRPr="007B25AE">
        <w:rPr>
          <w:rFonts w:ascii="Baskerville" w:eastAsia="MS PMincho" w:hAnsi="Baskerville" w:cs="Arabic Typesetting"/>
        </w:rPr>
        <w:t>of candidates by</w:t>
      </w:r>
      <w:r w:rsidR="003E0BE2" w:rsidRPr="007B25AE">
        <w:rPr>
          <w:rFonts w:ascii="Baskerville" w:eastAsia="MS PMincho" w:hAnsi="Baskerville" w:cs="Arabic Typesetting"/>
        </w:rPr>
        <w:t xml:space="preserve"> </w:t>
      </w:r>
      <w:r w:rsidR="00D960B4" w:rsidRPr="007B25AE">
        <w:rPr>
          <w:rFonts w:ascii="Baskerville" w:eastAsia="MS PMincho" w:hAnsi="Baskerville" w:cs="Arabic Typesetting"/>
        </w:rPr>
        <w:t>ethnicity, class</w:t>
      </w:r>
      <w:r w:rsidR="00984842" w:rsidRPr="007B25AE">
        <w:rPr>
          <w:rFonts w:ascii="Baskerville" w:eastAsia="MS PMincho" w:hAnsi="Baskerville" w:cs="Arabic Typesetting"/>
        </w:rPr>
        <w:t>, and race</w:t>
      </w:r>
      <w:r w:rsidR="006637A5" w:rsidRPr="007B25AE">
        <w:rPr>
          <w:rFonts w:ascii="Baskerville" w:eastAsia="MS PMincho" w:hAnsi="Baskerville" w:cs="Arabic Typesetting"/>
        </w:rPr>
        <w:t>,</w:t>
      </w:r>
      <w:r w:rsidR="0033086D" w:rsidRPr="007B25AE">
        <w:rPr>
          <w:rFonts w:ascii="Baskerville" w:eastAsia="MS PMincho" w:hAnsi="Baskerville" w:cs="Arabic Typesetting"/>
        </w:rPr>
        <w:t xml:space="preserve"> </w:t>
      </w:r>
      <w:r w:rsidR="00C45499" w:rsidRPr="007B25AE">
        <w:rPr>
          <w:rFonts w:ascii="Baskerville" w:eastAsia="MS PMincho" w:hAnsi="Baskerville" w:cs="Arabic Typesetting"/>
        </w:rPr>
        <w:t>etc.</w:t>
      </w:r>
      <w:r w:rsidR="00116B45" w:rsidRPr="007B25AE">
        <w:rPr>
          <w:rFonts w:ascii="Baskerville" w:eastAsia="MS PMincho" w:hAnsi="Baskerville" w:cs="Arabic Typesetting"/>
        </w:rPr>
        <w:t xml:space="preserve"> </w:t>
      </w:r>
      <w:r w:rsidR="00C45499" w:rsidRPr="007B25AE">
        <w:rPr>
          <w:rFonts w:ascii="Baskerville" w:eastAsia="MS PMincho" w:hAnsi="Baskerville" w:cs="Arabic Typesetting"/>
        </w:rPr>
        <w:t xml:space="preserve"> </w:t>
      </w:r>
      <w:r w:rsidR="00116B45" w:rsidRPr="007B25AE">
        <w:rPr>
          <w:rFonts w:ascii="Baskerville" w:eastAsia="MS PMincho" w:hAnsi="Baskerville" w:cs="Arabic Typesetting"/>
        </w:rPr>
        <w:t>T</w:t>
      </w:r>
      <w:r w:rsidR="006637A5" w:rsidRPr="007B25AE">
        <w:rPr>
          <w:rFonts w:ascii="Baskerville" w:eastAsia="MS PMincho" w:hAnsi="Baskerville" w:cs="Arabic Typesetting"/>
        </w:rPr>
        <w:t xml:space="preserve">hese </w:t>
      </w:r>
      <w:r w:rsidR="0031196E" w:rsidRPr="007B25AE">
        <w:rPr>
          <w:rFonts w:ascii="Baskerville" w:eastAsia="MS PMincho" w:hAnsi="Baskerville" w:cs="Arabic Typesetting"/>
        </w:rPr>
        <w:t>demographic</w:t>
      </w:r>
      <w:r w:rsidR="00116B45" w:rsidRPr="007B25AE">
        <w:rPr>
          <w:rFonts w:ascii="Baskerville" w:eastAsia="MS PMincho" w:hAnsi="Baskerville" w:cs="Arabic Typesetting"/>
        </w:rPr>
        <w:t>al</w:t>
      </w:r>
      <w:r w:rsidR="0031196E" w:rsidRPr="007B25AE">
        <w:rPr>
          <w:rFonts w:ascii="Baskerville" w:eastAsia="MS PMincho" w:hAnsi="Baskerville" w:cs="Arabic Typesetting"/>
        </w:rPr>
        <w:t xml:space="preserve"> </w:t>
      </w:r>
      <w:r w:rsidR="006637A5" w:rsidRPr="007B25AE">
        <w:rPr>
          <w:rFonts w:ascii="Baskerville" w:eastAsia="MS PMincho" w:hAnsi="Baskerville" w:cs="Arabic Typesetting"/>
        </w:rPr>
        <w:t xml:space="preserve">characteristics appear to </w:t>
      </w:r>
      <w:r w:rsidR="00D960B4" w:rsidRPr="007B25AE">
        <w:rPr>
          <w:rFonts w:ascii="Baskerville" w:eastAsia="MS PMincho" w:hAnsi="Baskerville" w:cs="Arabic Typesetting"/>
        </w:rPr>
        <w:t xml:space="preserve">play </w:t>
      </w:r>
      <w:r w:rsidR="00116B45" w:rsidRPr="007B25AE">
        <w:rPr>
          <w:rFonts w:ascii="Baskerville" w:eastAsia="MS PMincho" w:hAnsi="Baskerville" w:cs="Arabic Typesetting"/>
        </w:rPr>
        <w:t xml:space="preserve">an important part </w:t>
      </w:r>
      <w:r w:rsidR="00D960B4" w:rsidRPr="007B25AE">
        <w:rPr>
          <w:rFonts w:ascii="Baskerville" w:eastAsia="MS PMincho" w:hAnsi="Baskerville" w:cs="Arabic Typesetting"/>
        </w:rPr>
        <w:t xml:space="preserve">in </w:t>
      </w:r>
      <w:r w:rsidR="008D5EB5" w:rsidRPr="007B25AE">
        <w:rPr>
          <w:rFonts w:ascii="Baskerville" w:eastAsia="MS PMincho" w:hAnsi="Baskerville" w:cs="Arabic Typesetting"/>
        </w:rPr>
        <w:t xml:space="preserve">either </w:t>
      </w:r>
      <w:r w:rsidR="009463CA" w:rsidRPr="007B25AE">
        <w:rPr>
          <w:rFonts w:ascii="Baskerville" w:eastAsia="MS PMincho" w:hAnsi="Baskerville" w:cs="Arabic Typesetting"/>
        </w:rPr>
        <w:t>aid</w:t>
      </w:r>
      <w:r w:rsidR="00D960B4" w:rsidRPr="007B25AE">
        <w:rPr>
          <w:rFonts w:ascii="Baskerville" w:eastAsia="MS PMincho" w:hAnsi="Baskerville" w:cs="Arabic Typesetting"/>
        </w:rPr>
        <w:t xml:space="preserve">ing or hindering </w:t>
      </w:r>
      <w:r w:rsidR="008D5EB5" w:rsidRPr="007B25AE">
        <w:rPr>
          <w:rFonts w:ascii="Baskerville" w:eastAsia="MS PMincho" w:hAnsi="Baskerville" w:cs="Arabic Typesetting"/>
        </w:rPr>
        <w:t xml:space="preserve">prospective </w:t>
      </w:r>
      <w:r w:rsidR="009463CA" w:rsidRPr="007B25AE">
        <w:rPr>
          <w:rFonts w:ascii="Baskerville" w:eastAsia="MS PMincho" w:hAnsi="Baskerville" w:cs="Arabic Typesetting"/>
        </w:rPr>
        <w:t>teachers</w:t>
      </w:r>
      <w:r w:rsidR="006637A5" w:rsidRPr="007B25AE">
        <w:rPr>
          <w:rFonts w:ascii="Baskerville" w:eastAsia="MS PMincho" w:hAnsi="Baskerville" w:cs="Arabic Typesetting"/>
        </w:rPr>
        <w:t xml:space="preserve"> </w:t>
      </w:r>
      <w:r w:rsidR="00C45499" w:rsidRPr="007B25AE">
        <w:rPr>
          <w:rFonts w:ascii="Baskerville" w:eastAsia="MS PMincho" w:hAnsi="Baskerville" w:cs="Arabic Typesetting"/>
        </w:rPr>
        <w:t>in their effort to</w:t>
      </w:r>
      <w:r w:rsidR="000E4FCE" w:rsidRPr="007B25AE">
        <w:rPr>
          <w:rFonts w:ascii="Baskerville" w:eastAsia="MS PMincho" w:hAnsi="Baskerville" w:cs="Arabic Typesetting"/>
        </w:rPr>
        <w:t xml:space="preserve"> </w:t>
      </w:r>
      <w:r w:rsidR="00984842" w:rsidRPr="007B25AE">
        <w:rPr>
          <w:rFonts w:ascii="Baskerville" w:eastAsia="MS PMincho" w:hAnsi="Baskerville" w:cs="Arabic Typesetting"/>
        </w:rPr>
        <w:t xml:space="preserve">meet the </w:t>
      </w:r>
      <w:r w:rsidR="00C0264B" w:rsidRPr="007B25AE">
        <w:rPr>
          <w:rFonts w:ascii="Baskerville" w:eastAsia="MS PMincho" w:hAnsi="Baskerville" w:cs="Arabic Typesetting"/>
        </w:rPr>
        <w:t>requirements</w:t>
      </w:r>
      <w:r w:rsidR="00902B23" w:rsidRPr="007B25AE">
        <w:rPr>
          <w:rFonts w:ascii="Baskerville" w:eastAsia="MS PMincho" w:hAnsi="Baskerville" w:cs="Arabic Typesetting"/>
        </w:rPr>
        <w:t xml:space="preserve"> </w:t>
      </w:r>
      <w:r w:rsidR="006637A5" w:rsidRPr="007B25AE">
        <w:rPr>
          <w:rFonts w:ascii="Baskerville" w:eastAsia="MS PMincho" w:hAnsi="Baskerville" w:cs="Arabic Typesetting"/>
        </w:rPr>
        <w:t xml:space="preserve">needed to </w:t>
      </w:r>
      <w:r w:rsidR="00902B23" w:rsidRPr="007B25AE">
        <w:rPr>
          <w:rFonts w:ascii="Baskerville" w:eastAsia="MS PMincho" w:hAnsi="Baskerville" w:cs="Arabic Typesetting"/>
        </w:rPr>
        <w:t>becom</w:t>
      </w:r>
      <w:r w:rsidR="006637A5" w:rsidRPr="007B25AE">
        <w:rPr>
          <w:rFonts w:ascii="Baskerville" w:eastAsia="MS PMincho" w:hAnsi="Baskerville" w:cs="Arabic Typesetting"/>
        </w:rPr>
        <w:t>e</w:t>
      </w:r>
      <w:r w:rsidR="00D26F09" w:rsidRPr="007B25AE">
        <w:rPr>
          <w:rFonts w:ascii="Baskerville" w:eastAsia="MS PMincho" w:hAnsi="Baskerville" w:cs="Arabic Typesetting"/>
        </w:rPr>
        <w:t xml:space="preserve"> </w:t>
      </w:r>
      <w:r w:rsidR="00116B45" w:rsidRPr="007B25AE">
        <w:rPr>
          <w:rFonts w:ascii="Baskerville" w:eastAsia="MS PMincho" w:hAnsi="Baskerville" w:cs="Arabic Typesetting"/>
        </w:rPr>
        <w:t xml:space="preserve">full-fledged </w:t>
      </w:r>
      <w:r w:rsidR="00902B23" w:rsidRPr="007B25AE">
        <w:rPr>
          <w:rFonts w:ascii="Baskerville" w:eastAsia="MS PMincho" w:hAnsi="Baskerville" w:cs="Arabic Typesetting"/>
        </w:rPr>
        <w:t xml:space="preserve">teachers. </w:t>
      </w:r>
    </w:p>
    <w:p w14:paraId="3250F122" w14:textId="04205E3E" w:rsidR="00BD5F96" w:rsidRPr="007B25AE" w:rsidRDefault="003A7E26"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By t</w:t>
      </w:r>
      <w:r w:rsidR="00E414C3" w:rsidRPr="007B25AE">
        <w:rPr>
          <w:rFonts w:ascii="Baskerville" w:eastAsia="MS PMincho" w:hAnsi="Baskerville" w:cs="Arabic Typesetting"/>
        </w:rPr>
        <w:t>h</w:t>
      </w:r>
      <w:r w:rsidR="00D2265F" w:rsidRPr="007B25AE">
        <w:rPr>
          <w:rFonts w:ascii="Baskerville" w:eastAsia="MS PMincho" w:hAnsi="Baskerville" w:cs="Arabic Typesetting"/>
        </w:rPr>
        <w:t>at</w:t>
      </w:r>
      <w:r w:rsidR="003E0BE2" w:rsidRPr="007B25AE">
        <w:rPr>
          <w:rFonts w:ascii="Baskerville" w:eastAsia="MS PMincho" w:hAnsi="Baskerville" w:cs="Arabic Typesetting"/>
        </w:rPr>
        <w:t xml:space="preserve"> point</w:t>
      </w:r>
      <w:r w:rsidR="00C45499" w:rsidRPr="007B25AE">
        <w:rPr>
          <w:rFonts w:ascii="Baskerville" w:eastAsia="MS PMincho" w:hAnsi="Baskerville" w:cs="Arabic Typesetting"/>
        </w:rPr>
        <w:t xml:space="preserve"> in the </w:t>
      </w:r>
      <w:r w:rsidR="003B5447" w:rsidRPr="007B25AE">
        <w:rPr>
          <w:rFonts w:ascii="Baskerville" w:eastAsia="MS PMincho" w:hAnsi="Baskerville" w:cs="Arabic Typesetting"/>
        </w:rPr>
        <w:t>Literature</w:t>
      </w:r>
      <w:r w:rsidR="00EF41BF" w:rsidRPr="007B25AE">
        <w:rPr>
          <w:rFonts w:ascii="Baskerville" w:eastAsia="MS PMincho" w:hAnsi="Baskerville" w:cs="Arabic Typesetting"/>
        </w:rPr>
        <w:t xml:space="preserve"> </w:t>
      </w:r>
      <w:r w:rsidR="00C45499" w:rsidRPr="007B25AE">
        <w:rPr>
          <w:rFonts w:ascii="Baskerville" w:eastAsia="MS PMincho" w:hAnsi="Baskerville" w:cs="Arabic Typesetting"/>
        </w:rPr>
        <w:t>Review</w:t>
      </w:r>
      <w:r w:rsidR="00E414C3" w:rsidRPr="007B25AE">
        <w:rPr>
          <w:rFonts w:ascii="Baskerville" w:eastAsia="MS PMincho" w:hAnsi="Baskerville" w:cs="Arabic Typesetting"/>
        </w:rPr>
        <w:t>, the</w:t>
      </w:r>
      <w:r w:rsidR="009463CA" w:rsidRPr="007B25AE">
        <w:rPr>
          <w:rFonts w:ascii="Baskerville" w:eastAsia="MS PMincho" w:hAnsi="Baskerville" w:cs="Arabic Typesetting"/>
        </w:rPr>
        <w:t xml:space="preserve">re </w:t>
      </w:r>
      <w:r w:rsidR="008D5EB5" w:rsidRPr="007B25AE">
        <w:rPr>
          <w:rFonts w:ascii="Baskerville" w:eastAsia="MS PMincho" w:hAnsi="Baskerville" w:cs="Arabic Typesetting"/>
        </w:rPr>
        <w:t xml:space="preserve">had </w:t>
      </w:r>
      <w:r w:rsidR="00347D52" w:rsidRPr="007B25AE">
        <w:rPr>
          <w:rFonts w:ascii="Baskerville" w:eastAsia="MS PMincho" w:hAnsi="Baskerville" w:cs="Arabic Typesetting"/>
        </w:rPr>
        <w:t>set up a continuous flow</w:t>
      </w:r>
      <w:r w:rsidR="003E0BE2" w:rsidRPr="007B25AE">
        <w:rPr>
          <w:rFonts w:ascii="Baskerville" w:eastAsia="MS PMincho" w:hAnsi="Baskerville" w:cs="Arabic Typesetting"/>
        </w:rPr>
        <w:t xml:space="preserve"> of the </w:t>
      </w:r>
      <w:r w:rsidR="00E414C3" w:rsidRPr="007B25AE">
        <w:rPr>
          <w:rFonts w:ascii="Baskerville" w:eastAsia="MS PMincho" w:hAnsi="Baskerville" w:cs="Arabic Typesetting"/>
        </w:rPr>
        <w:t xml:space="preserve">historical </w:t>
      </w:r>
      <w:r w:rsidR="00347D52" w:rsidRPr="007B25AE">
        <w:rPr>
          <w:rFonts w:ascii="Baskerville" w:eastAsia="MS PMincho" w:hAnsi="Baskerville" w:cs="Arabic Typesetting"/>
        </w:rPr>
        <w:t>basis</w:t>
      </w:r>
      <w:r w:rsidR="003B5447" w:rsidRPr="007B25AE">
        <w:rPr>
          <w:rFonts w:ascii="Baskerville" w:eastAsia="MS PMincho" w:hAnsi="Baskerville" w:cs="Arabic Typesetting"/>
        </w:rPr>
        <w:t>,</w:t>
      </w:r>
      <w:r w:rsidR="009463CA" w:rsidRPr="007B25AE">
        <w:rPr>
          <w:rFonts w:ascii="Baskerville" w:eastAsia="MS PMincho" w:hAnsi="Baskerville" w:cs="Arabic Typesetting"/>
        </w:rPr>
        <w:t xml:space="preserve"> </w:t>
      </w:r>
      <w:r w:rsidR="003E0BE2" w:rsidRPr="007B25AE">
        <w:rPr>
          <w:rFonts w:ascii="Baskerville" w:eastAsia="MS PMincho" w:hAnsi="Baskerville" w:cs="Arabic Typesetting"/>
        </w:rPr>
        <w:t xml:space="preserve">from the </w:t>
      </w:r>
      <w:r w:rsidR="00CD03E5" w:rsidRPr="007B25AE">
        <w:rPr>
          <w:rFonts w:ascii="Baskerville" w:eastAsia="MS PMincho" w:hAnsi="Baskerville" w:cs="Arabic Typesetting"/>
        </w:rPr>
        <w:t>Lit Review-</w:t>
      </w:r>
      <w:r w:rsidR="003E0BE2" w:rsidRPr="007B25AE">
        <w:rPr>
          <w:rFonts w:ascii="Baskerville" w:eastAsia="MS PMincho" w:hAnsi="Baskerville" w:cs="Arabic Typesetting"/>
        </w:rPr>
        <w:t>introduct</w:t>
      </w:r>
      <w:r w:rsidR="009463CA" w:rsidRPr="007B25AE">
        <w:rPr>
          <w:rFonts w:ascii="Baskerville" w:eastAsia="MS PMincho" w:hAnsi="Baskerville" w:cs="Arabic Typesetting"/>
        </w:rPr>
        <w:t>ory segment</w:t>
      </w:r>
      <w:r w:rsidR="003B5447" w:rsidRPr="007B25AE">
        <w:rPr>
          <w:rFonts w:ascii="Baskerville" w:eastAsia="MS PMincho" w:hAnsi="Baskerville" w:cs="Arabic Typesetting"/>
        </w:rPr>
        <w:t>,</w:t>
      </w:r>
      <w:r w:rsidR="003E0BE2" w:rsidRPr="007B25AE">
        <w:rPr>
          <w:rFonts w:ascii="Baskerville" w:eastAsia="MS PMincho" w:hAnsi="Baskerville" w:cs="Arabic Typesetting"/>
        </w:rPr>
        <w:t xml:space="preserve"> into the body</w:t>
      </w:r>
      <w:r w:rsidR="00596E02" w:rsidRPr="007B25AE">
        <w:rPr>
          <w:rFonts w:ascii="Baskerville" w:eastAsia="MS PMincho" w:hAnsi="Baskerville" w:cs="Arabic Typesetting"/>
        </w:rPr>
        <w:t xml:space="preserve"> of the </w:t>
      </w:r>
      <w:r w:rsidR="003B5447" w:rsidRPr="007B25AE">
        <w:rPr>
          <w:rFonts w:ascii="Baskerville" w:eastAsia="MS PMincho" w:hAnsi="Baskerville" w:cs="Arabic Typesetting"/>
        </w:rPr>
        <w:t xml:space="preserve">Lit </w:t>
      </w:r>
      <w:r w:rsidR="00596E02" w:rsidRPr="007B25AE">
        <w:rPr>
          <w:rFonts w:ascii="Baskerville" w:eastAsia="MS PMincho" w:hAnsi="Baskerville" w:cs="Arabic Typesetting"/>
        </w:rPr>
        <w:t>Review</w:t>
      </w:r>
      <w:r w:rsidR="00E414C3" w:rsidRPr="007B25AE">
        <w:rPr>
          <w:rFonts w:ascii="Baskerville" w:eastAsia="MS PMincho" w:hAnsi="Baskerville" w:cs="Arabic Typesetting"/>
        </w:rPr>
        <w:t xml:space="preserve">. </w:t>
      </w:r>
      <w:r w:rsidR="0033086D" w:rsidRPr="007B25AE">
        <w:rPr>
          <w:rFonts w:ascii="Baskerville" w:eastAsia="MS PMincho" w:hAnsi="Baskerville" w:cs="Arabic Typesetting"/>
        </w:rPr>
        <w:t>But</w:t>
      </w:r>
      <w:r w:rsidR="00556089" w:rsidRPr="007B25AE">
        <w:rPr>
          <w:rFonts w:ascii="Baskerville" w:eastAsia="MS PMincho" w:hAnsi="Baskerville" w:cs="Arabic Typesetting"/>
        </w:rPr>
        <w:t>,</w:t>
      </w:r>
      <w:r w:rsidR="0033086D" w:rsidRPr="007B25AE">
        <w:rPr>
          <w:rFonts w:ascii="Baskerville" w:eastAsia="MS PMincho" w:hAnsi="Baskerville" w:cs="Arabic Typesetting"/>
        </w:rPr>
        <w:t xml:space="preserve"> in the end, there </w:t>
      </w:r>
      <w:r w:rsidR="000E4FCE" w:rsidRPr="007B25AE">
        <w:rPr>
          <w:rFonts w:ascii="Baskerville" w:eastAsia="MS PMincho" w:hAnsi="Baskerville" w:cs="Arabic Typesetting"/>
        </w:rPr>
        <w:t>i</w:t>
      </w:r>
      <w:r w:rsidR="0033086D" w:rsidRPr="007B25AE">
        <w:rPr>
          <w:rFonts w:ascii="Baskerville" w:eastAsia="MS PMincho" w:hAnsi="Baskerville" w:cs="Arabic Typesetting"/>
        </w:rPr>
        <w:t>s only t</w:t>
      </w:r>
      <w:r w:rsidR="00902B23" w:rsidRPr="007B25AE">
        <w:rPr>
          <w:rFonts w:ascii="Baskerville" w:eastAsia="MS PMincho" w:hAnsi="Baskerville" w:cs="Arabic Typesetting"/>
        </w:rPr>
        <w:t>h</w:t>
      </w:r>
      <w:r w:rsidR="00D26F09" w:rsidRPr="007B25AE">
        <w:rPr>
          <w:rFonts w:ascii="Baskerville" w:eastAsia="MS PMincho" w:hAnsi="Baskerville" w:cs="Arabic Typesetting"/>
        </w:rPr>
        <w:t>e</w:t>
      </w:r>
      <w:r w:rsidR="00902B23" w:rsidRPr="007B25AE">
        <w:rPr>
          <w:rFonts w:ascii="Baskerville" w:eastAsia="MS PMincho" w:hAnsi="Baskerville" w:cs="Arabic Typesetting"/>
        </w:rPr>
        <w:t xml:space="preserve"> suggest</w:t>
      </w:r>
      <w:r w:rsidR="00D26F09" w:rsidRPr="007B25AE">
        <w:rPr>
          <w:rFonts w:ascii="Baskerville" w:eastAsia="MS PMincho" w:hAnsi="Baskerville" w:cs="Arabic Typesetting"/>
        </w:rPr>
        <w:t>ion</w:t>
      </w:r>
      <w:r w:rsidR="002768E1" w:rsidRPr="007B25AE">
        <w:rPr>
          <w:rFonts w:ascii="Baskerville" w:eastAsia="MS PMincho" w:hAnsi="Baskerville" w:cs="Arabic Typesetting"/>
        </w:rPr>
        <w:t xml:space="preserve"> </w:t>
      </w:r>
      <w:r w:rsidR="00902B23" w:rsidRPr="007B25AE">
        <w:rPr>
          <w:rFonts w:ascii="Baskerville" w:eastAsia="MS PMincho" w:hAnsi="Baskerville" w:cs="Arabic Typesetting"/>
        </w:rPr>
        <w:t xml:space="preserve">that the </w:t>
      </w:r>
      <w:r w:rsidR="002768E1" w:rsidRPr="007B25AE">
        <w:rPr>
          <w:rFonts w:ascii="Baskerville" w:eastAsia="MS PMincho" w:hAnsi="Baskerville" w:cs="Arabic Typesetting"/>
        </w:rPr>
        <w:t>interrogative</w:t>
      </w:r>
      <w:r w:rsidR="00556089" w:rsidRPr="007B25AE">
        <w:rPr>
          <w:rFonts w:ascii="Baskerville" w:eastAsia="MS PMincho" w:hAnsi="Baskerville" w:cs="Arabic Typesetting"/>
        </w:rPr>
        <w:t>-</w:t>
      </w:r>
      <w:r w:rsidR="00CD03E5" w:rsidRPr="007B25AE">
        <w:rPr>
          <w:rFonts w:ascii="Baskerville" w:eastAsia="MS PMincho" w:hAnsi="Baskerville" w:cs="Arabic Typesetting"/>
        </w:rPr>
        <w:t>heading</w:t>
      </w:r>
      <w:r w:rsidR="00116B45" w:rsidRPr="007B25AE">
        <w:rPr>
          <w:rFonts w:ascii="Baskerville" w:eastAsia="MS PMincho" w:hAnsi="Baskerville" w:cs="Arabic Typesetting"/>
        </w:rPr>
        <w:t>,</w:t>
      </w:r>
      <w:r w:rsidR="00CD03E5" w:rsidRPr="007B25AE">
        <w:rPr>
          <w:rFonts w:ascii="Baskerville" w:eastAsia="MS PMincho" w:hAnsi="Baskerville" w:cs="Arabic Typesetting"/>
        </w:rPr>
        <w:t xml:space="preserve"> </w:t>
      </w:r>
      <w:r w:rsidR="00596E02" w:rsidRPr="007B25AE">
        <w:rPr>
          <w:rFonts w:ascii="Baskerville" w:eastAsia="MS PMincho" w:hAnsi="Baskerville" w:cs="Arabic Typesetting"/>
        </w:rPr>
        <w:t>which</w:t>
      </w:r>
      <w:r w:rsidR="00CD03E5" w:rsidRPr="007B25AE">
        <w:rPr>
          <w:rFonts w:ascii="Baskerville" w:eastAsia="MS PMincho" w:hAnsi="Baskerville" w:cs="Arabic Typesetting"/>
        </w:rPr>
        <w:t xml:space="preserve"> kicked off</w:t>
      </w:r>
      <w:r w:rsidR="00D26F09" w:rsidRPr="007B25AE">
        <w:rPr>
          <w:rFonts w:ascii="Baskerville" w:eastAsia="MS PMincho" w:hAnsi="Baskerville" w:cs="Arabic Typesetting"/>
        </w:rPr>
        <w:t xml:space="preserve"> </w:t>
      </w:r>
      <w:r w:rsidR="00BA078A" w:rsidRPr="007B25AE">
        <w:rPr>
          <w:rFonts w:ascii="Baskerville" w:eastAsia="MS PMincho" w:hAnsi="Baskerville" w:cs="Arabic Typesetting"/>
        </w:rPr>
        <w:t>t</w:t>
      </w:r>
      <w:r w:rsidR="00D26F09" w:rsidRPr="007B25AE">
        <w:rPr>
          <w:rFonts w:ascii="Baskerville" w:eastAsia="MS PMincho" w:hAnsi="Baskerville" w:cs="Arabic Typesetting"/>
        </w:rPr>
        <w:t>he</w:t>
      </w:r>
      <w:r w:rsidR="00BA078A" w:rsidRPr="007B25AE">
        <w:rPr>
          <w:rFonts w:ascii="Baskerville" w:eastAsia="MS PMincho" w:hAnsi="Baskerville" w:cs="Arabic Typesetting"/>
        </w:rPr>
        <w:t xml:space="preserve"> </w:t>
      </w:r>
      <w:r w:rsidR="00CD03E5" w:rsidRPr="007B25AE">
        <w:rPr>
          <w:rFonts w:ascii="Baskerville" w:eastAsia="MS PMincho" w:hAnsi="Baskerville" w:cs="Arabic Typesetting"/>
        </w:rPr>
        <w:t xml:space="preserve">body </w:t>
      </w:r>
      <w:r w:rsidR="00BA078A" w:rsidRPr="007B25AE">
        <w:rPr>
          <w:rFonts w:ascii="Baskerville" w:eastAsia="MS PMincho" w:hAnsi="Baskerville" w:cs="Arabic Typesetting"/>
        </w:rPr>
        <w:t>segment</w:t>
      </w:r>
      <w:r w:rsidR="00116B45" w:rsidRPr="007B25AE">
        <w:rPr>
          <w:rFonts w:ascii="Baskerville" w:eastAsia="MS PMincho" w:hAnsi="Baskerville" w:cs="Arabic Typesetting"/>
        </w:rPr>
        <w:t>,</w:t>
      </w:r>
      <w:r w:rsidR="00BA078A" w:rsidRPr="007B25AE">
        <w:rPr>
          <w:rFonts w:ascii="Baskerville" w:eastAsia="MS PMincho" w:hAnsi="Baskerville" w:cs="Arabic Typesetting"/>
        </w:rPr>
        <w:t xml:space="preserve"> </w:t>
      </w:r>
      <w:r w:rsidR="00D26F09" w:rsidRPr="007B25AE">
        <w:rPr>
          <w:rFonts w:ascii="Baskerville" w:eastAsia="MS PMincho" w:hAnsi="Baskerville" w:cs="Arabic Typesetting"/>
        </w:rPr>
        <w:t>doe</w:t>
      </w:r>
      <w:r w:rsidR="00902B23" w:rsidRPr="007B25AE">
        <w:rPr>
          <w:rFonts w:ascii="Baskerville" w:eastAsia="MS PMincho" w:hAnsi="Baskerville" w:cs="Arabic Typesetting"/>
        </w:rPr>
        <w:t xml:space="preserve">s not </w:t>
      </w:r>
      <w:r w:rsidR="00D26F09" w:rsidRPr="007B25AE">
        <w:rPr>
          <w:rFonts w:ascii="Baskerville" w:eastAsia="MS PMincho" w:hAnsi="Baskerville" w:cs="Arabic Typesetting"/>
        </w:rPr>
        <w:t xml:space="preserve">only </w:t>
      </w:r>
      <w:r w:rsidR="00902B23" w:rsidRPr="007B25AE">
        <w:rPr>
          <w:rFonts w:ascii="Baskerville" w:eastAsia="MS PMincho" w:hAnsi="Baskerville" w:cs="Arabic Typesetting"/>
        </w:rPr>
        <w:t>address</w:t>
      </w:r>
      <w:r w:rsidR="00D26F09" w:rsidRPr="007B25AE">
        <w:rPr>
          <w:rFonts w:ascii="Baskerville" w:eastAsia="MS PMincho" w:hAnsi="Baskerville" w:cs="Arabic Typesetting"/>
        </w:rPr>
        <w:t xml:space="preserve"> the question of</w:t>
      </w:r>
      <w:r w:rsidR="00902B23" w:rsidRPr="007B25AE">
        <w:rPr>
          <w:rFonts w:ascii="Baskerville" w:eastAsia="MS PMincho" w:hAnsi="Baskerville" w:cs="Arabic Typesetting"/>
        </w:rPr>
        <w:t xml:space="preserve"> </w:t>
      </w:r>
      <w:r w:rsidR="0022628B" w:rsidRPr="007B25AE">
        <w:rPr>
          <w:rFonts w:ascii="Baskerville" w:eastAsia="MS PMincho" w:hAnsi="Baskerville" w:cs="Arabic Typesetting"/>
        </w:rPr>
        <w:t xml:space="preserve">why some people </w:t>
      </w:r>
      <w:r w:rsidR="002768E1" w:rsidRPr="007B25AE">
        <w:rPr>
          <w:rFonts w:ascii="Baskerville" w:eastAsia="MS PMincho" w:hAnsi="Baskerville" w:cs="Arabic Typesetting"/>
        </w:rPr>
        <w:t xml:space="preserve">make it in the </w:t>
      </w:r>
      <w:r w:rsidR="00E414C3" w:rsidRPr="007B25AE">
        <w:rPr>
          <w:rFonts w:ascii="Baskerville" w:eastAsia="MS PMincho" w:hAnsi="Baskerville" w:cs="Arabic Typesetting"/>
        </w:rPr>
        <w:t xml:space="preserve">teaching </w:t>
      </w:r>
      <w:r w:rsidR="002768E1" w:rsidRPr="007B25AE">
        <w:rPr>
          <w:rFonts w:ascii="Baskerville" w:eastAsia="MS PMincho" w:hAnsi="Baskerville" w:cs="Arabic Typesetting"/>
        </w:rPr>
        <w:t>profession</w:t>
      </w:r>
      <w:r w:rsidR="00D26F09" w:rsidRPr="007B25AE">
        <w:rPr>
          <w:rFonts w:ascii="Baskerville" w:eastAsia="MS PMincho" w:hAnsi="Baskerville" w:cs="Arabic Typesetting"/>
        </w:rPr>
        <w:t xml:space="preserve">, but </w:t>
      </w:r>
      <w:r w:rsidR="002768E1" w:rsidRPr="007B25AE">
        <w:rPr>
          <w:rFonts w:ascii="Baskerville" w:eastAsia="MS PMincho" w:hAnsi="Baskerville" w:cs="Arabic Typesetting"/>
        </w:rPr>
        <w:t xml:space="preserve">why some just cannot </w:t>
      </w:r>
      <w:r w:rsidR="00D26F09" w:rsidRPr="007B25AE">
        <w:rPr>
          <w:rFonts w:ascii="Baskerville" w:eastAsia="MS PMincho" w:hAnsi="Baskerville" w:cs="Arabic Typesetting"/>
        </w:rPr>
        <w:t>make the cut</w:t>
      </w:r>
      <w:r w:rsidR="00CD03E5" w:rsidRPr="007B25AE">
        <w:rPr>
          <w:rFonts w:ascii="Baskerville" w:eastAsia="MS PMincho" w:hAnsi="Baskerville" w:cs="Arabic Typesetting"/>
        </w:rPr>
        <w:t>, at all</w:t>
      </w:r>
      <w:r w:rsidR="00D26F09" w:rsidRPr="007B25AE">
        <w:rPr>
          <w:rFonts w:ascii="Baskerville" w:eastAsia="MS PMincho" w:hAnsi="Baskerville" w:cs="Arabic Typesetting"/>
        </w:rPr>
        <w:t>.</w:t>
      </w:r>
    </w:p>
    <w:p w14:paraId="0B967A35" w14:textId="748EB907" w:rsidR="00556089" w:rsidRPr="007B25AE" w:rsidRDefault="00C45499"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Under</w:t>
      </w:r>
      <w:r w:rsidR="00BD5F96" w:rsidRPr="007B25AE">
        <w:rPr>
          <w:rFonts w:ascii="Baskerville" w:eastAsia="MS PMincho" w:hAnsi="Baskerville" w:cs="Arabic Typesetting"/>
        </w:rPr>
        <w:t xml:space="preserve"> the second Level 2 Heading—not </w:t>
      </w:r>
      <w:r w:rsidR="008E7495" w:rsidRPr="007B25AE">
        <w:rPr>
          <w:rFonts w:ascii="Baskerville" w:eastAsia="MS PMincho" w:hAnsi="Baskerville" w:cs="Arabic Typesetting"/>
        </w:rPr>
        <w:t xml:space="preserve">in the </w:t>
      </w:r>
      <w:r w:rsidR="00BD5F96" w:rsidRPr="007B25AE">
        <w:rPr>
          <w:rFonts w:ascii="Baskerville" w:eastAsia="MS PMincho" w:hAnsi="Baskerville" w:cs="Arabic Typesetting"/>
        </w:rPr>
        <w:t xml:space="preserve">interrogative </w:t>
      </w:r>
      <w:r w:rsidR="008E7495" w:rsidRPr="007B25AE">
        <w:rPr>
          <w:rFonts w:ascii="Baskerville" w:eastAsia="MS PMincho" w:hAnsi="Baskerville" w:cs="Arabic Typesetting"/>
        </w:rPr>
        <w:t xml:space="preserve">form as the first, </w:t>
      </w:r>
      <w:r w:rsidR="00BD5F96" w:rsidRPr="007B25AE">
        <w:rPr>
          <w:rFonts w:ascii="Baskerville" w:eastAsia="MS PMincho" w:hAnsi="Baskerville" w:cs="Arabic Typesetting"/>
        </w:rPr>
        <w:t xml:space="preserve">but </w:t>
      </w:r>
      <w:r w:rsidR="008E7495" w:rsidRPr="007B25AE">
        <w:rPr>
          <w:rFonts w:ascii="Baskerville" w:eastAsia="MS PMincho" w:hAnsi="Baskerville" w:cs="Arabic Typesetting"/>
        </w:rPr>
        <w:t xml:space="preserve">in the form of </w:t>
      </w:r>
      <w:r w:rsidR="00441E5A" w:rsidRPr="007B25AE">
        <w:rPr>
          <w:rFonts w:ascii="Baskerville" w:eastAsia="MS PMincho" w:hAnsi="Baskerville" w:cs="Arabic Typesetting"/>
        </w:rPr>
        <w:t>a</w:t>
      </w:r>
      <w:r w:rsidR="00BD5F96" w:rsidRPr="007B25AE">
        <w:rPr>
          <w:rFonts w:ascii="Baskerville" w:eastAsia="MS PMincho" w:hAnsi="Baskerville" w:cs="Arabic Typesetting"/>
        </w:rPr>
        <w:t xml:space="preserve"> phrase</w:t>
      </w:r>
      <w:r w:rsidR="003159D8" w:rsidRPr="007B25AE">
        <w:rPr>
          <w:rFonts w:ascii="Baskerville" w:eastAsia="MS PMincho" w:hAnsi="Baskerville" w:cs="Arabic Typesetting"/>
        </w:rPr>
        <w:t xml:space="preserve">—he </w:t>
      </w:r>
      <w:r w:rsidR="00441E5A" w:rsidRPr="007B25AE">
        <w:rPr>
          <w:rFonts w:ascii="Baskerville" w:eastAsia="MS PMincho" w:hAnsi="Baskerville" w:cs="Arabic Typesetting"/>
        </w:rPr>
        <w:t>wr</w:t>
      </w:r>
      <w:r w:rsidR="00FC1F27" w:rsidRPr="007B25AE">
        <w:rPr>
          <w:rFonts w:ascii="Baskerville" w:eastAsia="MS PMincho" w:hAnsi="Baskerville" w:cs="Arabic Typesetting"/>
        </w:rPr>
        <w:t>i</w:t>
      </w:r>
      <w:r w:rsidR="00441E5A" w:rsidRPr="007B25AE">
        <w:rPr>
          <w:rFonts w:ascii="Baskerville" w:eastAsia="MS PMincho" w:hAnsi="Baskerville" w:cs="Arabic Typesetting"/>
        </w:rPr>
        <w:t>te</w:t>
      </w:r>
      <w:r w:rsidR="00FC1F27" w:rsidRPr="007B25AE">
        <w:rPr>
          <w:rFonts w:ascii="Baskerville" w:eastAsia="MS PMincho" w:hAnsi="Baskerville" w:cs="Arabic Typesetting"/>
        </w:rPr>
        <w:t>s</w:t>
      </w:r>
      <w:r w:rsidR="004F39FF" w:rsidRPr="007B25AE">
        <w:rPr>
          <w:rFonts w:ascii="Baskerville" w:eastAsia="MS PMincho" w:hAnsi="Baskerville" w:cs="Arabic Typesetting"/>
        </w:rPr>
        <w:t xml:space="preserve">: “The Impact of Working Conditions </w:t>
      </w:r>
      <w:proofErr w:type="gramStart"/>
      <w:r w:rsidR="004F39FF" w:rsidRPr="007B25AE">
        <w:rPr>
          <w:rFonts w:ascii="Baskerville" w:eastAsia="MS PMincho" w:hAnsi="Baskerville" w:cs="Arabic Typesetting"/>
        </w:rPr>
        <w:t>And</w:t>
      </w:r>
      <w:proofErr w:type="gramEnd"/>
      <w:r w:rsidR="004F39FF" w:rsidRPr="007B25AE">
        <w:rPr>
          <w:rFonts w:ascii="Baskerville" w:eastAsia="MS PMincho" w:hAnsi="Baskerville" w:cs="Arabic Typesetting"/>
        </w:rPr>
        <w:t xml:space="preserve"> Job Characteristics on Teacher Mobility</w:t>
      </w:r>
      <w:r w:rsidR="000E4FCE" w:rsidRPr="007B25AE">
        <w:rPr>
          <w:rFonts w:ascii="Baskerville" w:eastAsia="MS PMincho" w:hAnsi="Baskerville" w:cs="Arabic Typesetting"/>
        </w:rPr>
        <w:t>.</w:t>
      </w:r>
      <w:r w:rsidR="004F39FF" w:rsidRPr="007B25AE">
        <w:rPr>
          <w:rFonts w:ascii="Baskerville" w:eastAsia="MS PMincho" w:hAnsi="Baskerville" w:cs="Arabic Typesetting"/>
        </w:rPr>
        <w:t xml:space="preserve">” </w:t>
      </w:r>
      <w:r w:rsidR="00967BFF" w:rsidRPr="007B25AE">
        <w:rPr>
          <w:rFonts w:ascii="Baskerville" w:eastAsia="MS PMincho" w:hAnsi="Baskerville" w:cs="Arabic Typesetting"/>
        </w:rPr>
        <w:t>What he had set up</w:t>
      </w:r>
      <w:r w:rsidR="00400A54" w:rsidRPr="007B25AE">
        <w:rPr>
          <w:rFonts w:ascii="Baskerville" w:eastAsia="MS PMincho" w:hAnsi="Baskerville" w:cs="Arabic Typesetting"/>
        </w:rPr>
        <w:t>,</w:t>
      </w:r>
      <w:r w:rsidR="00A12D45" w:rsidRPr="007B25AE">
        <w:rPr>
          <w:rFonts w:ascii="Baskerville" w:eastAsia="MS PMincho" w:hAnsi="Baskerville" w:cs="Arabic Typesetting"/>
        </w:rPr>
        <w:t xml:space="preserve"> </w:t>
      </w:r>
      <w:r w:rsidR="00441E5A" w:rsidRPr="007B25AE">
        <w:rPr>
          <w:rFonts w:ascii="Baskerville" w:eastAsia="MS PMincho" w:hAnsi="Baskerville" w:cs="Arabic Typesetting"/>
        </w:rPr>
        <w:t>here</w:t>
      </w:r>
      <w:r w:rsidR="00400A54" w:rsidRPr="007B25AE">
        <w:rPr>
          <w:rFonts w:ascii="Baskerville" w:eastAsia="MS PMincho" w:hAnsi="Baskerville" w:cs="Arabic Typesetting"/>
        </w:rPr>
        <w:t>,</w:t>
      </w:r>
      <w:r w:rsidR="00A12D45" w:rsidRPr="007B25AE">
        <w:rPr>
          <w:rFonts w:ascii="Baskerville" w:eastAsia="MS PMincho" w:hAnsi="Baskerville" w:cs="Arabic Typesetting"/>
        </w:rPr>
        <w:t xml:space="preserve"> </w:t>
      </w:r>
      <w:r w:rsidR="00967BFF" w:rsidRPr="007B25AE">
        <w:rPr>
          <w:rFonts w:ascii="Baskerville" w:eastAsia="MS PMincho" w:hAnsi="Baskerville" w:cs="Arabic Typesetting"/>
        </w:rPr>
        <w:t>wa</w:t>
      </w:r>
      <w:r w:rsidR="0064083F" w:rsidRPr="007B25AE">
        <w:rPr>
          <w:rFonts w:ascii="Baskerville" w:eastAsia="MS PMincho" w:hAnsi="Baskerville" w:cs="Arabic Typesetting"/>
        </w:rPr>
        <w:t>s</w:t>
      </w:r>
      <w:r w:rsidR="00A12D45" w:rsidRPr="007B25AE">
        <w:rPr>
          <w:rFonts w:ascii="Baskerville" w:eastAsia="MS PMincho" w:hAnsi="Baskerville" w:cs="Arabic Typesetting"/>
        </w:rPr>
        <w:t xml:space="preserve"> </w:t>
      </w:r>
      <w:r w:rsidR="00596E02" w:rsidRPr="007B25AE">
        <w:rPr>
          <w:rFonts w:ascii="Baskerville" w:eastAsia="MS PMincho" w:hAnsi="Baskerville" w:cs="Arabic Typesetting"/>
        </w:rPr>
        <w:t>a graduated</w:t>
      </w:r>
      <w:r w:rsidR="00A12D45" w:rsidRPr="007B25AE">
        <w:rPr>
          <w:rFonts w:ascii="Baskerville" w:eastAsia="MS PMincho" w:hAnsi="Baskerville" w:cs="Arabic Typesetting"/>
        </w:rPr>
        <w:t xml:space="preserve"> transition </w:t>
      </w:r>
      <w:r w:rsidR="00596E02" w:rsidRPr="007B25AE">
        <w:rPr>
          <w:rFonts w:ascii="Baskerville" w:eastAsia="MS PMincho" w:hAnsi="Baskerville" w:cs="Arabic Typesetting"/>
        </w:rPr>
        <w:t>of</w:t>
      </w:r>
      <w:r w:rsidR="00A12D45" w:rsidRPr="007B25AE">
        <w:rPr>
          <w:rFonts w:ascii="Baskerville" w:eastAsia="MS PMincho" w:hAnsi="Baskerville" w:cs="Arabic Typesetting"/>
        </w:rPr>
        <w:t xml:space="preserve"> the historical segment</w:t>
      </w:r>
      <w:r w:rsidR="00596E02" w:rsidRPr="007B25AE">
        <w:rPr>
          <w:rFonts w:ascii="Baskerville" w:eastAsia="MS PMincho" w:hAnsi="Baskerville" w:cs="Arabic Typesetting"/>
        </w:rPr>
        <w:t xml:space="preserve"> into the rest of the Literature Review.  </w:t>
      </w:r>
      <w:r w:rsidR="002D0274" w:rsidRPr="007B25AE">
        <w:rPr>
          <w:rFonts w:ascii="Baskerville" w:eastAsia="MS PMincho" w:hAnsi="Baskerville" w:cs="Arabic Typesetting"/>
        </w:rPr>
        <w:t xml:space="preserve">The obvious </w:t>
      </w:r>
      <w:r w:rsidR="002D0274" w:rsidRPr="007B25AE">
        <w:rPr>
          <w:rFonts w:ascii="Baskerville" w:eastAsia="MS PMincho" w:hAnsi="Baskerville" w:cs="Arabic Typesetting"/>
          <w:color w:val="FF0000"/>
        </w:rPr>
        <w:t>purpose</w:t>
      </w:r>
      <w:r w:rsidR="002D0274" w:rsidRPr="007B25AE">
        <w:rPr>
          <w:rFonts w:ascii="Baskerville" w:eastAsia="MS PMincho" w:hAnsi="Baskerville" w:cs="Arabic Typesetting"/>
        </w:rPr>
        <w:t xml:space="preserve"> of this treatment </w:t>
      </w:r>
      <w:r w:rsidR="00441E5A" w:rsidRPr="007B25AE">
        <w:rPr>
          <w:rFonts w:ascii="Baskerville" w:eastAsia="MS PMincho" w:hAnsi="Baskerville" w:cs="Arabic Typesetting"/>
        </w:rPr>
        <w:t>wa</w:t>
      </w:r>
      <w:r w:rsidR="002D0274" w:rsidRPr="007B25AE">
        <w:rPr>
          <w:rFonts w:ascii="Baskerville" w:eastAsia="MS PMincho" w:hAnsi="Baskerville" w:cs="Arabic Typesetting"/>
        </w:rPr>
        <w:t>s</w:t>
      </w:r>
      <w:r w:rsidR="00A12D45" w:rsidRPr="007B25AE">
        <w:rPr>
          <w:rFonts w:ascii="Baskerville" w:eastAsia="MS PMincho" w:hAnsi="Baskerville" w:cs="Arabic Typesetting"/>
        </w:rPr>
        <w:t xml:space="preserve"> </w:t>
      </w:r>
      <w:r w:rsidR="00441E5A" w:rsidRPr="007B25AE">
        <w:rPr>
          <w:rFonts w:ascii="Baskerville" w:eastAsia="MS PMincho" w:hAnsi="Baskerville" w:cs="Arabic Typesetting"/>
        </w:rPr>
        <w:t xml:space="preserve">that he </w:t>
      </w:r>
      <w:r w:rsidR="00967BFF" w:rsidRPr="007B25AE">
        <w:rPr>
          <w:rFonts w:ascii="Baskerville" w:eastAsia="MS PMincho" w:hAnsi="Baskerville" w:cs="Arabic Typesetting"/>
        </w:rPr>
        <w:t>was</w:t>
      </w:r>
      <w:r w:rsidR="00441E5A" w:rsidRPr="007B25AE">
        <w:rPr>
          <w:rFonts w:ascii="Baskerville" w:eastAsia="MS PMincho" w:hAnsi="Baskerville" w:cs="Arabic Typesetting"/>
        </w:rPr>
        <w:t xml:space="preserve">, in effect, </w:t>
      </w:r>
      <w:r w:rsidR="00556089" w:rsidRPr="007B25AE">
        <w:rPr>
          <w:rFonts w:ascii="Baskerville" w:eastAsia="MS PMincho" w:hAnsi="Baskerville" w:cs="Arabic Typesetting"/>
        </w:rPr>
        <w:t>b</w:t>
      </w:r>
      <w:r w:rsidR="00441E5A" w:rsidRPr="007B25AE">
        <w:rPr>
          <w:rFonts w:ascii="Baskerville" w:eastAsia="MS PMincho" w:hAnsi="Baskerville" w:cs="Arabic Typesetting"/>
        </w:rPr>
        <w:t>e</w:t>
      </w:r>
      <w:r w:rsidR="00556089" w:rsidRPr="007B25AE">
        <w:rPr>
          <w:rFonts w:ascii="Baskerville" w:eastAsia="MS PMincho" w:hAnsi="Baskerville" w:cs="Arabic Typesetting"/>
        </w:rPr>
        <w:t>g</w:t>
      </w:r>
      <w:r w:rsidR="00967BFF" w:rsidRPr="007B25AE">
        <w:rPr>
          <w:rFonts w:ascii="Baskerville" w:eastAsia="MS PMincho" w:hAnsi="Baskerville" w:cs="Arabic Typesetting"/>
        </w:rPr>
        <w:t>in</w:t>
      </w:r>
      <w:r w:rsidR="00556089" w:rsidRPr="007B25AE">
        <w:rPr>
          <w:rFonts w:ascii="Baskerville" w:eastAsia="MS PMincho" w:hAnsi="Baskerville" w:cs="Arabic Typesetting"/>
        </w:rPr>
        <w:t>n</w:t>
      </w:r>
      <w:r w:rsidR="00967BFF" w:rsidRPr="007B25AE">
        <w:rPr>
          <w:rFonts w:ascii="Baskerville" w:eastAsia="MS PMincho" w:hAnsi="Baskerville" w:cs="Arabic Typesetting"/>
        </w:rPr>
        <w:t>ing</w:t>
      </w:r>
      <w:r w:rsidR="00556089" w:rsidRPr="007B25AE">
        <w:rPr>
          <w:rFonts w:ascii="Baskerville" w:eastAsia="MS PMincho" w:hAnsi="Baskerville" w:cs="Arabic Typesetting"/>
        </w:rPr>
        <w:t xml:space="preserve"> to </w:t>
      </w:r>
      <w:r w:rsidR="00D168DE" w:rsidRPr="007B25AE">
        <w:rPr>
          <w:rFonts w:ascii="Baskerville" w:eastAsia="MS PMincho" w:hAnsi="Baskerville" w:cs="Arabic Typesetting"/>
        </w:rPr>
        <w:t xml:space="preserve">answer the question posed in the thesis of </w:t>
      </w:r>
      <w:r w:rsidR="006C086B" w:rsidRPr="007B25AE">
        <w:rPr>
          <w:rFonts w:ascii="Baskerville" w:eastAsia="MS PMincho" w:hAnsi="Baskerville" w:cs="Arabic Typesetting"/>
        </w:rPr>
        <w:t>his</w:t>
      </w:r>
      <w:r w:rsidR="00D168DE" w:rsidRPr="007B25AE">
        <w:rPr>
          <w:rFonts w:ascii="Baskerville" w:eastAsia="MS PMincho" w:hAnsi="Baskerville" w:cs="Arabic Typesetting"/>
        </w:rPr>
        <w:t xml:space="preserve"> dissertation</w:t>
      </w:r>
      <w:r w:rsidR="00116B45" w:rsidRPr="007B25AE">
        <w:rPr>
          <w:rFonts w:ascii="Baskerville" w:eastAsia="MS PMincho" w:hAnsi="Baskerville" w:cs="Arabic Typesetting"/>
        </w:rPr>
        <w:t>—the question</w:t>
      </w:r>
      <w:r w:rsidR="00D168DE" w:rsidRPr="007B25AE">
        <w:rPr>
          <w:rFonts w:ascii="Baskerville" w:eastAsia="MS PMincho" w:hAnsi="Baskerville" w:cs="Arabic Typesetting"/>
        </w:rPr>
        <w:t xml:space="preserve"> about the </w:t>
      </w:r>
      <w:r w:rsidR="00400A54" w:rsidRPr="007B25AE">
        <w:rPr>
          <w:rFonts w:ascii="Baskerville" w:eastAsia="MS PMincho" w:hAnsi="Baskerville" w:cs="Arabic Typesetting"/>
        </w:rPr>
        <w:t>ongoing shrinkage</w:t>
      </w:r>
      <w:r w:rsidR="00D168DE" w:rsidRPr="007B25AE">
        <w:rPr>
          <w:rFonts w:ascii="Baskerville" w:eastAsia="MS PMincho" w:hAnsi="Baskerville" w:cs="Arabic Typesetting"/>
        </w:rPr>
        <w:t xml:space="preserve"> of </w:t>
      </w:r>
      <w:r w:rsidR="0064083F" w:rsidRPr="007B25AE">
        <w:rPr>
          <w:rFonts w:ascii="Baskerville" w:eastAsia="MS PMincho" w:hAnsi="Baskerville" w:cs="Arabic Typesetting"/>
        </w:rPr>
        <w:t xml:space="preserve">the </w:t>
      </w:r>
      <w:r w:rsidR="00D168DE" w:rsidRPr="007B25AE">
        <w:rPr>
          <w:rFonts w:ascii="Baskerville" w:eastAsia="MS PMincho" w:hAnsi="Baskerville" w:cs="Arabic Typesetting"/>
        </w:rPr>
        <w:t>teacher</w:t>
      </w:r>
      <w:r w:rsidR="0064083F" w:rsidRPr="007B25AE">
        <w:rPr>
          <w:rFonts w:ascii="Baskerville" w:eastAsia="MS PMincho" w:hAnsi="Baskerville" w:cs="Arabic Typesetting"/>
        </w:rPr>
        <w:t>-</w:t>
      </w:r>
      <w:r w:rsidR="00D168DE" w:rsidRPr="007B25AE">
        <w:rPr>
          <w:rFonts w:ascii="Baskerville" w:eastAsia="MS PMincho" w:hAnsi="Baskerville" w:cs="Arabic Typesetting"/>
        </w:rPr>
        <w:t>supply</w:t>
      </w:r>
      <w:r w:rsidR="0064083F" w:rsidRPr="007B25AE">
        <w:rPr>
          <w:rFonts w:ascii="Baskerville" w:eastAsia="MS PMincho" w:hAnsi="Baskerville" w:cs="Arabic Typesetting"/>
        </w:rPr>
        <w:t xml:space="preserve"> curve</w:t>
      </w:r>
      <w:r w:rsidR="008E7495" w:rsidRPr="007B25AE">
        <w:rPr>
          <w:rFonts w:ascii="Baskerville" w:eastAsia="MS PMincho" w:hAnsi="Baskerville" w:cs="Arabic Typesetting"/>
        </w:rPr>
        <w:t xml:space="preserve">. </w:t>
      </w:r>
      <w:r w:rsidR="00441E5A" w:rsidRPr="007B25AE">
        <w:rPr>
          <w:rFonts w:ascii="Baskerville" w:eastAsia="MS PMincho" w:hAnsi="Baskerville" w:cs="Arabic Typesetting"/>
        </w:rPr>
        <w:t xml:space="preserve">The </w:t>
      </w:r>
      <w:r w:rsidR="00967BFF" w:rsidRPr="007B25AE">
        <w:rPr>
          <w:rFonts w:ascii="Baskerville" w:eastAsia="MS PMincho" w:hAnsi="Baskerville" w:cs="Arabic Typesetting"/>
        </w:rPr>
        <w:t>main</w:t>
      </w:r>
      <w:r w:rsidR="008E7495" w:rsidRPr="007B25AE">
        <w:rPr>
          <w:rFonts w:ascii="Baskerville" w:eastAsia="MS PMincho" w:hAnsi="Baskerville" w:cs="Arabic Typesetting"/>
        </w:rPr>
        <w:t xml:space="preserve"> </w:t>
      </w:r>
      <w:r w:rsidR="00441E5A" w:rsidRPr="007B25AE">
        <w:rPr>
          <w:rFonts w:ascii="Baskerville" w:eastAsia="MS PMincho" w:hAnsi="Baskerville" w:cs="Arabic Typesetting"/>
        </w:rPr>
        <w:t xml:space="preserve">difference </w:t>
      </w:r>
      <w:r w:rsidR="00967BFF" w:rsidRPr="007B25AE">
        <w:rPr>
          <w:rFonts w:ascii="Baskerville" w:eastAsia="MS PMincho" w:hAnsi="Baskerville" w:cs="Arabic Typesetting"/>
        </w:rPr>
        <w:t xml:space="preserve">between the substance </w:t>
      </w:r>
      <w:r w:rsidR="00FC1F27" w:rsidRPr="007B25AE">
        <w:rPr>
          <w:rFonts w:ascii="Baskerville" w:eastAsia="MS PMincho" w:hAnsi="Baskerville" w:cs="Arabic Typesetting"/>
        </w:rPr>
        <w:t xml:space="preserve">that came </w:t>
      </w:r>
      <w:r w:rsidR="00967BFF" w:rsidRPr="007B25AE">
        <w:rPr>
          <w:rFonts w:ascii="Baskerville" w:eastAsia="MS PMincho" w:hAnsi="Baskerville" w:cs="Arabic Typesetting"/>
        </w:rPr>
        <w:t>under the two heading</w:t>
      </w:r>
      <w:r w:rsidR="00FC1F27" w:rsidRPr="007B25AE">
        <w:rPr>
          <w:rFonts w:ascii="Baskerville" w:eastAsia="MS PMincho" w:hAnsi="Baskerville" w:cs="Arabic Typesetting"/>
        </w:rPr>
        <w:t>s</w:t>
      </w:r>
      <w:r w:rsidR="00967BFF" w:rsidRPr="007B25AE">
        <w:rPr>
          <w:rFonts w:ascii="Baskerville" w:eastAsia="MS PMincho" w:hAnsi="Baskerville" w:cs="Arabic Typesetting"/>
        </w:rPr>
        <w:t xml:space="preserve"> </w:t>
      </w:r>
      <w:r w:rsidR="00441E5A" w:rsidRPr="007B25AE">
        <w:rPr>
          <w:rFonts w:ascii="Baskerville" w:eastAsia="MS PMincho" w:hAnsi="Baskerville" w:cs="Arabic Typesetting"/>
        </w:rPr>
        <w:t xml:space="preserve">was </w:t>
      </w:r>
      <w:r w:rsidR="008E7495" w:rsidRPr="007B25AE">
        <w:rPr>
          <w:rFonts w:ascii="Baskerville" w:eastAsia="MS PMincho" w:hAnsi="Baskerville" w:cs="Arabic Typesetting"/>
        </w:rPr>
        <w:t>that</w:t>
      </w:r>
      <w:r w:rsidR="00967BFF" w:rsidRPr="007B25AE">
        <w:rPr>
          <w:rFonts w:ascii="Baskerville" w:eastAsia="MS PMincho" w:hAnsi="Baskerville" w:cs="Arabic Typesetting"/>
        </w:rPr>
        <w:t>, at last, he had begun to deal with</w:t>
      </w:r>
      <w:r w:rsidR="008E7495" w:rsidRPr="007B25AE">
        <w:rPr>
          <w:rFonts w:ascii="Baskerville" w:eastAsia="MS PMincho" w:hAnsi="Baskerville" w:cs="Arabic Typesetting"/>
        </w:rPr>
        <w:t xml:space="preserve"> the teacher</w:t>
      </w:r>
      <w:r w:rsidR="00441E5A" w:rsidRPr="007B25AE">
        <w:rPr>
          <w:rFonts w:ascii="Baskerville" w:eastAsia="MS PMincho" w:hAnsi="Baskerville" w:cs="Arabic Typesetting"/>
        </w:rPr>
        <w:t>-</w:t>
      </w:r>
      <w:r w:rsidR="008E7495" w:rsidRPr="007B25AE">
        <w:rPr>
          <w:rFonts w:ascii="Baskerville" w:eastAsia="MS PMincho" w:hAnsi="Baskerville" w:cs="Arabic Typesetting"/>
        </w:rPr>
        <w:t xml:space="preserve">shortage </w:t>
      </w:r>
      <w:r w:rsidR="006C086B" w:rsidRPr="007B25AE">
        <w:rPr>
          <w:rFonts w:ascii="Baskerville" w:eastAsia="MS PMincho" w:hAnsi="Baskerville" w:cs="Arabic Typesetting"/>
        </w:rPr>
        <w:t xml:space="preserve">that </w:t>
      </w:r>
      <w:r w:rsidR="00441E5A" w:rsidRPr="007B25AE">
        <w:rPr>
          <w:rFonts w:ascii="Baskerville" w:eastAsia="MS PMincho" w:hAnsi="Baskerville" w:cs="Arabic Typesetting"/>
        </w:rPr>
        <w:t>wa</w:t>
      </w:r>
      <w:r w:rsidR="008E7495" w:rsidRPr="007B25AE">
        <w:rPr>
          <w:rFonts w:ascii="Baskerville" w:eastAsia="MS PMincho" w:hAnsi="Baskerville" w:cs="Arabic Typesetting"/>
        </w:rPr>
        <w:t xml:space="preserve">s being </w:t>
      </w:r>
      <w:r w:rsidR="00441E5A" w:rsidRPr="007B25AE">
        <w:rPr>
          <w:rFonts w:ascii="Baskerville" w:eastAsia="MS PMincho" w:hAnsi="Baskerville" w:cs="Arabic Typesetting"/>
        </w:rPr>
        <w:t>view</w:t>
      </w:r>
      <w:r w:rsidR="008E7495" w:rsidRPr="007B25AE">
        <w:rPr>
          <w:rFonts w:ascii="Baskerville" w:eastAsia="MS PMincho" w:hAnsi="Baskerville" w:cs="Arabic Typesetting"/>
        </w:rPr>
        <w:t>ed a</w:t>
      </w:r>
      <w:r w:rsidR="00441E5A" w:rsidRPr="007B25AE">
        <w:rPr>
          <w:rFonts w:ascii="Baskerville" w:eastAsia="MS PMincho" w:hAnsi="Baskerville" w:cs="Arabic Typesetting"/>
        </w:rPr>
        <w:t>s</w:t>
      </w:r>
      <w:r w:rsidR="008E7495" w:rsidRPr="007B25AE">
        <w:rPr>
          <w:rFonts w:ascii="Baskerville" w:eastAsia="MS PMincho" w:hAnsi="Baskerville" w:cs="Arabic Typesetting"/>
        </w:rPr>
        <w:t xml:space="preserve"> the </w:t>
      </w:r>
      <w:r w:rsidR="002D0274" w:rsidRPr="007B25AE">
        <w:rPr>
          <w:rFonts w:ascii="Baskerville" w:eastAsia="MS PMincho" w:hAnsi="Baskerville" w:cs="Arabic Typesetting"/>
        </w:rPr>
        <w:t xml:space="preserve">function of </w:t>
      </w:r>
      <w:r w:rsidR="00FC1F27" w:rsidRPr="007B25AE">
        <w:rPr>
          <w:rFonts w:ascii="Baskerville" w:eastAsia="MS PMincho" w:hAnsi="Baskerville" w:cs="Arabic Typesetting"/>
        </w:rPr>
        <w:t xml:space="preserve">the </w:t>
      </w:r>
      <w:r w:rsidR="002D0274" w:rsidRPr="007B25AE">
        <w:rPr>
          <w:rFonts w:ascii="Baskerville" w:eastAsia="MS PMincho" w:hAnsi="Baskerville" w:cs="Arabic Typesetting"/>
        </w:rPr>
        <w:t>working conditions</w:t>
      </w:r>
      <w:r w:rsidR="00441E5A" w:rsidRPr="007B25AE">
        <w:rPr>
          <w:rFonts w:ascii="Baskerville" w:eastAsia="MS PMincho" w:hAnsi="Baskerville" w:cs="Arabic Typesetting"/>
        </w:rPr>
        <w:t xml:space="preserve"> in the schoolhouse, the school community</w:t>
      </w:r>
      <w:r w:rsidR="00E06404" w:rsidRPr="007B25AE">
        <w:rPr>
          <w:rFonts w:ascii="Baskerville" w:eastAsia="MS PMincho" w:hAnsi="Baskerville" w:cs="Arabic Typesetting"/>
        </w:rPr>
        <w:t>,</w:t>
      </w:r>
      <w:r w:rsidR="00441E5A" w:rsidRPr="007B25AE">
        <w:rPr>
          <w:rFonts w:ascii="Baskerville" w:eastAsia="MS PMincho" w:hAnsi="Baskerville" w:cs="Arabic Typesetting"/>
        </w:rPr>
        <w:t xml:space="preserve"> whatever</w:t>
      </w:r>
      <w:r w:rsidR="00116B45" w:rsidRPr="007B25AE">
        <w:rPr>
          <w:rFonts w:ascii="Baskerville" w:eastAsia="MS PMincho" w:hAnsi="Baskerville" w:cs="Arabic Typesetting"/>
        </w:rPr>
        <w:t xml:space="preserve"> larger </w:t>
      </w:r>
      <w:r w:rsidR="00E06404" w:rsidRPr="007B25AE">
        <w:rPr>
          <w:rFonts w:ascii="Baskerville" w:eastAsia="MS PMincho" w:hAnsi="Baskerville" w:cs="Arabic Typesetting"/>
        </w:rPr>
        <w:t xml:space="preserve">American </w:t>
      </w:r>
      <w:r w:rsidR="00116B45" w:rsidRPr="007B25AE">
        <w:rPr>
          <w:rFonts w:ascii="Baskerville" w:eastAsia="MS PMincho" w:hAnsi="Baskerville" w:cs="Arabic Typesetting"/>
        </w:rPr>
        <w:t xml:space="preserve">societal </w:t>
      </w:r>
      <w:r w:rsidR="00E06404" w:rsidRPr="007B25AE">
        <w:rPr>
          <w:rFonts w:ascii="Baskerville" w:eastAsia="MS PMincho" w:hAnsi="Baskerville" w:cs="Arabic Typesetting"/>
        </w:rPr>
        <w:t xml:space="preserve">thinking </w:t>
      </w:r>
      <w:r w:rsidR="00FC1F27" w:rsidRPr="007B25AE">
        <w:rPr>
          <w:rFonts w:ascii="Baskerville" w:eastAsia="MS PMincho" w:hAnsi="Baskerville" w:cs="Arabic Typesetting"/>
        </w:rPr>
        <w:t xml:space="preserve">that </w:t>
      </w:r>
      <w:r w:rsidR="00E06404" w:rsidRPr="007B25AE">
        <w:rPr>
          <w:rFonts w:ascii="Baskerville" w:eastAsia="MS PMincho" w:hAnsi="Baskerville" w:cs="Arabic Typesetting"/>
        </w:rPr>
        <w:t xml:space="preserve">crept </w:t>
      </w:r>
      <w:r w:rsidR="00FC1F27" w:rsidRPr="007B25AE">
        <w:rPr>
          <w:rFonts w:ascii="Baskerville" w:eastAsia="MS PMincho" w:hAnsi="Baskerville" w:cs="Arabic Typesetting"/>
        </w:rPr>
        <w:t xml:space="preserve">quietly </w:t>
      </w:r>
      <w:r w:rsidR="00E06404" w:rsidRPr="007B25AE">
        <w:rPr>
          <w:rFonts w:ascii="Baskerville" w:eastAsia="MS PMincho" w:hAnsi="Baskerville" w:cs="Arabic Typesetting"/>
        </w:rPr>
        <w:t>in, together with what</w:t>
      </w:r>
      <w:r w:rsidR="00FC1F27" w:rsidRPr="007B25AE">
        <w:rPr>
          <w:rFonts w:ascii="Baskerville" w:eastAsia="MS PMincho" w:hAnsi="Baskerville" w:cs="Arabic Typesetting"/>
        </w:rPr>
        <w:t>ever habits</w:t>
      </w:r>
      <w:r w:rsidR="00E06404" w:rsidRPr="007B25AE">
        <w:rPr>
          <w:rFonts w:ascii="Baskerville" w:eastAsia="MS PMincho" w:hAnsi="Baskerville" w:cs="Arabic Typesetting"/>
        </w:rPr>
        <w:t xml:space="preserve"> the </w:t>
      </w:r>
      <w:r w:rsidR="00441E5A" w:rsidRPr="007B25AE">
        <w:rPr>
          <w:rFonts w:ascii="Baskerville" w:eastAsia="MS PMincho" w:hAnsi="Baskerville" w:cs="Arabic Typesetting"/>
        </w:rPr>
        <w:t>school children brought with them</w:t>
      </w:r>
      <w:r w:rsidR="00E06404" w:rsidRPr="007B25AE">
        <w:rPr>
          <w:rFonts w:ascii="Baskerville" w:eastAsia="MS PMincho" w:hAnsi="Baskerville" w:cs="Arabic Typesetting"/>
        </w:rPr>
        <w:t xml:space="preserve"> from home</w:t>
      </w:r>
      <w:r w:rsidR="00441E5A" w:rsidRPr="007B25AE">
        <w:rPr>
          <w:rFonts w:ascii="Baskerville" w:eastAsia="MS PMincho" w:hAnsi="Baskerville" w:cs="Arabic Typesetting"/>
        </w:rPr>
        <w:t xml:space="preserve">. </w:t>
      </w:r>
      <w:r w:rsidR="00D168DE" w:rsidRPr="007B25AE">
        <w:rPr>
          <w:rFonts w:ascii="Baskerville" w:eastAsia="MS PMincho" w:hAnsi="Baskerville" w:cs="Arabic Typesetting"/>
        </w:rPr>
        <w:t xml:space="preserve"> </w:t>
      </w:r>
      <w:r w:rsidR="00A12D45" w:rsidRPr="007B25AE">
        <w:rPr>
          <w:rFonts w:ascii="Baskerville" w:eastAsia="MS PMincho" w:hAnsi="Baskerville" w:cs="Arabic Typesetting"/>
        </w:rPr>
        <w:t xml:space="preserve"> </w:t>
      </w:r>
    </w:p>
    <w:p w14:paraId="153975C7" w14:textId="1ECE3863" w:rsidR="00C97767" w:rsidRPr="007B25AE" w:rsidRDefault="0064083F"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He</w:t>
      </w:r>
      <w:r w:rsidR="002D0274" w:rsidRPr="007B25AE">
        <w:rPr>
          <w:rFonts w:ascii="Baskerville" w:eastAsia="MS PMincho" w:hAnsi="Baskerville" w:cs="Arabic Typesetting"/>
        </w:rPr>
        <w:t>re, he</w:t>
      </w:r>
      <w:r w:rsidRPr="007B25AE">
        <w:rPr>
          <w:rFonts w:ascii="Baskerville" w:eastAsia="MS PMincho" w:hAnsi="Baskerville" w:cs="Arabic Typesetting"/>
        </w:rPr>
        <w:t xml:space="preserve"> beg</w:t>
      </w:r>
      <w:r w:rsidR="00F5257E" w:rsidRPr="007B25AE">
        <w:rPr>
          <w:rFonts w:ascii="Baskerville" w:eastAsia="MS PMincho" w:hAnsi="Baskerville" w:cs="Arabic Typesetting"/>
        </w:rPr>
        <w:t>a</w:t>
      </w:r>
      <w:r w:rsidRPr="007B25AE">
        <w:rPr>
          <w:rFonts w:ascii="Baskerville" w:eastAsia="MS PMincho" w:hAnsi="Baskerville" w:cs="Arabic Typesetting"/>
        </w:rPr>
        <w:t xml:space="preserve">n by </w:t>
      </w:r>
      <w:r w:rsidR="00E06404" w:rsidRPr="007B25AE">
        <w:rPr>
          <w:rFonts w:ascii="Baskerville" w:eastAsia="MS PMincho" w:hAnsi="Baskerville" w:cs="Arabic Typesetting"/>
        </w:rPr>
        <w:t>paraphrasing Lortie’s and Tyack’s</w:t>
      </w:r>
      <w:r w:rsidR="002D0274" w:rsidRPr="007B25AE">
        <w:rPr>
          <w:rFonts w:ascii="Baskerville" w:eastAsia="MS PMincho" w:hAnsi="Baskerville" w:cs="Arabic Typesetting"/>
        </w:rPr>
        <w:t xml:space="preserve"> </w:t>
      </w:r>
      <w:r w:rsidR="00E06404" w:rsidRPr="007B25AE">
        <w:rPr>
          <w:rFonts w:ascii="Baskerville" w:eastAsia="MS PMincho" w:hAnsi="Baskerville" w:cs="Arabic Typesetting"/>
        </w:rPr>
        <w:t xml:space="preserve">position </w:t>
      </w:r>
      <w:r w:rsidR="004F21B1" w:rsidRPr="007B25AE">
        <w:rPr>
          <w:rFonts w:ascii="Baskerville" w:eastAsia="MS PMincho" w:hAnsi="Baskerville" w:cs="Arabic Typesetting"/>
        </w:rPr>
        <w:t>that</w:t>
      </w:r>
      <w:r w:rsidRPr="007B25AE">
        <w:rPr>
          <w:rFonts w:ascii="Baskerville" w:eastAsia="MS PMincho" w:hAnsi="Baskerville" w:cs="Arabic Typesetting"/>
        </w:rPr>
        <w:t xml:space="preserve">, “Historically in the United States, teaching was not perceived by the pubic to be </w:t>
      </w:r>
      <w:r w:rsidR="002D0274" w:rsidRPr="007B25AE">
        <w:rPr>
          <w:rFonts w:ascii="Baskerville" w:eastAsia="MS PMincho" w:hAnsi="Baskerville" w:cs="Arabic Typesetting"/>
        </w:rPr>
        <w:t xml:space="preserve">a </w:t>
      </w:r>
      <w:r w:rsidRPr="007B25AE">
        <w:rPr>
          <w:rFonts w:ascii="Baskerville" w:eastAsia="MS PMincho" w:hAnsi="Baskerville" w:cs="Arabic Typesetting"/>
        </w:rPr>
        <w:t>‘real’ profession until the1950</w:t>
      </w:r>
      <w:r w:rsidR="004F21B1" w:rsidRPr="007B25AE">
        <w:rPr>
          <w:rFonts w:ascii="Baskerville" w:eastAsia="MS PMincho" w:hAnsi="Baskerville" w:cs="Arabic Typesetting"/>
        </w:rPr>
        <w:t>s” (Lortie,1975; Tyack,1974). Teaching</w:t>
      </w:r>
      <w:r w:rsidR="002D0274" w:rsidRPr="007B25AE">
        <w:rPr>
          <w:rFonts w:ascii="Baskerville" w:eastAsia="MS PMincho" w:hAnsi="Baskerville" w:cs="Arabic Typesetting"/>
        </w:rPr>
        <w:t>, he claims,</w:t>
      </w:r>
      <w:r w:rsidR="004F21B1" w:rsidRPr="007B25AE">
        <w:rPr>
          <w:rFonts w:ascii="Baskerville" w:eastAsia="MS PMincho" w:hAnsi="Baskerville" w:cs="Arabic Typesetting"/>
        </w:rPr>
        <w:t xml:space="preserve"> was generally seen by </w:t>
      </w:r>
      <w:r w:rsidR="00E06404" w:rsidRPr="007B25AE">
        <w:rPr>
          <w:rFonts w:ascii="Baskerville" w:eastAsia="MS PMincho" w:hAnsi="Baskerville" w:cs="Arabic Typesetting"/>
        </w:rPr>
        <w:t>the male population</w:t>
      </w:r>
      <w:r w:rsidR="004F21B1" w:rsidRPr="007B25AE">
        <w:rPr>
          <w:rFonts w:ascii="Baskerville" w:eastAsia="MS PMincho" w:hAnsi="Baskerville" w:cs="Arabic Typesetting"/>
        </w:rPr>
        <w:t xml:space="preserve"> to be </w:t>
      </w:r>
      <w:r w:rsidR="00BD333D" w:rsidRPr="007B25AE">
        <w:rPr>
          <w:rFonts w:ascii="Baskerville" w:eastAsia="MS PMincho" w:hAnsi="Baskerville" w:cs="Arabic Typesetting"/>
        </w:rPr>
        <w:t>a</w:t>
      </w:r>
      <w:r w:rsidR="00B6750E" w:rsidRPr="007B25AE">
        <w:rPr>
          <w:rFonts w:ascii="Baskerville" w:eastAsia="MS PMincho" w:hAnsi="Baskerville" w:cs="Arabic Typesetting"/>
        </w:rPr>
        <w:t xml:space="preserve"> side</w:t>
      </w:r>
      <w:r w:rsidR="004D7227" w:rsidRPr="007B25AE">
        <w:rPr>
          <w:rFonts w:ascii="Baskerville" w:eastAsia="MS PMincho" w:hAnsi="Baskerville" w:cs="Arabic Typesetting"/>
        </w:rPr>
        <w:t>-</w:t>
      </w:r>
      <w:r w:rsidR="00556089" w:rsidRPr="007B25AE">
        <w:rPr>
          <w:rFonts w:ascii="Baskerville" w:eastAsia="MS PMincho" w:hAnsi="Baskerville" w:cs="Arabic Typesetting"/>
        </w:rPr>
        <w:t>gig</w:t>
      </w:r>
      <w:r w:rsidR="002D0274" w:rsidRPr="007B25AE">
        <w:rPr>
          <w:rFonts w:ascii="Baskerville" w:eastAsia="MS PMincho" w:hAnsi="Baskerville" w:cs="Arabic Typesetting"/>
        </w:rPr>
        <w:t>.</w:t>
      </w:r>
      <w:r w:rsidR="00B6750E" w:rsidRPr="007B25AE">
        <w:rPr>
          <w:rFonts w:ascii="Baskerville" w:eastAsia="MS PMincho" w:hAnsi="Baskerville" w:cs="Arabic Typesetting"/>
        </w:rPr>
        <w:t xml:space="preserve"> </w:t>
      </w:r>
      <w:r w:rsidR="002D0274" w:rsidRPr="007B25AE">
        <w:rPr>
          <w:rFonts w:ascii="Baskerville" w:eastAsia="MS PMincho" w:hAnsi="Baskerville" w:cs="Arabic Typesetting"/>
        </w:rPr>
        <w:t xml:space="preserve"> W</w:t>
      </w:r>
      <w:r w:rsidR="00B6750E" w:rsidRPr="007B25AE">
        <w:rPr>
          <w:rFonts w:ascii="Baskerville" w:eastAsia="MS PMincho" w:hAnsi="Baskerville" w:cs="Arabic Typesetting"/>
        </w:rPr>
        <w:t>hile women saw it as their pre-mari</w:t>
      </w:r>
      <w:r w:rsidR="00F5257E" w:rsidRPr="007B25AE">
        <w:rPr>
          <w:rFonts w:ascii="Baskerville" w:eastAsia="MS PMincho" w:hAnsi="Baskerville" w:cs="Arabic Typesetting"/>
        </w:rPr>
        <w:t>t</w:t>
      </w:r>
      <w:r w:rsidR="00B6750E" w:rsidRPr="007B25AE">
        <w:rPr>
          <w:rFonts w:ascii="Baskerville" w:eastAsia="MS PMincho" w:hAnsi="Baskerville" w:cs="Arabic Typesetting"/>
        </w:rPr>
        <w:t>a</w:t>
      </w:r>
      <w:r w:rsidR="00F5257E" w:rsidRPr="007B25AE">
        <w:rPr>
          <w:rFonts w:ascii="Baskerville" w:eastAsia="MS PMincho" w:hAnsi="Baskerville" w:cs="Arabic Typesetting"/>
        </w:rPr>
        <w:t>l</w:t>
      </w:r>
      <w:r w:rsidR="00B6750E" w:rsidRPr="007B25AE">
        <w:rPr>
          <w:rFonts w:ascii="Baskerville" w:eastAsia="MS PMincho" w:hAnsi="Baskerville" w:cs="Arabic Typesetting"/>
        </w:rPr>
        <w:t xml:space="preserve"> </w:t>
      </w:r>
      <w:r w:rsidR="005942DE" w:rsidRPr="007B25AE">
        <w:rPr>
          <w:rFonts w:ascii="Baskerville" w:eastAsia="MS PMincho" w:hAnsi="Baskerville" w:cs="Arabic Typesetting"/>
        </w:rPr>
        <w:t xml:space="preserve">or pre-motherhood </w:t>
      </w:r>
      <w:r w:rsidR="00556089" w:rsidRPr="007B25AE">
        <w:rPr>
          <w:rFonts w:ascii="Baskerville" w:eastAsia="MS PMincho" w:hAnsi="Baskerville" w:cs="Arabic Typesetting"/>
        </w:rPr>
        <w:t>job</w:t>
      </w:r>
      <w:r w:rsidR="00B6750E" w:rsidRPr="007B25AE">
        <w:rPr>
          <w:rFonts w:ascii="Baskerville" w:eastAsia="MS PMincho" w:hAnsi="Baskerville" w:cs="Arabic Typesetting"/>
        </w:rPr>
        <w:t xml:space="preserve">, or </w:t>
      </w:r>
      <w:r w:rsidR="00102737" w:rsidRPr="007B25AE">
        <w:rPr>
          <w:rFonts w:ascii="Baskerville" w:eastAsia="MS PMincho" w:hAnsi="Baskerville" w:cs="Arabic Typesetting"/>
        </w:rPr>
        <w:t>the</w:t>
      </w:r>
      <w:r w:rsidR="00B6750E" w:rsidRPr="007B25AE">
        <w:rPr>
          <w:rFonts w:ascii="Baskerville" w:eastAsia="MS PMincho" w:hAnsi="Baskerville" w:cs="Arabic Typesetting"/>
        </w:rPr>
        <w:t xml:space="preserve"> job </w:t>
      </w:r>
      <w:r w:rsidR="00102737" w:rsidRPr="007B25AE">
        <w:rPr>
          <w:rFonts w:ascii="Baskerville" w:eastAsia="MS PMincho" w:hAnsi="Baskerville" w:cs="Arabic Typesetting"/>
        </w:rPr>
        <w:t>o</w:t>
      </w:r>
      <w:r w:rsidR="00B6750E" w:rsidRPr="007B25AE">
        <w:rPr>
          <w:rFonts w:ascii="Baskerville" w:eastAsia="MS PMincho" w:hAnsi="Baskerville" w:cs="Arabic Typesetting"/>
        </w:rPr>
        <w:t xml:space="preserve">f </w:t>
      </w:r>
      <w:r w:rsidR="00102737" w:rsidRPr="007B25AE">
        <w:rPr>
          <w:rFonts w:ascii="Baskerville" w:eastAsia="MS PMincho" w:hAnsi="Baskerville" w:cs="Arabic Typesetting"/>
        </w:rPr>
        <w:t>femal</w:t>
      </w:r>
      <w:r w:rsidR="00BD333D" w:rsidRPr="007B25AE">
        <w:rPr>
          <w:rFonts w:ascii="Baskerville" w:eastAsia="MS PMincho" w:hAnsi="Baskerville" w:cs="Arabic Typesetting"/>
        </w:rPr>
        <w:t>e</w:t>
      </w:r>
      <w:r w:rsidR="00102737" w:rsidRPr="007B25AE">
        <w:rPr>
          <w:rFonts w:ascii="Baskerville" w:eastAsia="MS PMincho" w:hAnsi="Baskerville" w:cs="Arabic Typesetting"/>
        </w:rPr>
        <w:t>s</w:t>
      </w:r>
      <w:r w:rsidR="00B6750E" w:rsidRPr="007B25AE">
        <w:rPr>
          <w:rFonts w:ascii="Baskerville" w:eastAsia="MS PMincho" w:hAnsi="Baskerville" w:cs="Arabic Typesetting"/>
        </w:rPr>
        <w:t xml:space="preserve"> </w:t>
      </w:r>
      <w:r w:rsidR="001C037C" w:rsidRPr="007B25AE">
        <w:rPr>
          <w:rFonts w:ascii="Baskerville" w:eastAsia="MS PMincho" w:hAnsi="Baskerville" w:cs="Arabic Typesetting"/>
        </w:rPr>
        <w:t xml:space="preserve">who </w:t>
      </w:r>
      <w:r w:rsidR="006C086B" w:rsidRPr="007B25AE">
        <w:rPr>
          <w:rFonts w:ascii="Baskerville" w:eastAsia="MS PMincho" w:hAnsi="Baskerville" w:cs="Arabic Typesetting"/>
        </w:rPr>
        <w:t xml:space="preserve">had </w:t>
      </w:r>
      <w:r w:rsidR="00B6750E" w:rsidRPr="007B25AE">
        <w:rPr>
          <w:rFonts w:ascii="Baskerville" w:eastAsia="MS PMincho" w:hAnsi="Baskerville" w:cs="Arabic Typesetting"/>
        </w:rPr>
        <w:t xml:space="preserve">resigned </w:t>
      </w:r>
      <w:r w:rsidR="006C086B" w:rsidRPr="007B25AE">
        <w:rPr>
          <w:rFonts w:ascii="Baskerville" w:eastAsia="MS PMincho" w:hAnsi="Baskerville" w:cs="Arabic Typesetting"/>
        </w:rPr>
        <w:t xml:space="preserve">themselves </w:t>
      </w:r>
      <w:r w:rsidR="00B6750E" w:rsidRPr="007B25AE">
        <w:rPr>
          <w:rFonts w:ascii="Baskerville" w:eastAsia="MS PMincho" w:hAnsi="Baskerville" w:cs="Arabic Typesetting"/>
        </w:rPr>
        <w:t>to spinsterhood</w:t>
      </w:r>
      <w:r w:rsidR="005942DE" w:rsidRPr="007B25AE">
        <w:rPr>
          <w:rFonts w:ascii="Baskerville" w:eastAsia="MS PMincho" w:hAnsi="Baskerville" w:cs="Arabic Typesetting"/>
        </w:rPr>
        <w:t xml:space="preserve">. </w:t>
      </w:r>
      <w:r w:rsidR="00F86695" w:rsidRPr="007B25AE">
        <w:rPr>
          <w:rFonts w:ascii="Baskerville" w:eastAsia="MS PMincho" w:hAnsi="Baskerville" w:cs="Arabic Typesetting"/>
        </w:rPr>
        <w:t xml:space="preserve"> </w:t>
      </w:r>
      <w:r w:rsidR="001C037C" w:rsidRPr="007B25AE">
        <w:rPr>
          <w:rFonts w:ascii="Baskerville" w:eastAsia="MS PMincho" w:hAnsi="Baskerville" w:cs="Arabic Typesetting"/>
        </w:rPr>
        <w:t>With that</w:t>
      </w:r>
      <w:r w:rsidR="00102737" w:rsidRPr="007B25AE">
        <w:rPr>
          <w:rFonts w:ascii="Baskerville" w:eastAsia="MS PMincho" w:hAnsi="Baskerville" w:cs="Arabic Typesetting"/>
        </w:rPr>
        <w:t xml:space="preserve">, </w:t>
      </w:r>
      <w:r w:rsidR="00E06404" w:rsidRPr="007B25AE">
        <w:rPr>
          <w:rFonts w:ascii="Baskerville" w:eastAsia="MS PMincho" w:hAnsi="Baskerville" w:cs="Arabic Typesetting"/>
        </w:rPr>
        <w:t>he</w:t>
      </w:r>
      <w:r w:rsidR="00102737" w:rsidRPr="007B25AE">
        <w:rPr>
          <w:rFonts w:ascii="Baskerville" w:eastAsia="MS PMincho" w:hAnsi="Baskerville" w:cs="Arabic Typesetting"/>
        </w:rPr>
        <w:t xml:space="preserve"> goes on to </w:t>
      </w:r>
      <w:r w:rsidR="005942DE" w:rsidRPr="007B25AE">
        <w:rPr>
          <w:rFonts w:ascii="Baskerville" w:eastAsia="MS PMincho" w:hAnsi="Baskerville" w:cs="Arabic Typesetting"/>
        </w:rPr>
        <w:t>s</w:t>
      </w:r>
      <w:r w:rsidR="00102737" w:rsidRPr="007B25AE">
        <w:rPr>
          <w:rFonts w:ascii="Baskerville" w:eastAsia="MS PMincho" w:hAnsi="Baskerville" w:cs="Arabic Typesetting"/>
        </w:rPr>
        <w:t>how that as</w:t>
      </w:r>
      <w:r w:rsidR="005942DE" w:rsidRPr="007B25AE">
        <w:rPr>
          <w:rFonts w:ascii="Baskerville" w:eastAsia="MS PMincho" w:hAnsi="Baskerville" w:cs="Arabic Typesetting"/>
        </w:rPr>
        <w:t xml:space="preserve"> the social climate </w:t>
      </w:r>
      <w:r w:rsidR="001C037C" w:rsidRPr="007B25AE">
        <w:rPr>
          <w:rFonts w:ascii="Baskerville" w:eastAsia="MS PMincho" w:hAnsi="Baskerville" w:cs="Arabic Typesetting"/>
        </w:rPr>
        <w:t xml:space="preserve">had </w:t>
      </w:r>
      <w:r w:rsidR="005942DE" w:rsidRPr="007B25AE">
        <w:rPr>
          <w:rFonts w:ascii="Baskerville" w:eastAsia="MS PMincho" w:hAnsi="Baskerville" w:cs="Arabic Typesetting"/>
        </w:rPr>
        <w:t xml:space="preserve">changed and the </w:t>
      </w:r>
      <w:r w:rsidR="006C086B" w:rsidRPr="007B25AE">
        <w:rPr>
          <w:rFonts w:ascii="Baskerville" w:eastAsia="MS PMincho" w:hAnsi="Baskerville" w:cs="Arabic Typesetting"/>
        </w:rPr>
        <w:t xml:space="preserve">concept of </w:t>
      </w:r>
      <w:r w:rsidR="00F5257E" w:rsidRPr="007B25AE">
        <w:rPr>
          <w:rFonts w:ascii="Baskerville" w:eastAsia="MS PMincho" w:hAnsi="Baskerville" w:cs="Arabic Typesetting"/>
        </w:rPr>
        <w:t>a</w:t>
      </w:r>
      <w:r w:rsidR="006C086B" w:rsidRPr="007B25AE">
        <w:rPr>
          <w:rFonts w:ascii="Baskerville" w:eastAsia="MS PMincho" w:hAnsi="Baskerville" w:cs="Arabic Typesetting"/>
        </w:rPr>
        <w:t xml:space="preserve"> </w:t>
      </w:r>
      <w:r w:rsidR="00556089" w:rsidRPr="007B25AE">
        <w:rPr>
          <w:rFonts w:ascii="Baskerville" w:eastAsia="MS PMincho" w:hAnsi="Baskerville" w:cs="Arabic Typesetting"/>
        </w:rPr>
        <w:t>union</w:t>
      </w:r>
      <w:r w:rsidR="00102737" w:rsidRPr="007B25AE">
        <w:rPr>
          <w:rFonts w:ascii="Baskerville" w:eastAsia="MS PMincho" w:hAnsi="Baskerville" w:cs="Arabic Typesetting"/>
        </w:rPr>
        <w:t>-</w:t>
      </w:r>
      <w:r w:rsidR="00556089" w:rsidRPr="007B25AE">
        <w:rPr>
          <w:rFonts w:ascii="Baskerville" w:eastAsia="MS PMincho" w:hAnsi="Baskerville" w:cs="Arabic Typesetting"/>
        </w:rPr>
        <w:t>shop</w:t>
      </w:r>
      <w:r w:rsidR="005942DE" w:rsidRPr="007B25AE">
        <w:rPr>
          <w:rFonts w:ascii="Baskerville" w:eastAsia="MS PMincho" w:hAnsi="Baskerville" w:cs="Arabic Typesetting"/>
        </w:rPr>
        <w:t xml:space="preserve"> </w:t>
      </w:r>
      <w:r w:rsidR="001C037C" w:rsidRPr="007B25AE">
        <w:rPr>
          <w:rFonts w:ascii="Baskerville" w:eastAsia="MS PMincho" w:hAnsi="Baskerville" w:cs="Arabic Typesetting"/>
        </w:rPr>
        <w:t>in</w:t>
      </w:r>
      <w:r w:rsidR="00102737" w:rsidRPr="007B25AE">
        <w:rPr>
          <w:rFonts w:ascii="Baskerville" w:eastAsia="MS PMincho" w:hAnsi="Baskerville" w:cs="Arabic Typesetting"/>
        </w:rPr>
        <w:t xml:space="preserve"> the workplace</w:t>
      </w:r>
      <w:r w:rsidR="004D7227" w:rsidRPr="007B25AE">
        <w:rPr>
          <w:rFonts w:ascii="Baskerville" w:eastAsia="MS PMincho" w:hAnsi="Baskerville" w:cs="Arabic Typesetting"/>
        </w:rPr>
        <w:t xml:space="preserve"> </w:t>
      </w:r>
      <w:r w:rsidR="001C037C" w:rsidRPr="007B25AE">
        <w:rPr>
          <w:rFonts w:ascii="Baskerville" w:eastAsia="MS PMincho" w:hAnsi="Baskerville" w:cs="Arabic Typesetting"/>
        </w:rPr>
        <w:t xml:space="preserve">had </w:t>
      </w:r>
      <w:r w:rsidR="004D7227" w:rsidRPr="007B25AE">
        <w:rPr>
          <w:rFonts w:ascii="Baskerville" w:eastAsia="MS PMincho" w:hAnsi="Baskerville" w:cs="Arabic Typesetting"/>
        </w:rPr>
        <w:t>bec</w:t>
      </w:r>
      <w:r w:rsidR="001C037C" w:rsidRPr="007B25AE">
        <w:rPr>
          <w:rFonts w:ascii="Baskerville" w:eastAsia="MS PMincho" w:hAnsi="Baskerville" w:cs="Arabic Typesetting"/>
        </w:rPr>
        <w:t>o</w:t>
      </w:r>
      <w:r w:rsidR="004D7227" w:rsidRPr="007B25AE">
        <w:rPr>
          <w:rFonts w:ascii="Baskerville" w:eastAsia="MS PMincho" w:hAnsi="Baskerville" w:cs="Arabic Typesetting"/>
        </w:rPr>
        <w:t>me commonplace,</w:t>
      </w:r>
      <w:r w:rsidR="00102737" w:rsidRPr="007B25AE">
        <w:rPr>
          <w:rFonts w:ascii="Baskerville" w:eastAsia="MS PMincho" w:hAnsi="Baskerville" w:cs="Arabic Typesetting"/>
        </w:rPr>
        <w:t xml:space="preserve"> in the latter half of the 20</w:t>
      </w:r>
      <w:r w:rsidR="00102737" w:rsidRPr="007B25AE">
        <w:rPr>
          <w:rFonts w:ascii="Baskerville" w:eastAsia="MS PMincho" w:hAnsi="Baskerville" w:cs="Arabic Typesetting"/>
          <w:vertAlign w:val="superscript"/>
        </w:rPr>
        <w:t>th</w:t>
      </w:r>
      <w:r w:rsidR="00102737" w:rsidRPr="007B25AE">
        <w:rPr>
          <w:rFonts w:ascii="Baskerville" w:eastAsia="MS PMincho" w:hAnsi="Baskerville" w:cs="Arabic Typesetting"/>
        </w:rPr>
        <w:t xml:space="preserve"> century, the</w:t>
      </w:r>
      <w:r w:rsidR="004D7227" w:rsidRPr="007B25AE">
        <w:rPr>
          <w:rFonts w:ascii="Baskerville" w:eastAsia="MS PMincho" w:hAnsi="Baskerville" w:cs="Arabic Typesetting"/>
        </w:rPr>
        <w:t xml:space="preserve"> </w:t>
      </w:r>
      <w:r w:rsidR="001C037C" w:rsidRPr="007B25AE">
        <w:rPr>
          <w:rFonts w:ascii="Baskerville" w:eastAsia="MS PMincho" w:hAnsi="Baskerville" w:cs="Arabic Typesetting"/>
        </w:rPr>
        <w:t xml:space="preserve">faculty lounge </w:t>
      </w:r>
      <w:r w:rsidR="004D7227" w:rsidRPr="007B25AE">
        <w:rPr>
          <w:rFonts w:ascii="Baskerville" w:eastAsia="MS PMincho" w:hAnsi="Baskerville" w:cs="Arabic Typesetting"/>
        </w:rPr>
        <w:t xml:space="preserve">had </w:t>
      </w:r>
      <w:r w:rsidR="003159D8" w:rsidRPr="007B25AE">
        <w:rPr>
          <w:rFonts w:ascii="Baskerville" w:eastAsia="MS PMincho" w:hAnsi="Baskerville" w:cs="Arabic Typesetting"/>
        </w:rPr>
        <w:t xml:space="preserve">also </w:t>
      </w:r>
      <w:r w:rsidR="004D7227" w:rsidRPr="007B25AE">
        <w:rPr>
          <w:rFonts w:ascii="Baskerville" w:eastAsia="MS PMincho" w:hAnsi="Baskerville" w:cs="Arabic Typesetting"/>
        </w:rPr>
        <w:t>bec</w:t>
      </w:r>
      <w:r w:rsidR="003159D8" w:rsidRPr="007B25AE">
        <w:rPr>
          <w:rFonts w:ascii="Baskerville" w:eastAsia="MS PMincho" w:hAnsi="Baskerville" w:cs="Arabic Typesetting"/>
        </w:rPr>
        <w:t>o</w:t>
      </w:r>
      <w:r w:rsidR="004D7227" w:rsidRPr="007B25AE">
        <w:rPr>
          <w:rFonts w:ascii="Baskerville" w:eastAsia="MS PMincho" w:hAnsi="Baskerville" w:cs="Arabic Typesetting"/>
        </w:rPr>
        <w:t xml:space="preserve">me </w:t>
      </w:r>
      <w:r w:rsidR="003159D8" w:rsidRPr="007B25AE">
        <w:rPr>
          <w:rFonts w:ascii="Baskerville" w:eastAsia="MS PMincho" w:hAnsi="Baskerville" w:cs="Arabic Typesetting"/>
        </w:rPr>
        <w:t>the teachers’ meeting place with their shop steward,</w:t>
      </w:r>
      <w:r w:rsidR="00102737" w:rsidRPr="007B25AE">
        <w:rPr>
          <w:rFonts w:ascii="Baskerville" w:eastAsia="MS PMincho" w:hAnsi="Baskerville" w:cs="Arabic Typesetting"/>
        </w:rPr>
        <w:t xml:space="preserve"> </w:t>
      </w:r>
      <w:r w:rsidR="00F5257E" w:rsidRPr="007B25AE">
        <w:rPr>
          <w:rFonts w:ascii="Baskerville" w:eastAsia="MS PMincho" w:hAnsi="Baskerville" w:cs="Arabic Typesetting"/>
        </w:rPr>
        <w:t xml:space="preserve">while </w:t>
      </w:r>
      <w:r w:rsidR="00BD333D" w:rsidRPr="007B25AE">
        <w:rPr>
          <w:rFonts w:ascii="Baskerville" w:eastAsia="MS PMincho" w:hAnsi="Baskerville" w:cs="Arabic Typesetting"/>
        </w:rPr>
        <w:t xml:space="preserve">teaching </w:t>
      </w:r>
      <w:r w:rsidR="003159D8" w:rsidRPr="007B25AE">
        <w:rPr>
          <w:rFonts w:ascii="Baskerville" w:eastAsia="MS PMincho" w:hAnsi="Baskerville" w:cs="Arabic Typesetting"/>
        </w:rPr>
        <w:t>had</w:t>
      </w:r>
      <w:r w:rsidR="00BD333D" w:rsidRPr="007B25AE">
        <w:rPr>
          <w:rFonts w:ascii="Baskerville" w:eastAsia="MS PMincho" w:hAnsi="Baskerville" w:cs="Arabic Typesetting"/>
        </w:rPr>
        <w:t xml:space="preserve"> </w:t>
      </w:r>
      <w:r w:rsidR="00C97767" w:rsidRPr="007B25AE">
        <w:rPr>
          <w:rFonts w:ascii="Baskerville" w:eastAsia="MS PMincho" w:hAnsi="Baskerville" w:cs="Arabic Typesetting"/>
        </w:rPr>
        <w:t>beg</w:t>
      </w:r>
      <w:r w:rsidR="003159D8" w:rsidRPr="007B25AE">
        <w:rPr>
          <w:rFonts w:ascii="Baskerville" w:eastAsia="MS PMincho" w:hAnsi="Baskerville" w:cs="Arabic Typesetting"/>
        </w:rPr>
        <w:t>u</w:t>
      </w:r>
      <w:r w:rsidR="00C97767" w:rsidRPr="007B25AE">
        <w:rPr>
          <w:rFonts w:ascii="Baskerville" w:eastAsia="MS PMincho" w:hAnsi="Baskerville" w:cs="Arabic Typesetting"/>
        </w:rPr>
        <w:t>n</w:t>
      </w:r>
      <w:r w:rsidR="003159D8" w:rsidRPr="007B25AE">
        <w:rPr>
          <w:rFonts w:ascii="Baskerville" w:eastAsia="MS PMincho" w:hAnsi="Baskerville" w:cs="Arabic Typesetting"/>
        </w:rPr>
        <w:t xml:space="preserve"> </w:t>
      </w:r>
      <w:r w:rsidR="009933B5" w:rsidRPr="007B25AE">
        <w:rPr>
          <w:rFonts w:ascii="Baskerville" w:eastAsia="MS PMincho" w:hAnsi="Baskerville" w:cs="Arabic Typesetting"/>
        </w:rPr>
        <w:t>to</w:t>
      </w:r>
      <w:r w:rsidR="00C97767" w:rsidRPr="007B25AE">
        <w:rPr>
          <w:rFonts w:ascii="Baskerville" w:eastAsia="MS PMincho" w:hAnsi="Baskerville" w:cs="Arabic Typesetting"/>
        </w:rPr>
        <w:t xml:space="preserve"> </w:t>
      </w:r>
      <w:r w:rsidR="00BD333D" w:rsidRPr="007B25AE">
        <w:rPr>
          <w:rFonts w:ascii="Baskerville" w:eastAsia="MS PMincho" w:hAnsi="Baskerville" w:cs="Arabic Typesetting"/>
        </w:rPr>
        <w:t>transfor</w:t>
      </w:r>
      <w:r w:rsidR="00C97767" w:rsidRPr="007B25AE">
        <w:rPr>
          <w:rFonts w:ascii="Baskerville" w:eastAsia="MS PMincho" w:hAnsi="Baskerville" w:cs="Arabic Typesetting"/>
        </w:rPr>
        <w:t>m</w:t>
      </w:r>
      <w:r w:rsidR="00BD333D" w:rsidRPr="007B25AE">
        <w:rPr>
          <w:rFonts w:ascii="Baskerville" w:eastAsia="MS PMincho" w:hAnsi="Baskerville" w:cs="Arabic Typesetting"/>
        </w:rPr>
        <w:t xml:space="preserve"> into a </w:t>
      </w:r>
      <w:r w:rsidR="003159D8" w:rsidRPr="007B25AE">
        <w:rPr>
          <w:rFonts w:ascii="Baskerville" w:eastAsia="MS PMincho" w:hAnsi="Baskerville" w:cs="Arabic Typesetting"/>
        </w:rPr>
        <w:t>well-</w:t>
      </w:r>
      <w:r w:rsidR="00BD333D" w:rsidRPr="007B25AE">
        <w:rPr>
          <w:rFonts w:ascii="Baskerville" w:eastAsia="MS PMincho" w:hAnsi="Baskerville" w:cs="Arabic Typesetting"/>
        </w:rPr>
        <w:t>respect</w:t>
      </w:r>
      <w:r w:rsidR="003159D8" w:rsidRPr="007B25AE">
        <w:rPr>
          <w:rFonts w:ascii="Baskerville" w:eastAsia="MS PMincho" w:hAnsi="Baskerville" w:cs="Arabic Typesetting"/>
        </w:rPr>
        <w:t xml:space="preserve">ed </w:t>
      </w:r>
      <w:r w:rsidR="00BD333D" w:rsidRPr="007B25AE">
        <w:rPr>
          <w:rFonts w:ascii="Baskerville" w:eastAsia="MS PMincho" w:hAnsi="Baskerville" w:cs="Arabic Typesetting"/>
        </w:rPr>
        <w:t>profession</w:t>
      </w:r>
      <w:r w:rsidR="003159D8" w:rsidRPr="007B25AE">
        <w:rPr>
          <w:rFonts w:ascii="Baskerville" w:eastAsia="MS PMincho" w:hAnsi="Baskerville" w:cs="Arabic Typesetting"/>
        </w:rPr>
        <w:t>, in earnest</w:t>
      </w:r>
      <w:r w:rsidR="00F86695" w:rsidRPr="007B25AE">
        <w:rPr>
          <w:rFonts w:ascii="Baskerville" w:eastAsia="MS PMincho" w:hAnsi="Baskerville" w:cs="Arabic Typesetting"/>
        </w:rPr>
        <w:t xml:space="preserve"> (</w:t>
      </w:r>
      <w:r w:rsidR="00BD333D" w:rsidRPr="007B25AE">
        <w:rPr>
          <w:rFonts w:ascii="Baskerville" w:eastAsia="MS PMincho" w:hAnsi="Baskerville" w:cs="Arabic Typesetting"/>
        </w:rPr>
        <w:t xml:space="preserve"> </w:t>
      </w:r>
      <w:r w:rsidR="005942DE" w:rsidRPr="007B25AE">
        <w:rPr>
          <w:rFonts w:ascii="Baskerville" w:eastAsia="MS PMincho" w:hAnsi="Baskerville" w:cs="Arabic Typesetting"/>
        </w:rPr>
        <w:t xml:space="preserve"> </w:t>
      </w:r>
      <w:r w:rsidR="00B6750E" w:rsidRPr="007B25AE">
        <w:rPr>
          <w:rFonts w:ascii="Baskerville" w:eastAsia="MS PMincho" w:hAnsi="Baskerville" w:cs="Arabic Typesetting"/>
        </w:rPr>
        <w:t xml:space="preserve"> </w:t>
      </w:r>
      <w:r w:rsidR="00F86695" w:rsidRPr="007B25AE">
        <w:rPr>
          <w:rFonts w:ascii="Baskerville" w:eastAsia="MS PMincho" w:hAnsi="Baskerville" w:cs="Arabic Typesetting"/>
        </w:rPr>
        <w:t xml:space="preserve">). </w:t>
      </w:r>
      <w:r w:rsidR="00B6750E" w:rsidRPr="007B25AE">
        <w:rPr>
          <w:rFonts w:ascii="Baskerville" w:eastAsia="MS PMincho" w:hAnsi="Baskerville" w:cs="Arabic Typesetting"/>
        </w:rPr>
        <w:t xml:space="preserve"> </w:t>
      </w:r>
      <w:r w:rsidR="00F86695" w:rsidRPr="007B25AE">
        <w:rPr>
          <w:rFonts w:ascii="Baskerville" w:eastAsia="MS PMincho" w:hAnsi="Baskerville" w:cs="Arabic Typesetting"/>
        </w:rPr>
        <w:t xml:space="preserve">Yet, in </w:t>
      </w:r>
      <w:r w:rsidR="0085522F" w:rsidRPr="007B25AE">
        <w:rPr>
          <w:rFonts w:ascii="Baskerville" w:eastAsia="MS PMincho" w:hAnsi="Baskerville" w:cs="Arabic Typesetting"/>
        </w:rPr>
        <w:t>face</w:t>
      </w:r>
      <w:r w:rsidR="00F86695" w:rsidRPr="007B25AE">
        <w:rPr>
          <w:rFonts w:ascii="Baskerville" w:eastAsia="MS PMincho" w:hAnsi="Baskerville" w:cs="Arabic Typesetting"/>
        </w:rPr>
        <w:t xml:space="preserve"> of the </w:t>
      </w:r>
      <w:r w:rsidR="00251823" w:rsidRPr="007B25AE">
        <w:rPr>
          <w:rFonts w:ascii="Baskerville" w:eastAsia="MS PMincho" w:hAnsi="Baskerville" w:cs="Arabic Typesetting"/>
        </w:rPr>
        <w:t>ris</w:t>
      </w:r>
      <w:r w:rsidR="00F86695" w:rsidRPr="007B25AE">
        <w:rPr>
          <w:rFonts w:ascii="Baskerville" w:eastAsia="MS PMincho" w:hAnsi="Baskerville" w:cs="Arabic Typesetting"/>
        </w:rPr>
        <w:t xml:space="preserve">ing </w:t>
      </w:r>
      <w:r w:rsidR="00251823" w:rsidRPr="007B25AE">
        <w:rPr>
          <w:rFonts w:ascii="Baskerville" w:eastAsia="MS PMincho" w:hAnsi="Baskerville" w:cs="Arabic Typesetting"/>
        </w:rPr>
        <w:t xml:space="preserve">level of </w:t>
      </w:r>
      <w:r w:rsidR="00F86695" w:rsidRPr="007B25AE">
        <w:rPr>
          <w:rFonts w:ascii="Baskerville" w:eastAsia="MS PMincho" w:hAnsi="Baskerville" w:cs="Arabic Typesetting"/>
        </w:rPr>
        <w:t xml:space="preserve">respectability that </w:t>
      </w:r>
      <w:r w:rsidR="00251823" w:rsidRPr="007B25AE">
        <w:rPr>
          <w:rFonts w:ascii="Baskerville" w:eastAsia="MS PMincho" w:hAnsi="Baskerville" w:cs="Arabic Typesetting"/>
        </w:rPr>
        <w:t xml:space="preserve">those in </w:t>
      </w:r>
      <w:r w:rsidR="00F86695" w:rsidRPr="007B25AE">
        <w:rPr>
          <w:rFonts w:ascii="Baskerville" w:eastAsia="MS PMincho" w:hAnsi="Baskerville" w:cs="Arabic Typesetting"/>
        </w:rPr>
        <w:t xml:space="preserve">the teaching profession </w:t>
      </w:r>
      <w:r w:rsidR="00F55F02" w:rsidRPr="007B25AE">
        <w:rPr>
          <w:rFonts w:ascii="Baskerville" w:eastAsia="MS PMincho" w:hAnsi="Baskerville" w:cs="Arabic Typesetting"/>
        </w:rPr>
        <w:t>were beginning to enjoy</w:t>
      </w:r>
      <w:r w:rsidR="00F86695" w:rsidRPr="007B25AE">
        <w:rPr>
          <w:rFonts w:ascii="Baskerville" w:eastAsia="MS PMincho" w:hAnsi="Baskerville" w:cs="Arabic Typesetting"/>
        </w:rPr>
        <w:t xml:space="preserve">, many outsiders still had not been able to grasp the </w:t>
      </w:r>
      <w:r w:rsidR="00587246" w:rsidRPr="007B25AE">
        <w:rPr>
          <w:rFonts w:ascii="Baskerville" w:eastAsia="MS PMincho" w:hAnsi="Baskerville" w:cs="Arabic Typesetting"/>
        </w:rPr>
        <w:t xml:space="preserve">level of </w:t>
      </w:r>
      <w:r w:rsidR="00464E3D" w:rsidRPr="007B25AE">
        <w:rPr>
          <w:rFonts w:ascii="Baskerville" w:eastAsia="MS PMincho" w:hAnsi="Baskerville" w:cs="Arabic Typesetting"/>
        </w:rPr>
        <w:t>difficul</w:t>
      </w:r>
      <w:r w:rsidR="00F86695" w:rsidRPr="007B25AE">
        <w:rPr>
          <w:rFonts w:ascii="Baskerville" w:eastAsia="MS PMincho" w:hAnsi="Baskerville" w:cs="Arabic Typesetting"/>
        </w:rPr>
        <w:t xml:space="preserve">ty </w:t>
      </w:r>
      <w:r w:rsidR="008F6531" w:rsidRPr="007B25AE">
        <w:rPr>
          <w:rFonts w:ascii="Baskerville" w:eastAsia="MS PMincho" w:hAnsi="Baskerville" w:cs="Arabic Typesetting"/>
        </w:rPr>
        <w:t xml:space="preserve">faced by </w:t>
      </w:r>
      <w:r w:rsidR="00464E3D" w:rsidRPr="007B25AE">
        <w:rPr>
          <w:rFonts w:ascii="Baskerville" w:eastAsia="MS PMincho" w:hAnsi="Baskerville" w:cs="Arabic Typesetting"/>
        </w:rPr>
        <w:t>green</w:t>
      </w:r>
      <w:r w:rsidR="008F6531" w:rsidRPr="007B25AE">
        <w:rPr>
          <w:rFonts w:ascii="Baskerville" w:eastAsia="MS PMincho" w:hAnsi="Baskerville" w:cs="Arabic Typesetting"/>
        </w:rPr>
        <w:t>,</w:t>
      </w:r>
      <w:r w:rsidR="00464E3D" w:rsidRPr="007B25AE">
        <w:rPr>
          <w:rFonts w:ascii="Baskerville" w:eastAsia="MS PMincho" w:hAnsi="Baskerville" w:cs="Arabic Typesetting"/>
        </w:rPr>
        <w:t xml:space="preserve"> inexperienced teachers </w:t>
      </w:r>
      <w:r w:rsidR="0085522F" w:rsidRPr="007B25AE">
        <w:rPr>
          <w:rFonts w:ascii="Baskerville" w:eastAsia="MS PMincho" w:hAnsi="Baskerville" w:cs="Arabic Typesetting"/>
        </w:rPr>
        <w:t xml:space="preserve">who were </w:t>
      </w:r>
      <w:r w:rsidR="00420FAA" w:rsidRPr="007B25AE">
        <w:rPr>
          <w:rFonts w:ascii="Baskerville" w:eastAsia="MS PMincho" w:hAnsi="Baskerville" w:cs="Arabic Typesetting"/>
        </w:rPr>
        <w:t>struggl</w:t>
      </w:r>
      <w:r w:rsidR="00464E3D" w:rsidRPr="007B25AE">
        <w:rPr>
          <w:rFonts w:ascii="Baskerville" w:eastAsia="MS PMincho" w:hAnsi="Baskerville" w:cs="Arabic Typesetting"/>
        </w:rPr>
        <w:t xml:space="preserve">ing </w:t>
      </w:r>
      <w:r w:rsidR="00420FAA" w:rsidRPr="007B25AE">
        <w:rPr>
          <w:rFonts w:ascii="Baskerville" w:eastAsia="MS PMincho" w:hAnsi="Baskerville" w:cs="Arabic Typesetting"/>
        </w:rPr>
        <w:t>in their effort to</w:t>
      </w:r>
      <w:r w:rsidR="00F86695" w:rsidRPr="007B25AE">
        <w:rPr>
          <w:rFonts w:ascii="Baskerville" w:eastAsia="MS PMincho" w:hAnsi="Baskerville" w:cs="Arabic Typesetting"/>
        </w:rPr>
        <w:t xml:space="preserve"> impart</w:t>
      </w:r>
      <w:r w:rsidR="008F6531" w:rsidRPr="007B25AE">
        <w:rPr>
          <w:rFonts w:ascii="Baskerville" w:eastAsia="MS PMincho" w:hAnsi="Baskerville" w:cs="Arabic Typesetting"/>
        </w:rPr>
        <w:t xml:space="preserve"> content </w:t>
      </w:r>
      <w:r w:rsidR="00464E3D" w:rsidRPr="007B25AE">
        <w:rPr>
          <w:rFonts w:ascii="Baskerville" w:eastAsia="MS PMincho" w:hAnsi="Baskerville" w:cs="Arabic Typesetting"/>
        </w:rPr>
        <w:t xml:space="preserve">while </w:t>
      </w:r>
      <w:r w:rsidR="006C086B" w:rsidRPr="007B25AE">
        <w:rPr>
          <w:rFonts w:ascii="Baskerville" w:eastAsia="MS PMincho" w:hAnsi="Baskerville" w:cs="Arabic Typesetting"/>
        </w:rPr>
        <w:t>blending it with</w:t>
      </w:r>
      <w:r w:rsidR="00464E3D" w:rsidRPr="007B25AE">
        <w:rPr>
          <w:rFonts w:ascii="Baskerville" w:eastAsia="MS PMincho" w:hAnsi="Baskerville" w:cs="Arabic Typesetting"/>
        </w:rPr>
        <w:t xml:space="preserve"> the cross grain of learning styles </w:t>
      </w:r>
      <w:r w:rsidR="008F6531" w:rsidRPr="007B25AE">
        <w:rPr>
          <w:rFonts w:ascii="Baskerville" w:eastAsia="MS PMincho" w:hAnsi="Baskerville" w:cs="Arabic Typesetting"/>
        </w:rPr>
        <w:t xml:space="preserve">and the </w:t>
      </w:r>
      <w:r w:rsidR="00464E3D" w:rsidRPr="007B25AE">
        <w:rPr>
          <w:rFonts w:ascii="Baskerville" w:eastAsia="MS PMincho" w:hAnsi="Baskerville" w:cs="Arabic Typesetting"/>
        </w:rPr>
        <w:t xml:space="preserve">unique multi-social admixture of </w:t>
      </w:r>
      <w:r w:rsidR="008F6531" w:rsidRPr="007B25AE">
        <w:rPr>
          <w:rFonts w:ascii="Baskerville" w:eastAsia="MS PMincho" w:hAnsi="Baskerville" w:cs="Arabic Typesetting"/>
        </w:rPr>
        <w:t>a full classroom</w:t>
      </w:r>
      <w:r w:rsidR="00251823" w:rsidRPr="007B25AE">
        <w:rPr>
          <w:rFonts w:ascii="Baskerville" w:eastAsia="MS PMincho" w:hAnsi="Baskerville" w:cs="Arabic Typesetting"/>
        </w:rPr>
        <w:t xml:space="preserve"> of students, especially </w:t>
      </w:r>
      <w:r w:rsidR="00F55F02" w:rsidRPr="007B25AE">
        <w:rPr>
          <w:rFonts w:ascii="Baskerville" w:eastAsia="MS PMincho" w:hAnsi="Baskerville" w:cs="Arabic Typesetting"/>
        </w:rPr>
        <w:t xml:space="preserve">those living </w:t>
      </w:r>
      <w:r w:rsidR="00251823" w:rsidRPr="007B25AE">
        <w:rPr>
          <w:rFonts w:ascii="Baskerville" w:eastAsia="MS PMincho" w:hAnsi="Baskerville" w:cs="Arabic Typesetting"/>
        </w:rPr>
        <w:t xml:space="preserve">in urban </w:t>
      </w:r>
      <w:r w:rsidR="00F55F02" w:rsidRPr="007B25AE">
        <w:rPr>
          <w:rFonts w:ascii="Baskerville" w:eastAsia="MS PMincho" w:hAnsi="Baskerville" w:cs="Arabic Typesetting"/>
        </w:rPr>
        <w:t>settings</w:t>
      </w:r>
      <w:r w:rsidR="008F6531" w:rsidRPr="007B25AE">
        <w:rPr>
          <w:rFonts w:ascii="Baskerville" w:eastAsia="MS PMincho" w:hAnsi="Baskerville" w:cs="Arabic Typesetting"/>
        </w:rPr>
        <w:t xml:space="preserve">.  </w:t>
      </w:r>
    </w:p>
    <w:p w14:paraId="20257C56" w14:textId="47DA9289" w:rsidR="00A9797B" w:rsidRPr="007B25AE" w:rsidRDefault="00C97767" w:rsidP="003B19B3">
      <w:pPr>
        <w:spacing w:line="360" w:lineRule="auto"/>
        <w:ind w:firstLine="720"/>
        <w:rPr>
          <w:rFonts w:ascii="Baskerville" w:eastAsia="MS PMincho" w:hAnsi="Baskerville" w:cs="Arabic Typesetting"/>
        </w:rPr>
      </w:pPr>
      <w:proofErr w:type="spellStart"/>
      <w:r w:rsidRPr="007B25AE">
        <w:rPr>
          <w:rFonts w:ascii="Baskerville" w:eastAsia="MS PMincho" w:hAnsi="Baskerville" w:cs="Arabic Typesetting"/>
        </w:rPr>
        <w:t>Ogundimu</w:t>
      </w:r>
      <w:proofErr w:type="spellEnd"/>
      <w:r w:rsidRPr="007B25AE">
        <w:rPr>
          <w:rFonts w:ascii="Baskerville" w:eastAsia="MS PMincho" w:hAnsi="Baskerville" w:cs="Arabic Typesetting"/>
        </w:rPr>
        <w:t xml:space="preserve"> </w:t>
      </w:r>
      <w:r w:rsidR="00C734CD" w:rsidRPr="007B25AE">
        <w:rPr>
          <w:rFonts w:ascii="Baskerville" w:eastAsia="MS PMincho" w:hAnsi="Baskerville" w:cs="Arabic Typesetting"/>
        </w:rPr>
        <w:t>refer</w:t>
      </w:r>
      <w:r w:rsidR="00420FAA" w:rsidRPr="007B25AE">
        <w:rPr>
          <w:rFonts w:ascii="Baskerville" w:eastAsia="MS PMincho" w:hAnsi="Baskerville" w:cs="Arabic Typesetting"/>
        </w:rPr>
        <w:t>enced a piece of</w:t>
      </w:r>
      <w:r w:rsidRPr="007B25AE">
        <w:rPr>
          <w:rFonts w:ascii="Baskerville" w:eastAsia="MS PMincho" w:hAnsi="Baskerville" w:cs="Arabic Typesetting"/>
        </w:rPr>
        <w:t xml:space="preserve"> research </w:t>
      </w:r>
      <w:r w:rsidR="006013A0" w:rsidRPr="007B25AE">
        <w:rPr>
          <w:rFonts w:ascii="Baskerville" w:eastAsia="MS PMincho" w:hAnsi="Baskerville" w:cs="Arabic Typesetting"/>
        </w:rPr>
        <w:t xml:space="preserve">from Public Agenda (2000) </w:t>
      </w:r>
      <w:r w:rsidR="00E9518B" w:rsidRPr="007B25AE">
        <w:rPr>
          <w:rFonts w:ascii="Baskerville" w:eastAsia="MS PMincho" w:hAnsi="Baskerville" w:cs="Arabic Typesetting"/>
        </w:rPr>
        <w:t xml:space="preserve">in </w:t>
      </w:r>
      <w:r w:rsidR="006013A0" w:rsidRPr="007B25AE">
        <w:rPr>
          <w:rFonts w:ascii="Baskerville" w:eastAsia="MS PMincho" w:hAnsi="Baskerville" w:cs="Arabic Typesetting"/>
        </w:rPr>
        <w:t>which</w:t>
      </w:r>
      <w:r w:rsidR="009A09C4" w:rsidRPr="007B25AE">
        <w:rPr>
          <w:rFonts w:ascii="Baskerville" w:eastAsia="MS PMincho" w:hAnsi="Baskerville" w:cs="Arabic Typesetting"/>
        </w:rPr>
        <w:t xml:space="preserve"> </w:t>
      </w:r>
      <w:r w:rsidR="00D839F5" w:rsidRPr="007B25AE">
        <w:rPr>
          <w:rFonts w:ascii="Baskerville" w:eastAsia="MS PMincho" w:hAnsi="Baskerville" w:cs="Arabic Typesetting"/>
        </w:rPr>
        <w:t xml:space="preserve">it </w:t>
      </w:r>
      <w:r w:rsidR="00E9518B" w:rsidRPr="007B25AE">
        <w:rPr>
          <w:rFonts w:ascii="Baskerville" w:eastAsia="MS PMincho" w:hAnsi="Baskerville" w:cs="Arabic Typesetting"/>
        </w:rPr>
        <w:t xml:space="preserve">was </w:t>
      </w:r>
      <w:r w:rsidR="006013A0" w:rsidRPr="007B25AE">
        <w:rPr>
          <w:rFonts w:ascii="Baskerville" w:eastAsia="MS PMincho" w:hAnsi="Baskerville" w:cs="Arabic Typesetting"/>
        </w:rPr>
        <w:t>found</w:t>
      </w:r>
      <w:r w:rsidRPr="007B25AE">
        <w:rPr>
          <w:rFonts w:ascii="Baskerville" w:eastAsia="MS PMincho" w:hAnsi="Baskerville" w:cs="Arabic Typesetting"/>
        </w:rPr>
        <w:t xml:space="preserve"> that </w:t>
      </w:r>
      <w:r w:rsidR="00F55F02" w:rsidRPr="007B25AE">
        <w:rPr>
          <w:rFonts w:ascii="Baskerville" w:eastAsia="MS PMincho" w:hAnsi="Baskerville" w:cs="Arabic Typesetting"/>
        </w:rPr>
        <w:t xml:space="preserve">many </w:t>
      </w:r>
      <w:r w:rsidRPr="007B25AE">
        <w:rPr>
          <w:rFonts w:ascii="Baskerville" w:eastAsia="MS PMincho" w:hAnsi="Baskerville" w:cs="Arabic Typesetting"/>
        </w:rPr>
        <w:t xml:space="preserve">new </w:t>
      </w:r>
      <w:r w:rsidR="009A09C4" w:rsidRPr="007B25AE">
        <w:rPr>
          <w:rFonts w:ascii="Baskerville" w:eastAsia="MS PMincho" w:hAnsi="Baskerville" w:cs="Arabic Typesetting"/>
        </w:rPr>
        <w:t>teachers</w:t>
      </w:r>
      <w:r w:rsidR="00587246" w:rsidRPr="007B25AE">
        <w:rPr>
          <w:rFonts w:ascii="Baskerville" w:eastAsia="MS PMincho" w:hAnsi="Baskerville" w:cs="Arabic Typesetting"/>
        </w:rPr>
        <w:t>,</w:t>
      </w:r>
      <w:r w:rsidR="009A09C4" w:rsidRPr="007B25AE">
        <w:rPr>
          <w:rFonts w:ascii="Baskerville" w:eastAsia="MS PMincho" w:hAnsi="Baskerville" w:cs="Arabic Typesetting"/>
        </w:rPr>
        <w:t xml:space="preserve"> </w:t>
      </w:r>
      <w:r w:rsidR="005748DC" w:rsidRPr="007B25AE">
        <w:rPr>
          <w:rFonts w:ascii="Baskerville" w:eastAsia="MS PMincho" w:hAnsi="Baskerville" w:cs="Arabic Typesetting"/>
        </w:rPr>
        <w:t>a</w:t>
      </w:r>
      <w:r w:rsidR="009A09C4" w:rsidRPr="007B25AE">
        <w:rPr>
          <w:rFonts w:ascii="Baskerville" w:eastAsia="MS PMincho" w:hAnsi="Baskerville" w:cs="Arabic Typesetting"/>
        </w:rPr>
        <w:t>s well as</w:t>
      </w:r>
      <w:r w:rsidR="00D24008" w:rsidRPr="007B25AE">
        <w:rPr>
          <w:rFonts w:ascii="Baskerville" w:eastAsia="MS PMincho" w:hAnsi="Baskerville" w:cs="Arabic Typesetting"/>
        </w:rPr>
        <w:t xml:space="preserve"> </w:t>
      </w:r>
      <w:r w:rsidR="005748DC" w:rsidRPr="007B25AE">
        <w:rPr>
          <w:rFonts w:ascii="Baskerville" w:eastAsia="MS PMincho" w:hAnsi="Baskerville" w:cs="Arabic Typesetting"/>
        </w:rPr>
        <w:t xml:space="preserve">prospective </w:t>
      </w:r>
      <w:r w:rsidR="00D839F5" w:rsidRPr="007B25AE">
        <w:rPr>
          <w:rFonts w:ascii="Baskerville" w:eastAsia="MS PMincho" w:hAnsi="Baskerville" w:cs="Arabic Typesetting"/>
        </w:rPr>
        <w:t>candidates</w:t>
      </w:r>
      <w:r w:rsidR="009A09C4" w:rsidRPr="007B25AE">
        <w:rPr>
          <w:rFonts w:ascii="Baskerville" w:eastAsia="MS PMincho" w:hAnsi="Baskerville" w:cs="Arabic Typesetting"/>
        </w:rPr>
        <w:t>,</w:t>
      </w:r>
      <w:r w:rsidR="00D839F5" w:rsidRPr="007B25AE">
        <w:rPr>
          <w:rFonts w:ascii="Baskerville" w:eastAsia="MS PMincho" w:hAnsi="Baskerville" w:cs="Arabic Typesetting"/>
        </w:rPr>
        <w:t xml:space="preserve"> </w:t>
      </w:r>
      <w:r w:rsidR="00C734CD" w:rsidRPr="007B25AE">
        <w:rPr>
          <w:rFonts w:ascii="Baskerville" w:eastAsia="MS PMincho" w:hAnsi="Baskerville" w:cs="Arabic Typesetting"/>
        </w:rPr>
        <w:t xml:space="preserve">aspiring </w:t>
      </w:r>
      <w:r w:rsidR="00D839F5" w:rsidRPr="007B25AE">
        <w:rPr>
          <w:rFonts w:ascii="Baskerville" w:eastAsia="MS PMincho" w:hAnsi="Baskerville" w:cs="Arabic Typesetting"/>
        </w:rPr>
        <w:t>for entry into the</w:t>
      </w:r>
      <w:r w:rsidR="00C734CD" w:rsidRPr="007B25AE">
        <w:rPr>
          <w:rFonts w:ascii="Baskerville" w:eastAsia="MS PMincho" w:hAnsi="Baskerville" w:cs="Arabic Typesetting"/>
        </w:rPr>
        <w:t xml:space="preserve"> </w:t>
      </w:r>
      <w:r w:rsidR="00D839F5" w:rsidRPr="007B25AE">
        <w:rPr>
          <w:rFonts w:ascii="Baskerville" w:eastAsia="MS PMincho" w:hAnsi="Baskerville" w:cs="Arabic Typesetting"/>
        </w:rPr>
        <w:t>profession,</w:t>
      </w:r>
      <w:r w:rsidRPr="007B25AE">
        <w:rPr>
          <w:rFonts w:ascii="Baskerville" w:eastAsia="MS PMincho" w:hAnsi="Baskerville" w:cs="Arabic Typesetting"/>
        </w:rPr>
        <w:t xml:space="preserve"> tend</w:t>
      </w:r>
      <w:r w:rsidR="005748DC" w:rsidRPr="007B25AE">
        <w:rPr>
          <w:rFonts w:ascii="Baskerville" w:eastAsia="MS PMincho" w:hAnsi="Baskerville" w:cs="Arabic Typesetting"/>
        </w:rPr>
        <w:t>ed</w:t>
      </w:r>
      <w:r w:rsidRPr="007B25AE">
        <w:rPr>
          <w:rFonts w:ascii="Baskerville" w:eastAsia="MS PMincho" w:hAnsi="Baskerville" w:cs="Arabic Typesetting"/>
        </w:rPr>
        <w:t xml:space="preserve"> </w:t>
      </w:r>
      <w:r w:rsidR="00F55F02" w:rsidRPr="007B25AE">
        <w:rPr>
          <w:rFonts w:ascii="Baskerville" w:eastAsia="MS PMincho" w:hAnsi="Baskerville" w:cs="Arabic Typesetting"/>
        </w:rPr>
        <w:t>to struggle</w:t>
      </w:r>
      <w:r w:rsidR="005748DC" w:rsidRPr="007B25AE">
        <w:rPr>
          <w:rFonts w:ascii="Baskerville" w:eastAsia="MS PMincho" w:hAnsi="Baskerville" w:cs="Arabic Typesetting"/>
        </w:rPr>
        <w:t xml:space="preserve">, not only </w:t>
      </w:r>
      <w:r w:rsidR="001E2A22" w:rsidRPr="007B25AE">
        <w:rPr>
          <w:rFonts w:ascii="Baskerville" w:eastAsia="MS PMincho" w:hAnsi="Baskerville" w:cs="Arabic Typesetting"/>
        </w:rPr>
        <w:t xml:space="preserve">with </w:t>
      </w:r>
      <w:r w:rsidR="00B266FE" w:rsidRPr="007B25AE">
        <w:rPr>
          <w:rFonts w:ascii="Baskerville" w:eastAsia="MS PMincho" w:hAnsi="Baskerville" w:cs="Arabic Typesetting"/>
        </w:rPr>
        <w:t xml:space="preserve">what </w:t>
      </w:r>
      <w:r w:rsidR="001E2A22" w:rsidRPr="007B25AE">
        <w:rPr>
          <w:rFonts w:ascii="Baskerville" w:eastAsia="MS PMincho" w:hAnsi="Baskerville" w:cs="Arabic Typesetting"/>
        </w:rPr>
        <w:t>the</w:t>
      </w:r>
      <w:r w:rsidR="00B266FE" w:rsidRPr="007B25AE">
        <w:rPr>
          <w:rFonts w:ascii="Baskerville" w:eastAsia="MS PMincho" w:hAnsi="Baskerville" w:cs="Arabic Typesetting"/>
        </w:rPr>
        <w:t xml:space="preserve">y </w:t>
      </w:r>
      <w:r w:rsidR="004A7288" w:rsidRPr="007B25AE">
        <w:rPr>
          <w:rFonts w:ascii="Baskerville" w:eastAsia="MS PMincho" w:hAnsi="Baskerville" w:cs="Arabic Typesetting"/>
        </w:rPr>
        <w:t>perceived</w:t>
      </w:r>
      <w:r w:rsidR="003C2F3B" w:rsidRPr="007B25AE">
        <w:rPr>
          <w:rFonts w:ascii="Baskerville" w:eastAsia="MS PMincho" w:hAnsi="Baskerville" w:cs="Arabic Typesetting"/>
        </w:rPr>
        <w:t xml:space="preserve"> </w:t>
      </w:r>
      <w:r w:rsidR="00D839F5" w:rsidRPr="007B25AE">
        <w:rPr>
          <w:rFonts w:ascii="Baskerville" w:eastAsia="MS PMincho" w:hAnsi="Baskerville" w:cs="Arabic Typesetting"/>
        </w:rPr>
        <w:t xml:space="preserve">to be their inability to teach </w:t>
      </w:r>
      <w:r w:rsidR="00894A79" w:rsidRPr="007B25AE">
        <w:rPr>
          <w:rFonts w:ascii="Baskerville" w:eastAsia="MS PMincho" w:hAnsi="Baskerville" w:cs="Arabic Typesetting"/>
        </w:rPr>
        <w:t>students in disadvantaged categories</w:t>
      </w:r>
      <w:r w:rsidR="00587246" w:rsidRPr="007B25AE">
        <w:rPr>
          <w:rFonts w:ascii="Baskerville" w:eastAsia="MS PMincho" w:hAnsi="Baskerville" w:cs="Arabic Typesetting"/>
        </w:rPr>
        <w:t>,</w:t>
      </w:r>
      <w:r w:rsidR="00894A79" w:rsidRPr="007B25AE">
        <w:rPr>
          <w:rFonts w:ascii="Baskerville" w:eastAsia="MS PMincho" w:hAnsi="Baskerville" w:cs="Arabic Typesetting"/>
        </w:rPr>
        <w:t xml:space="preserve"> as those</w:t>
      </w:r>
      <w:r w:rsidR="005748DC" w:rsidRPr="007B25AE">
        <w:rPr>
          <w:rFonts w:ascii="Baskerville" w:eastAsia="MS PMincho" w:hAnsi="Baskerville" w:cs="Arabic Typesetting"/>
        </w:rPr>
        <w:t xml:space="preserve"> mentioned above, but also</w:t>
      </w:r>
      <w:r w:rsidR="001E2A22" w:rsidRPr="007B25AE">
        <w:rPr>
          <w:rFonts w:ascii="Baskerville" w:eastAsia="MS PMincho" w:hAnsi="Baskerville" w:cs="Arabic Typesetting"/>
        </w:rPr>
        <w:t xml:space="preserve"> </w:t>
      </w:r>
      <w:r w:rsidR="00C734CD" w:rsidRPr="007B25AE">
        <w:rPr>
          <w:rFonts w:ascii="Baskerville" w:eastAsia="MS PMincho" w:hAnsi="Baskerville" w:cs="Arabic Typesetting"/>
        </w:rPr>
        <w:t xml:space="preserve">under conditions </w:t>
      </w:r>
      <w:r w:rsidR="005748DC" w:rsidRPr="007B25AE">
        <w:rPr>
          <w:rFonts w:ascii="Baskerville" w:eastAsia="MS PMincho" w:hAnsi="Baskerville" w:cs="Arabic Typesetting"/>
        </w:rPr>
        <w:t xml:space="preserve">intrinsic </w:t>
      </w:r>
      <w:r w:rsidR="00C734CD" w:rsidRPr="007B25AE">
        <w:rPr>
          <w:rFonts w:ascii="Baskerville" w:eastAsia="MS PMincho" w:hAnsi="Baskerville" w:cs="Arabic Typesetting"/>
        </w:rPr>
        <w:t xml:space="preserve">in the </w:t>
      </w:r>
      <w:r w:rsidR="005748DC" w:rsidRPr="007B25AE">
        <w:rPr>
          <w:rFonts w:ascii="Baskerville" w:eastAsia="MS PMincho" w:hAnsi="Baskerville" w:cs="Arabic Typesetting"/>
        </w:rPr>
        <w:t xml:space="preserve">nature of school governance, </w:t>
      </w:r>
      <w:r w:rsidR="009A09C4" w:rsidRPr="007B25AE">
        <w:rPr>
          <w:rFonts w:ascii="Baskerville" w:eastAsia="MS PMincho" w:hAnsi="Baskerville" w:cs="Arabic Typesetting"/>
        </w:rPr>
        <w:t xml:space="preserve">together with </w:t>
      </w:r>
      <w:r w:rsidR="00C734CD" w:rsidRPr="007B25AE">
        <w:rPr>
          <w:rFonts w:ascii="Baskerville" w:eastAsia="MS PMincho" w:hAnsi="Baskerville" w:cs="Arabic Typesetting"/>
        </w:rPr>
        <w:t xml:space="preserve">a concern over </w:t>
      </w:r>
      <w:r w:rsidR="005748DC" w:rsidRPr="007B25AE">
        <w:rPr>
          <w:rFonts w:ascii="Baskerville" w:eastAsia="MS PMincho" w:hAnsi="Baskerville" w:cs="Arabic Typesetting"/>
        </w:rPr>
        <w:t>salary disparities</w:t>
      </w:r>
      <w:r w:rsidR="001E2A22" w:rsidRPr="007B25AE">
        <w:rPr>
          <w:rFonts w:ascii="Baskerville" w:eastAsia="MS PMincho" w:hAnsi="Baskerville" w:cs="Arabic Typesetting"/>
        </w:rPr>
        <w:t xml:space="preserve">, </w:t>
      </w:r>
      <w:r w:rsidR="003C2F3B" w:rsidRPr="007B25AE">
        <w:rPr>
          <w:rFonts w:ascii="Baskerville" w:eastAsia="MS PMincho" w:hAnsi="Baskerville" w:cs="Arabic Typesetting"/>
        </w:rPr>
        <w:t xml:space="preserve">and hiring practices. </w:t>
      </w:r>
      <w:r w:rsidR="00D26C11" w:rsidRPr="007B25AE">
        <w:rPr>
          <w:rFonts w:ascii="Baskerville" w:eastAsia="MS PMincho" w:hAnsi="Baskerville" w:cs="Arabic Typesetting"/>
        </w:rPr>
        <w:t>In the</w:t>
      </w:r>
      <w:r w:rsidR="00D24008" w:rsidRPr="007B25AE">
        <w:rPr>
          <w:rFonts w:ascii="Baskerville" w:eastAsia="MS PMincho" w:hAnsi="Baskerville" w:cs="Arabic Typesetting"/>
        </w:rPr>
        <w:t xml:space="preserve"> research</w:t>
      </w:r>
      <w:r w:rsidR="00894A79" w:rsidRPr="007B25AE">
        <w:rPr>
          <w:rFonts w:ascii="Baskerville" w:eastAsia="MS PMincho" w:hAnsi="Baskerville" w:cs="Arabic Typesetting"/>
        </w:rPr>
        <w:t>,</w:t>
      </w:r>
      <w:r w:rsidR="00D24008" w:rsidRPr="007B25AE">
        <w:rPr>
          <w:rFonts w:ascii="Baskerville" w:eastAsia="MS PMincho" w:hAnsi="Baskerville" w:cs="Arabic Typesetting"/>
        </w:rPr>
        <w:t xml:space="preserve"> </w:t>
      </w:r>
      <w:r w:rsidR="00C734CD" w:rsidRPr="007B25AE">
        <w:rPr>
          <w:rFonts w:ascii="Baskerville" w:eastAsia="MS PMincho" w:hAnsi="Baskerville" w:cs="Arabic Typesetting"/>
        </w:rPr>
        <w:t>664 public school</w:t>
      </w:r>
      <w:r w:rsidR="00894A79" w:rsidRPr="007B25AE">
        <w:rPr>
          <w:rFonts w:ascii="Baskerville" w:eastAsia="MS PMincho" w:hAnsi="Baskerville" w:cs="Arabic Typesetting"/>
        </w:rPr>
        <w:t xml:space="preserve"> teachers</w:t>
      </w:r>
      <w:r w:rsidR="00C734CD" w:rsidRPr="007B25AE">
        <w:rPr>
          <w:rFonts w:ascii="Baskerville" w:eastAsia="MS PMincho" w:hAnsi="Baskerville" w:cs="Arabic Typesetting"/>
        </w:rPr>
        <w:t xml:space="preserve"> </w:t>
      </w:r>
      <w:r w:rsidR="00894A79" w:rsidRPr="007B25AE">
        <w:rPr>
          <w:rFonts w:ascii="Baskerville" w:eastAsia="MS PMincho" w:hAnsi="Baskerville" w:cs="Arabic Typesetting"/>
        </w:rPr>
        <w:t>and 250 private school teachers were interviewed</w:t>
      </w:r>
      <w:r w:rsidR="00A9797B" w:rsidRPr="007B25AE">
        <w:rPr>
          <w:rFonts w:ascii="Baskerville" w:eastAsia="MS PMincho" w:hAnsi="Baskerville" w:cs="Arabic Typesetting"/>
        </w:rPr>
        <w:t xml:space="preserve">. </w:t>
      </w:r>
      <w:r w:rsidR="009A09C4" w:rsidRPr="007B25AE">
        <w:rPr>
          <w:rFonts w:ascii="Baskerville" w:eastAsia="MS PMincho" w:hAnsi="Baskerville" w:cs="Arabic Typesetting"/>
        </w:rPr>
        <w:t>Up to that point, t</w:t>
      </w:r>
      <w:r w:rsidR="00A9797B" w:rsidRPr="007B25AE">
        <w:rPr>
          <w:rFonts w:ascii="Baskerville" w:eastAsia="MS PMincho" w:hAnsi="Baskerville" w:cs="Arabic Typesetting"/>
        </w:rPr>
        <w:t>hese participants had taught</w:t>
      </w:r>
      <w:r w:rsidR="004D561E" w:rsidRPr="007B25AE">
        <w:rPr>
          <w:rFonts w:ascii="Baskerville" w:eastAsia="MS PMincho" w:hAnsi="Baskerville" w:cs="Arabic Typesetting"/>
        </w:rPr>
        <w:t xml:space="preserve"> five </w:t>
      </w:r>
      <w:r w:rsidR="00894A79" w:rsidRPr="007B25AE">
        <w:rPr>
          <w:rFonts w:ascii="Baskerville" w:eastAsia="MS PMincho" w:hAnsi="Baskerville" w:cs="Arabic Typesetting"/>
        </w:rPr>
        <w:t xml:space="preserve">years </w:t>
      </w:r>
      <w:r w:rsidR="004D561E" w:rsidRPr="007B25AE">
        <w:rPr>
          <w:rFonts w:ascii="Baskerville" w:eastAsia="MS PMincho" w:hAnsi="Baskerville" w:cs="Arabic Typesetting"/>
        </w:rPr>
        <w:t>or less</w:t>
      </w:r>
      <w:r w:rsidR="00A9797B" w:rsidRPr="007B25AE">
        <w:rPr>
          <w:rFonts w:ascii="Baskerville" w:eastAsia="MS PMincho" w:hAnsi="Baskerville" w:cs="Arabic Typesetting"/>
        </w:rPr>
        <w:t>. A</w:t>
      </w:r>
      <w:r w:rsidR="009A09C4" w:rsidRPr="007B25AE">
        <w:rPr>
          <w:rFonts w:ascii="Baskerville" w:eastAsia="MS PMincho" w:hAnsi="Baskerville" w:cs="Arabic Typesetting"/>
        </w:rPr>
        <w:t>nd a</w:t>
      </w:r>
      <w:r w:rsidR="004D561E" w:rsidRPr="007B25AE">
        <w:rPr>
          <w:rFonts w:ascii="Baskerville" w:eastAsia="MS PMincho" w:hAnsi="Baskerville" w:cs="Arabic Typesetting"/>
        </w:rPr>
        <w:t xml:space="preserve"> high percentage of the</w:t>
      </w:r>
      <w:r w:rsidR="009A09C4" w:rsidRPr="007B25AE">
        <w:rPr>
          <w:rFonts w:ascii="Baskerville" w:eastAsia="MS PMincho" w:hAnsi="Baskerville" w:cs="Arabic Typesetting"/>
        </w:rPr>
        <w:t>m</w:t>
      </w:r>
      <w:r w:rsidR="004D561E" w:rsidRPr="007B25AE">
        <w:rPr>
          <w:rFonts w:ascii="Baskerville" w:eastAsia="MS PMincho" w:hAnsi="Baskerville" w:cs="Arabic Typesetting"/>
        </w:rPr>
        <w:t xml:space="preserve"> felt that teaching was more demanding than most profession</w:t>
      </w:r>
      <w:r w:rsidR="000E4AEF" w:rsidRPr="007B25AE">
        <w:rPr>
          <w:rFonts w:ascii="Baskerville" w:eastAsia="MS PMincho" w:hAnsi="Baskerville" w:cs="Arabic Typesetting"/>
        </w:rPr>
        <w:t xml:space="preserve">s, and that </w:t>
      </w:r>
      <w:r w:rsidR="00A9797B" w:rsidRPr="007B25AE">
        <w:rPr>
          <w:rFonts w:ascii="Baskerville" w:eastAsia="MS PMincho" w:hAnsi="Baskerville" w:cs="Arabic Typesetting"/>
        </w:rPr>
        <w:t xml:space="preserve">to be a </w:t>
      </w:r>
      <w:r w:rsidR="000E4AEF" w:rsidRPr="007B25AE">
        <w:rPr>
          <w:rFonts w:ascii="Baskerville" w:eastAsia="MS PMincho" w:hAnsi="Baskerville" w:cs="Arabic Typesetting"/>
        </w:rPr>
        <w:t>teacher</w:t>
      </w:r>
      <w:r w:rsidR="00A9797B" w:rsidRPr="007B25AE">
        <w:rPr>
          <w:rFonts w:ascii="Baskerville" w:eastAsia="MS PMincho" w:hAnsi="Baskerville" w:cs="Arabic Typesetting"/>
        </w:rPr>
        <w:t>, one</w:t>
      </w:r>
      <w:r w:rsidR="000E4AEF" w:rsidRPr="007B25AE">
        <w:rPr>
          <w:rFonts w:ascii="Baskerville" w:eastAsia="MS PMincho" w:hAnsi="Baskerville" w:cs="Arabic Typesetting"/>
        </w:rPr>
        <w:t xml:space="preserve"> </w:t>
      </w:r>
      <w:r w:rsidR="00A9797B" w:rsidRPr="007B25AE">
        <w:rPr>
          <w:rFonts w:ascii="Baskerville" w:eastAsia="MS PMincho" w:hAnsi="Baskerville" w:cs="Arabic Typesetting"/>
        </w:rPr>
        <w:t>need</w:t>
      </w:r>
      <w:r w:rsidR="009A09C4" w:rsidRPr="007B25AE">
        <w:rPr>
          <w:rFonts w:ascii="Baskerville" w:eastAsia="MS PMincho" w:hAnsi="Baskerville" w:cs="Arabic Typesetting"/>
        </w:rPr>
        <w:t>ed</w:t>
      </w:r>
      <w:r w:rsidR="00A9797B" w:rsidRPr="007B25AE">
        <w:rPr>
          <w:rFonts w:ascii="Baskerville" w:eastAsia="MS PMincho" w:hAnsi="Baskerville" w:cs="Arabic Typesetting"/>
        </w:rPr>
        <w:t xml:space="preserve"> </w:t>
      </w:r>
      <w:r w:rsidR="000E4AEF" w:rsidRPr="007B25AE">
        <w:rPr>
          <w:rFonts w:ascii="Baskerville" w:eastAsia="MS PMincho" w:hAnsi="Baskerville" w:cs="Arabic Typesetting"/>
        </w:rPr>
        <w:t>to have a “sense of calling.”</w:t>
      </w:r>
    </w:p>
    <w:p w14:paraId="08F2D27C" w14:textId="0F9FB2D1" w:rsidR="00E66286" w:rsidRPr="007B25AE" w:rsidRDefault="009A09C4" w:rsidP="00587246">
      <w:pPr>
        <w:spacing w:line="360" w:lineRule="auto"/>
        <w:ind w:firstLine="720"/>
        <w:rPr>
          <w:rFonts w:ascii="Baskerville" w:eastAsia="MS PMincho" w:hAnsi="Baskerville" w:cs="Arabic Typesetting"/>
        </w:rPr>
      </w:pPr>
      <w:r w:rsidRPr="007B25AE">
        <w:rPr>
          <w:rFonts w:ascii="Baskerville" w:eastAsia="MS PMincho" w:hAnsi="Baskerville" w:cs="Arabic Typesetting"/>
        </w:rPr>
        <w:t>R</w:t>
      </w:r>
      <w:r w:rsidR="003E54C5" w:rsidRPr="007B25AE">
        <w:rPr>
          <w:rFonts w:ascii="Baskerville" w:eastAsia="MS PMincho" w:hAnsi="Baskerville" w:cs="Arabic Typesetting"/>
        </w:rPr>
        <w:t>esearch</w:t>
      </w:r>
      <w:r w:rsidR="00C17560" w:rsidRPr="007B25AE">
        <w:rPr>
          <w:rFonts w:ascii="Baskerville" w:eastAsia="MS PMincho" w:hAnsi="Baskerville" w:cs="Arabic Typesetting"/>
        </w:rPr>
        <w:t xml:space="preserve"> done with</w:t>
      </w:r>
      <w:r w:rsidR="003E54C5" w:rsidRPr="007B25AE">
        <w:rPr>
          <w:rFonts w:ascii="Baskerville" w:eastAsia="MS PMincho" w:hAnsi="Baskerville" w:cs="Arabic Typesetting"/>
        </w:rPr>
        <w:t xml:space="preserve"> a focus group</w:t>
      </w:r>
      <w:r w:rsidR="00E66286" w:rsidRPr="007B25AE">
        <w:rPr>
          <w:rFonts w:ascii="Baskerville" w:eastAsia="MS PMincho" w:hAnsi="Baskerville" w:cs="Arabic Typesetting"/>
        </w:rPr>
        <w:t xml:space="preserve"> of private school teachers</w:t>
      </w:r>
      <w:r w:rsidR="00420FAA" w:rsidRPr="007B25AE">
        <w:rPr>
          <w:rFonts w:ascii="Baskerville" w:eastAsia="MS PMincho" w:hAnsi="Baskerville" w:cs="Arabic Typesetting"/>
        </w:rPr>
        <w:t>,</w:t>
      </w:r>
      <w:r w:rsidR="003E54C5" w:rsidRPr="007B25AE">
        <w:rPr>
          <w:rFonts w:ascii="Baskerville" w:eastAsia="MS PMincho" w:hAnsi="Baskerville" w:cs="Arabic Typesetting"/>
        </w:rPr>
        <w:t xml:space="preserve"> in Westchester</w:t>
      </w:r>
      <w:r w:rsidR="008E5CB1" w:rsidRPr="007B25AE">
        <w:rPr>
          <w:rFonts w:ascii="Baskerville" w:eastAsia="MS PMincho" w:hAnsi="Baskerville" w:cs="Arabic Typesetting"/>
        </w:rPr>
        <w:t xml:space="preserve"> County</w:t>
      </w:r>
      <w:r w:rsidR="003E54C5" w:rsidRPr="007B25AE">
        <w:rPr>
          <w:rFonts w:ascii="Baskerville" w:eastAsia="MS PMincho" w:hAnsi="Baskerville" w:cs="Arabic Typesetting"/>
        </w:rPr>
        <w:t>, New York</w:t>
      </w:r>
      <w:r w:rsidR="00420FAA" w:rsidRPr="007B25AE">
        <w:rPr>
          <w:rFonts w:ascii="Baskerville" w:eastAsia="MS PMincho" w:hAnsi="Baskerville" w:cs="Arabic Typesetting"/>
        </w:rPr>
        <w:t xml:space="preserve">, </w:t>
      </w:r>
      <w:r w:rsidR="0013137A" w:rsidRPr="007B25AE">
        <w:rPr>
          <w:rFonts w:ascii="Baskerville" w:eastAsia="MS PMincho" w:hAnsi="Baskerville" w:cs="Arabic Typesetting"/>
        </w:rPr>
        <w:t xml:space="preserve">expressed </w:t>
      </w:r>
      <w:r w:rsidR="00382D42" w:rsidRPr="007B25AE">
        <w:rPr>
          <w:rFonts w:ascii="Baskerville" w:eastAsia="MS PMincho" w:hAnsi="Baskerville" w:cs="Arabic Typesetting"/>
        </w:rPr>
        <w:t>the</w:t>
      </w:r>
      <w:r w:rsidR="00420FAA" w:rsidRPr="007B25AE">
        <w:rPr>
          <w:rFonts w:ascii="Baskerville" w:eastAsia="MS PMincho" w:hAnsi="Baskerville" w:cs="Arabic Typesetting"/>
        </w:rPr>
        <w:t>ir</w:t>
      </w:r>
      <w:r w:rsidR="00382D42" w:rsidRPr="007B25AE">
        <w:rPr>
          <w:rFonts w:ascii="Baskerville" w:eastAsia="MS PMincho" w:hAnsi="Baskerville" w:cs="Arabic Typesetting"/>
        </w:rPr>
        <w:t xml:space="preserve"> desire to switch from private school instruction to </w:t>
      </w:r>
      <w:r w:rsidR="00587246" w:rsidRPr="007B25AE">
        <w:rPr>
          <w:rFonts w:ascii="Baskerville" w:eastAsia="MS PMincho" w:hAnsi="Baskerville" w:cs="Arabic Typesetting"/>
        </w:rPr>
        <w:t xml:space="preserve">that of </w:t>
      </w:r>
      <w:r w:rsidR="00382D42" w:rsidRPr="007B25AE">
        <w:rPr>
          <w:rFonts w:ascii="Baskerville" w:eastAsia="MS PMincho" w:hAnsi="Baskerville" w:cs="Arabic Typesetting"/>
        </w:rPr>
        <w:t xml:space="preserve">public school for a salary boost. </w:t>
      </w:r>
      <w:r w:rsidR="001D6E05" w:rsidRPr="007B25AE">
        <w:rPr>
          <w:rFonts w:ascii="Baskerville" w:eastAsia="MS PMincho" w:hAnsi="Baskerville" w:cs="Arabic Typesetting"/>
        </w:rPr>
        <w:t>W</w:t>
      </w:r>
      <w:r w:rsidR="00382D42" w:rsidRPr="007B25AE">
        <w:rPr>
          <w:rFonts w:ascii="Baskerville" w:eastAsia="MS PMincho" w:hAnsi="Baskerville" w:cs="Arabic Typesetting"/>
        </w:rPr>
        <w:t>hen asked whe</w:t>
      </w:r>
      <w:r w:rsidR="001D6E05" w:rsidRPr="007B25AE">
        <w:rPr>
          <w:rFonts w:ascii="Baskerville" w:eastAsia="MS PMincho" w:hAnsi="Baskerville" w:cs="Arabic Typesetting"/>
        </w:rPr>
        <w:t xml:space="preserve">ther they would </w:t>
      </w:r>
      <w:r w:rsidR="00420FAA" w:rsidRPr="007B25AE">
        <w:rPr>
          <w:rFonts w:ascii="Baskerville" w:eastAsia="MS PMincho" w:hAnsi="Baskerville" w:cs="Arabic Typesetting"/>
        </w:rPr>
        <w:t xml:space="preserve">do </w:t>
      </w:r>
      <w:r w:rsidR="00E66286" w:rsidRPr="007B25AE">
        <w:rPr>
          <w:rFonts w:ascii="Baskerville" w:eastAsia="MS PMincho" w:hAnsi="Baskerville" w:cs="Arabic Typesetting"/>
        </w:rPr>
        <w:t xml:space="preserve">so </w:t>
      </w:r>
      <w:r w:rsidR="001D6E05" w:rsidRPr="007B25AE">
        <w:rPr>
          <w:rFonts w:ascii="Baskerville" w:eastAsia="MS PMincho" w:hAnsi="Baskerville" w:cs="Arabic Typesetting"/>
        </w:rPr>
        <w:t>b</w:t>
      </w:r>
      <w:r w:rsidR="00420FAA" w:rsidRPr="007B25AE">
        <w:rPr>
          <w:rFonts w:ascii="Baskerville" w:eastAsia="MS PMincho" w:hAnsi="Baskerville" w:cs="Arabic Typesetting"/>
        </w:rPr>
        <w:t>y</w:t>
      </w:r>
      <w:r w:rsidR="001D6E05" w:rsidRPr="007B25AE">
        <w:rPr>
          <w:rFonts w:ascii="Baskerville" w:eastAsia="MS PMincho" w:hAnsi="Baskerville" w:cs="Arabic Typesetting"/>
        </w:rPr>
        <w:t xml:space="preserve"> transfer</w:t>
      </w:r>
      <w:r w:rsidR="00420FAA" w:rsidRPr="007B25AE">
        <w:rPr>
          <w:rFonts w:ascii="Baskerville" w:eastAsia="MS PMincho" w:hAnsi="Baskerville" w:cs="Arabic Typesetting"/>
        </w:rPr>
        <w:t>ring</w:t>
      </w:r>
      <w:r w:rsidR="001D6E05" w:rsidRPr="007B25AE">
        <w:rPr>
          <w:rFonts w:ascii="Baskerville" w:eastAsia="MS PMincho" w:hAnsi="Baskerville" w:cs="Arabic Typesetting"/>
        </w:rPr>
        <w:t xml:space="preserve"> to </w:t>
      </w:r>
      <w:r w:rsidR="00420FAA" w:rsidRPr="007B25AE">
        <w:rPr>
          <w:rFonts w:ascii="Baskerville" w:eastAsia="MS PMincho" w:hAnsi="Baskerville" w:cs="Arabic Typesetting"/>
        </w:rPr>
        <w:t xml:space="preserve">the </w:t>
      </w:r>
      <w:r w:rsidR="001D6E05" w:rsidRPr="007B25AE">
        <w:rPr>
          <w:rFonts w:ascii="Baskerville" w:eastAsia="MS PMincho" w:hAnsi="Baskerville" w:cs="Arabic Typesetting"/>
        </w:rPr>
        <w:t xml:space="preserve">New York City public school </w:t>
      </w:r>
      <w:r w:rsidR="004C086B" w:rsidRPr="007B25AE">
        <w:rPr>
          <w:rFonts w:ascii="Baskerville" w:eastAsia="MS PMincho" w:hAnsi="Baskerville" w:cs="Arabic Typesetting"/>
        </w:rPr>
        <w:t xml:space="preserve">system </w:t>
      </w:r>
      <w:r w:rsidR="001D6E05" w:rsidRPr="007B25AE">
        <w:rPr>
          <w:rFonts w:ascii="Baskerville" w:eastAsia="MS PMincho" w:hAnsi="Baskerville" w:cs="Arabic Typesetting"/>
        </w:rPr>
        <w:t xml:space="preserve">for higher pay, they said they </w:t>
      </w:r>
      <w:r w:rsidR="003E54C5" w:rsidRPr="007B25AE">
        <w:rPr>
          <w:rFonts w:ascii="Baskerville" w:eastAsia="MS PMincho" w:hAnsi="Baskerville" w:cs="Arabic Typesetting"/>
        </w:rPr>
        <w:t>would</w:t>
      </w:r>
      <w:r w:rsidR="008E5CB1" w:rsidRPr="007B25AE">
        <w:rPr>
          <w:rFonts w:ascii="Baskerville" w:eastAsia="MS PMincho" w:hAnsi="Baskerville" w:cs="Arabic Typesetting"/>
        </w:rPr>
        <w:t xml:space="preserve"> </w:t>
      </w:r>
      <w:r w:rsidR="001D6E05" w:rsidRPr="007B25AE">
        <w:rPr>
          <w:rFonts w:ascii="Baskerville" w:eastAsia="MS PMincho" w:hAnsi="Baskerville" w:cs="Arabic Typesetting"/>
        </w:rPr>
        <w:t xml:space="preserve">not. </w:t>
      </w:r>
      <w:r w:rsidR="003A48A7" w:rsidRPr="007B25AE">
        <w:rPr>
          <w:rFonts w:ascii="Baskerville" w:eastAsia="MS PMincho" w:hAnsi="Baskerville" w:cs="Arabic Typesetting"/>
        </w:rPr>
        <w:t>In reacti</w:t>
      </w:r>
      <w:r w:rsidR="00587246" w:rsidRPr="007B25AE">
        <w:rPr>
          <w:rFonts w:ascii="Baskerville" w:eastAsia="MS PMincho" w:hAnsi="Baskerville" w:cs="Arabic Typesetting"/>
        </w:rPr>
        <w:t>ng</w:t>
      </w:r>
      <w:r w:rsidR="003A48A7" w:rsidRPr="007B25AE">
        <w:rPr>
          <w:rFonts w:ascii="Baskerville" w:eastAsia="MS PMincho" w:hAnsi="Baskerville" w:cs="Arabic Typesetting"/>
        </w:rPr>
        <w:t xml:space="preserve"> to th</w:t>
      </w:r>
      <w:r w:rsidR="00302426" w:rsidRPr="007B25AE">
        <w:rPr>
          <w:rFonts w:ascii="Baskerville" w:eastAsia="MS PMincho" w:hAnsi="Baskerville" w:cs="Arabic Typesetting"/>
        </w:rPr>
        <w:t>at</w:t>
      </w:r>
      <w:r w:rsidR="003A48A7" w:rsidRPr="007B25AE">
        <w:rPr>
          <w:rFonts w:ascii="Baskerville" w:eastAsia="MS PMincho" w:hAnsi="Baskerville" w:cs="Arabic Typesetting"/>
        </w:rPr>
        <w:t xml:space="preserve">, </w:t>
      </w:r>
      <w:proofErr w:type="spellStart"/>
      <w:r w:rsidR="003A48A7" w:rsidRPr="007B25AE">
        <w:rPr>
          <w:rFonts w:ascii="Baskerville" w:eastAsia="MS PMincho" w:hAnsi="Baskerville" w:cs="Arabic Typesetting"/>
        </w:rPr>
        <w:t>Ogundimu</w:t>
      </w:r>
      <w:proofErr w:type="spellEnd"/>
      <w:r w:rsidR="003A48A7" w:rsidRPr="007B25AE">
        <w:rPr>
          <w:rFonts w:ascii="Baskerville" w:eastAsia="MS PMincho" w:hAnsi="Baskerville" w:cs="Arabic Typesetting"/>
        </w:rPr>
        <w:t xml:space="preserve"> points to other research across the nation that are </w:t>
      </w:r>
      <w:r w:rsidR="001D6E05" w:rsidRPr="007B25AE">
        <w:rPr>
          <w:rFonts w:ascii="Baskerville" w:eastAsia="MS PMincho" w:hAnsi="Baskerville" w:cs="Arabic Typesetting"/>
        </w:rPr>
        <w:t>consistent with th</w:t>
      </w:r>
      <w:r w:rsidR="003A48A7" w:rsidRPr="007B25AE">
        <w:rPr>
          <w:rFonts w:ascii="Baskerville" w:eastAsia="MS PMincho" w:hAnsi="Baskerville" w:cs="Arabic Typesetting"/>
        </w:rPr>
        <w:t>is</w:t>
      </w:r>
      <w:r w:rsidR="001D6E05" w:rsidRPr="007B25AE">
        <w:rPr>
          <w:rFonts w:ascii="Baskerville" w:eastAsia="MS PMincho" w:hAnsi="Baskerville" w:cs="Arabic Typesetting"/>
        </w:rPr>
        <w:t xml:space="preserve"> </w:t>
      </w:r>
      <w:r w:rsidR="003A48A7" w:rsidRPr="007B25AE">
        <w:rPr>
          <w:rFonts w:ascii="Baskerville" w:eastAsia="MS PMincho" w:hAnsi="Baskerville" w:cs="Arabic Typesetting"/>
        </w:rPr>
        <w:t xml:space="preserve">study. </w:t>
      </w:r>
      <w:r w:rsidR="004C086B" w:rsidRPr="007B25AE">
        <w:rPr>
          <w:rFonts w:ascii="Baskerville" w:eastAsia="MS PMincho" w:hAnsi="Baskerville" w:cs="Arabic Typesetting"/>
        </w:rPr>
        <w:t xml:space="preserve"> He</w:t>
      </w:r>
      <w:r w:rsidR="003A48A7" w:rsidRPr="007B25AE">
        <w:rPr>
          <w:rFonts w:ascii="Baskerville" w:eastAsia="MS PMincho" w:hAnsi="Baskerville" w:cs="Arabic Typesetting"/>
        </w:rPr>
        <w:t xml:space="preserve"> </w:t>
      </w:r>
      <w:r w:rsidR="00302426" w:rsidRPr="007B25AE">
        <w:rPr>
          <w:rFonts w:ascii="Baskerville" w:eastAsia="MS PMincho" w:hAnsi="Baskerville" w:cs="Arabic Typesetting"/>
        </w:rPr>
        <w:t>sums it up by saying that there is “</w:t>
      </w:r>
      <w:r w:rsidR="00420FAA" w:rsidRPr="007B25AE">
        <w:rPr>
          <w:rFonts w:ascii="Baskerville" w:eastAsia="MS PMincho" w:hAnsi="Baskerville" w:cs="Arabic Typesetting"/>
        </w:rPr>
        <w:t>. . .</w:t>
      </w:r>
      <w:r w:rsidR="00302426" w:rsidRPr="007B25AE">
        <w:rPr>
          <w:rFonts w:ascii="Baskerville" w:eastAsia="MS PMincho" w:hAnsi="Baskerville" w:cs="Arabic Typesetting"/>
        </w:rPr>
        <w:t>strong evidence that white teachers are more likely to leave a schoo</w:t>
      </w:r>
      <w:r w:rsidR="00582CA4" w:rsidRPr="007B25AE">
        <w:rPr>
          <w:rFonts w:ascii="Baskerville" w:eastAsia="MS PMincho" w:hAnsi="Baskerville" w:cs="Arabic Typesetting"/>
        </w:rPr>
        <w:t>l</w:t>
      </w:r>
      <w:r w:rsidR="00302426" w:rsidRPr="007B25AE">
        <w:rPr>
          <w:rFonts w:ascii="Baskerville" w:eastAsia="MS PMincho" w:hAnsi="Baskerville" w:cs="Arabic Typesetting"/>
        </w:rPr>
        <w:t xml:space="preserve"> as the enrolment of black and Hispanic students increase” (</w:t>
      </w:r>
      <w:proofErr w:type="spellStart"/>
      <w:r w:rsidR="00302426" w:rsidRPr="007B25AE">
        <w:rPr>
          <w:rFonts w:ascii="Baskerville" w:eastAsia="MS PMincho" w:hAnsi="Baskerville" w:cs="Arabic Typesetting"/>
        </w:rPr>
        <w:t>Ogunjdimu</w:t>
      </w:r>
      <w:proofErr w:type="spellEnd"/>
      <w:r w:rsidR="001609A8" w:rsidRPr="007B25AE">
        <w:rPr>
          <w:rFonts w:ascii="Baskerville" w:eastAsia="MS PMincho" w:hAnsi="Baskerville" w:cs="Arabic Typesetting"/>
        </w:rPr>
        <w:t>, 2014, p.23</w:t>
      </w:r>
      <w:r w:rsidR="00302426" w:rsidRPr="007B25AE">
        <w:rPr>
          <w:rFonts w:ascii="Baskerville" w:eastAsia="MS PMincho" w:hAnsi="Baskerville" w:cs="Arabic Typesetting"/>
        </w:rPr>
        <w:t xml:space="preserve">). </w:t>
      </w:r>
    </w:p>
    <w:p w14:paraId="2FB82E74" w14:textId="61034C11" w:rsidR="00934CAA" w:rsidRPr="007B25AE" w:rsidRDefault="00E66286"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F</w:t>
      </w:r>
      <w:r w:rsidR="00611751" w:rsidRPr="007B25AE">
        <w:rPr>
          <w:rFonts w:ascii="Baskerville" w:eastAsia="MS PMincho" w:hAnsi="Baskerville" w:cs="Arabic Typesetting"/>
        </w:rPr>
        <w:t>urther, the</w:t>
      </w:r>
      <w:r w:rsidR="003E6A27" w:rsidRPr="007B25AE">
        <w:rPr>
          <w:rFonts w:ascii="Baskerville" w:eastAsia="MS PMincho" w:hAnsi="Baskerville" w:cs="Arabic Typesetting"/>
        </w:rPr>
        <w:t>se</w:t>
      </w:r>
      <w:r w:rsidR="00F91F8A" w:rsidRPr="007B25AE">
        <w:rPr>
          <w:rFonts w:ascii="Baskerville" w:eastAsia="MS PMincho" w:hAnsi="Baskerville" w:cs="Arabic Typesetting"/>
        </w:rPr>
        <w:t xml:space="preserve"> working</w:t>
      </w:r>
      <w:r w:rsidR="00611751" w:rsidRPr="007B25AE">
        <w:rPr>
          <w:rFonts w:ascii="Baskerville" w:eastAsia="MS PMincho" w:hAnsi="Baskerville" w:cs="Arabic Typesetting"/>
        </w:rPr>
        <w:t xml:space="preserve"> conditions of the school environment that are perceived by teachers as inconducive to instruction</w:t>
      </w:r>
      <w:r w:rsidR="00420FAA" w:rsidRPr="007B25AE">
        <w:rPr>
          <w:rFonts w:ascii="Baskerville" w:eastAsia="MS PMincho" w:hAnsi="Baskerville" w:cs="Arabic Typesetting"/>
        </w:rPr>
        <w:t xml:space="preserve"> appear to</w:t>
      </w:r>
      <w:r w:rsidR="00611751" w:rsidRPr="007B25AE">
        <w:rPr>
          <w:rFonts w:ascii="Baskerville" w:eastAsia="MS PMincho" w:hAnsi="Baskerville" w:cs="Arabic Typesetting"/>
        </w:rPr>
        <w:t xml:space="preserve"> </w:t>
      </w:r>
      <w:r w:rsidR="00F91F8A" w:rsidRPr="007B25AE">
        <w:rPr>
          <w:rFonts w:ascii="Baskerville" w:eastAsia="MS PMincho" w:hAnsi="Baskerville" w:cs="Arabic Typesetting"/>
        </w:rPr>
        <w:t xml:space="preserve">factor heavily into teacher quit-transfer decisions.  When all the calculations </w:t>
      </w:r>
      <w:r w:rsidR="00F61A89" w:rsidRPr="007B25AE">
        <w:rPr>
          <w:rFonts w:ascii="Baskerville" w:eastAsia="MS PMincho" w:hAnsi="Baskerville" w:cs="Arabic Typesetting"/>
        </w:rPr>
        <w:t>on</w:t>
      </w:r>
      <w:r w:rsidR="00F91F8A" w:rsidRPr="007B25AE">
        <w:rPr>
          <w:rFonts w:ascii="Baskerville" w:eastAsia="MS PMincho" w:hAnsi="Baskerville" w:cs="Arabic Typesetting"/>
        </w:rPr>
        <w:t xml:space="preserve"> how </w:t>
      </w:r>
      <w:r w:rsidR="00F61A89" w:rsidRPr="007B25AE">
        <w:rPr>
          <w:rFonts w:ascii="Baskerville" w:eastAsia="MS PMincho" w:hAnsi="Baskerville" w:cs="Arabic Typesetting"/>
        </w:rPr>
        <w:t>teachers’ perception</w:t>
      </w:r>
      <w:r w:rsidR="003E6A27" w:rsidRPr="007B25AE">
        <w:rPr>
          <w:rFonts w:ascii="Baskerville" w:eastAsia="MS PMincho" w:hAnsi="Baskerville" w:cs="Arabic Typesetting"/>
        </w:rPr>
        <w:t xml:space="preserve"> of</w:t>
      </w:r>
      <w:r w:rsidR="00F61A89" w:rsidRPr="007B25AE">
        <w:rPr>
          <w:rFonts w:ascii="Baskerville" w:eastAsia="MS PMincho" w:hAnsi="Baskerville" w:cs="Arabic Typesetting"/>
        </w:rPr>
        <w:t xml:space="preserve"> the inaptness of the </w:t>
      </w:r>
      <w:r w:rsidR="00F91F8A" w:rsidRPr="007B25AE">
        <w:rPr>
          <w:rFonts w:ascii="Baskerville" w:eastAsia="MS PMincho" w:hAnsi="Baskerville" w:cs="Arabic Typesetting"/>
        </w:rPr>
        <w:t xml:space="preserve">conditions </w:t>
      </w:r>
      <w:r w:rsidR="00B82660" w:rsidRPr="007B25AE">
        <w:rPr>
          <w:rFonts w:ascii="Baskerville" w:eastAsia="MS PMincho" w:hAnsi="Baskerville" w:cs="Arabic Typesetting"/>
        </w:rPr>
        <w:t xml:space="preserve">that </w:t>
      </w:r>
      <w:r w:rsidR="003E6A27" w:rsidRPr="007B25AE">
        <w:rPr>
          <w:rFonts w:ascii="Baskerville" w:eastAsia="MS PMincho" w:hAnsi="Baskerville" w:cs="Arabic Typesetting"/>
        </w:rPr>
        <w:t>new</w:t>
      </w:r>
      <w:r w:rsidR="00F61A89" w:rsidRPr="007B25AE">
        <w:rPr>
          <w:rFonts w:ascii="Baskerville" w:eastAsia="MS PMincho" w:hAnsi="Baskerville" w:cs="Arabic Typesetting"/>
        </w:rPr>
        <w:t xml:space="preserve"> </w:t>
      </w:r>
      <w:r w:rsidR="003E6A27" w:rsidRPr="007B25AE">
        <w:rPr>
          <w:rFonts w:ascii="Baskerville" w:eastAsia="MS PMincho" w:hAnsi="Baskerville" w:cs="Arabic Typesetting"/>
        </w:rPr>
        <w:t xml:space="preserve">and inexperienced teachers </w:t>
      </w:r>
      <w:r w:rsidR="00F61A89" w:rsidRPr="007B25AE">
        <w:rPr>
          <w:rFonts w:ascii="Baskerville" w:eastAsia="MS PMincho" w:hAnsi="Baskerville" w:cs="Arabic Typesetting"/>
        </w:rPr>
        <w:t xml:space="preserve">encounter </w:t>
      </w:r>
      <w:r w:rsidR="00B82660" w:rsidRPr="007B25AE">
        <w:rPr>
          <w:rFonts w:ascii="Baskerville" w:eastAsia="MS PMincho" w:hAnsi="Baskerville" w:cs="Arabic Typesetting"/>
        </w:rPr>
        <w:t>we</w:t>
      </w:r>
      <w:r w:rsidR="00F91F8A" w:rsidRPr="007B25AE">
        <w:rPr>
          <w:rFonts w:ascii="Baskerville" w:eastAsia="MS PMincho" w:hAnsi="Baskerville" w:cs="Arabic Typesetting"/>
        </w:rPr>
        <w:t xml:space="preserve">re </w:t>
      </w:r>
      <w:r w:rsidR="00F61A89" w:rsidRPr="007B25AE">
        <w:rPr>
          <w:rFonts w:ascii="Baskerville" w:eastAsia="MS PMincho" w:hAnsi="Baskerville" w:cs="Arabic Typesetting"/>
        </w:rPr>
        <w:t xml:space="preserve">factored into the quit-transfer equation, </w:t>
      </w:r>
      <w:r w:rsidR="00DB2628" w:rsidRPr="007B25AE">
        <w:rPr>
          <w:rFonts w:ascii="Baskerville" w:eastAsia="MS PMincho" w:hAnsi="Baskerville" w:cs="Arabic Typesetting"/>
        </w:rPr>
        <w:t>NYC teacher-turnover rate of 35% far out</w:t>
      </w:r>
      <w:r w:rsidR="00B82660" w:rsidRPr="007B25AE">
        <w:rPr>
          <w:rFonts w:ascii="Baskerville" w:eastAsia="MS PMincho" w:hAnsi="Baskerville" w:cs="Arabic Typesetting"/>
        </w:rPr>
        <w:t>-did</w:t>
      </w:r>
      <w:r w:rsidR="00DB2628" w:rsidRPr="007B25AE">
        <w:rPr>
          <w:rFonts w:ascii="Baskerville" w:eastAsia="MS PMincho" w:hAnsi="Baskerville" w:cs="Arabic Typesetting"/>
        </w:rPr>
        <w:t xml:space="preserve"> that of schools in other areas at an average of 29</w:t>
      </w:r>
      <w:r w:rsidR="00934CAA" w:rsidRPr="007B25AE">
        <w:rPr>
          <w:rFonts w:ascii="Baskerville" w:eastAsia="MS PMincho" w:hAnsi="Baskerville" w:cs="Arabic Typesetting"/>
        </w:rPr>
        <w:t xml:space="preserve">%. </w:t>
      </w:r>
    </w:p>
    <w:p w14:paraId="44D4365B" w14:textId="623EC67C" w:rsidR="00182B0D" w:rsidRPr="007B25AE" w:rsidRDefault="003E6A27"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Th</w:t>
      </w:r>
      <w:r w:rsidR="009D6815" w:rsidRPr="007B25AE">
        <w:rPr>
          <w:rFonts w:ascii="Baskerville" w:eastAsia="MS PMincho" w:hAnsi="Baskerville" w:cs="Arabic Typesetting"/>
        </w:rPr>
        <w:t>is</w:t>
      </w:r>
      <w:r w:rsidRPr="007B25AE">
        <w:rPr>
          <w:rFonts w:ascii="Baskerville" w:eastAsia="MS PMincho" w:hAnsi="Baskerville" w:cs="Arabic Typesetting"/>
        </w:rPr>
        <w:t xml:space="preserve"> third Level 2 Heading continue</w:t>
      </w:r>
      <w:r w:rsidR="009D6815" w:rsidRPr="007B25AE">
        <w:rPr>
          <w:rFonts w:ascii="Baskerville" w:eastAsia="MS PMincho" w:hAnsi="Baskerville" w:cs="Arabic Typesetting"/>
        </w:rPr>
        <w:t>s</w:t>
      </w:r>
      <w:r w:rsidRPr="007B25AE">
        <w:rPr>
          <w:rFonts w:ascii="Baskerville" w:eastAsia="MS PMincho" w:hAnsi="Baskerville" w:cs="Arabic Typesetting"/>
        </w:rPr>
        <w:t xml:space="preserve"> to </w:t>
      </w:r>
      <w:r w:rsidR="007A0386" w:rsidRPr="007B25AE">
        <w:rPr>
          <w:rFonts w:ascii="Baskerville" w:eastAsia="MS PMincho" w:hAnsi="Baskerville" w:cs="Arabic Typesetting"/>
        </w:rPr>
        <w:t>expand</w:t>
      </w:r>
      <w:r w:rsidRPr="007B25AE">
        <w:rPr>
          <w:rFonts w:ascii="Baskerville" w:eastAsia="MS PMincho" w:hAnsi="Baskerville" w:cs="Arabic Typesetting"/>
        </w:rPr>
        <w:t xml:space="preserve"> </w:t>
      </w:r>
      <w:r w:rsidR="00645015" w:rsidRPr="007B25AE">
        <w:rPr>
          <w:rFonts w:ascii="Baskerville" w:eastAsia="MS PMincho" w:hAnsi="Baskerville" w:cs="Arabic Typesetting"/>
        </w:rPr>
        <w:t>the seamless</w:t>
      </w:r>
      <w:r w:rsidRPr="007B25AE">
        <w:rPr>
          <w:rFonts w:ascii="Baskerville" w:eastAsia="MS PMincho" w:hAnsi="Baskerville" w:cs="Arabic Typesetting"/>
        </w:rPr>
        <w:t xml:space="preserve"> connection between the</w:t>
      </w:r>
      <w:r w:rsidRPr="007B25AE">
        <w:rPr>
          <w:rFonts w:ascii="Baskerville" w:eastAsia="MS PMincho" w:hAnsi="Baskerville" w:cs="Arabic Typesetting"/>
          <w:color w:val="FF0000"/>
        </w:rPr>
        <w:t xml:space="preserve"> </w:t>
      </w:r>
      <w:r w:rsidR="00645015" w:rsidRPr="007B25AE">
        <w:rPr>
          <w:rFonts w:ascii="Baskerville" w:eastAsia="MS PMincho" w:hAnsi="Baskerville" w:cs="Arabic Typesetting"/>
          <w:color w:val="FF0000"/>
        </w:rPr>
        <w:t xml:space="preserve">purpose </w:t>
      </w:r>
      <w:r w:rsidR="007A0386" w:rsidRPr="007B25AE">
        <w:rPr>
          <w:rFonts w:ascii="Baskerville" w:eastAsia="MS PMincho" w:hAnsi="Baskerville" w:cs="Arabic Typesetting"/>
        </w:rPr>
        <w:t>of</w:t>
      </w:r>
      <w:r w:rsidR="00645015" w:rsidRPr="007B25AE">
        <w:rPr>
          <w:rFonts w:ascii="Baskerville" w:eastAsia="MS PMincho" w:hAnsi="Baskerville" w:cs="Arabic Typesetting"/>
        </w:rPr>
        <w:t xml:space="preserve"> the dissertation etched both </w:t>
      </w:r>
      <w:r w:rsidR="009D6815" w:rsidRPr="007B25AE">
        <w:rPr>
          <w:rFonts w:ascii="Baskerville" w:eastAsia="MS PMincho" w:hAnsi="Baskerville" w:cs="Arabic Typesetting"/>
        </w:rPr>
        <w:t xml:space="preserve">in </w:t>
      </w:r>
      <w:r w:rsidR="00645015" w:rsidRPr="007B25AE">
        <w:rPr>
          <w:rFonts w:ascii="Baskerville" w:eastAsia="MS PMincho" w:hAnsi="Baskerville" w:cs="Arabic Typesetting"/>
        </w:rPr>
        <w:t xml:space="preserve">the </w:t>
      </w:r>
      <w:r w:rsidRPr="007B25AE">
        <w:rPr>
          <w:rFonts w:ascii="Baskerville" w:eastAsia="MS PMincho" w:hAnsi="Baskerville" w:cs="Arabic Typesetting"/>
        </w:rPr>
        <w:t>th</w:t>
      </w:r>
      <w:r w:rsidR="00645015" w:rsidRPr="007B25AE">
        <w:rPr>
          <w:rFonts w:ascii="Baskerville" w:eastAsia="MS PMincho" w:hAnsi="Baskerville" w:cs="Arabic Typesetting"/>
        </w:rPr>
        <w:t>e</w:t>
      </w:r>
      <w:r w:rsidRPr="007B25AE">
        <w:rPr>
          <w:rFonts w:ascii="Baskerville" w:eastAsia="MS PMincho" w:hAnsi="Baskerville" w:cs="Arabic Typesetting"/>
        </w:rPr>
        <w:t>sis</w:t>
      </w:r>
      <w:r w:rsidR="00645015" w:rsidRPr="007B25AE">
        <w:rPr>
          <w:rFonts w:ascii="Baskerville" w:eastAsia="MS PMincho" w:hAnsi="Baskerville" w:cs="Arabic Typesetting"/>
        </w:rPr>
        <w:t xml:space="preserve"> a</w:t>
      </w:r>
      <w:r w:rsidR="00B82660" w:rsidRPr="007B25AE">
        <w:rPr>
          <w:rFonts w:ascii="Baskerville" w:eastAsia="MS PMincho" w:hAnsi="Baskerville" w:cs="Arabic Typesetting"/>
        </w:rPr>
        <w:t>nd</w:t>
      </w:r>
      <w:r w:rsidR="00645015" w:rsidRPr="007B25AE">
        <w:rPr>
          <w:rFonts w:ascii="Baskerville" w:eastAsia="MS PMincho" w:hAnsi="Baskerville" w:cs="Arabic Typesetting"/>
        </w:rPr>
        <w:t xml:space="preserve"> the title </w:t>
      </w:r>
      <w:r w:rsidR="007A0386" w:rsidRPr="007B25AE">
        <w:rPr>
          <w:rFonts w:ascii="Baskerville" w:eastAsia="MS PMincho" w:hAnsi="Baskerville" w:cs="Arabic Typesetting"/>
        </w:rPr>
        <w:t xml:space="preserve">by way of </w:t>
      </w:r>
      <w:r w:rsidR="00645015" w:rsidRPr="007B25AE">
        <w:rPr>
          <w:rFonts w:ascii="Baskerville" w:eastAsia="MS PMincho" w:hAnsi="Baskerville" w:cs="Arabic Typesetting"/>
        </w:rPr>
        <w:t>the phrase: “Teacher Quality, Student Learning, and Learning Outcomes.”</w:t>
      </w:r>
      <w:r w:rsidRPr="007B25AE">
        <w:rPr>
          <w:rFonts w:ascii="Baskerville" w:eastAsia="MS PMincho" w:hAnsi="Baskerville" w:cs="Arabic Typesetting"/>
        </w:rPr>
        <w:t xml:space="preserve"> </w:t>
      </w:r>
      <w:r w:rsidR="00274771" w:rsidRPr="007B25AE">
        <w:rPr>
          <w:rFonts w:ascii="Baskerville" w:eastAsia="MS PMincho" w:hAnsi="Baskerville" w:cs="Arabic Typesetting"/>
        </w:rPr>
        <w:t xml:space="preserve"> In it, </w:t>
      </w:r>
      <w:proofErr w:type="spellStart"/>
      <w:r w:rsidR="00274771" w:rsidRPr="007B25AE">
        <w:rPr>
          <w:rFonts w:ascii="Baskerville" w:eastAsia="MS PMincho" w:hAnsi="Baskerville" w:cs="Arabic Typesetting"/>
        </w:rPr>
        <w:t>Ogundimu</w:t>
      </w:r>
      <w:proofErr w:type="spellEnd"/>
      <w:r w:rsidR="00274771" w:rsidRPr="007B25AE">
        <w:rPr>
          <w:rFonts w:ascii="Baskerville" w:eastAsia="MS PMincho" w:hAnsi="Baskerville" w:cs="Arabic Typesetting"/>
        </w:rPr>
        <w:t xml:space="preserve"> references Ballou et </w:t>
      </w:r>
      <w:proofErr w:type="spellStart"/>
      <w:r w:rsidR="00274771" w:rsidRPr="007B25AE">
        <w:rPr>
          <w:rFonts w:ascii="Baskerville" w:eastAsia="MS PMincho" w:hAnsi="Baskerville" w:cs="Arabic Typesetting"/>
        </w:rPr>
        <w:t>al</w:t>
      </w:r>
      <w:r w:rsidR="007A0386" w:rsidRPr="007B25AE">
        <w:rPr>
          <w:rFonts w:ascii="Baskerville" w:eastAsia="MS PMincho" w:hAnsi="Baskerville" w:cs="Arabic Typesetting"/>
        </w:rPr>
        <w:t>’s</w:t>
      </w:r>
      <w:proofErr w:type="spellEnd"/>
      <w:r w:rsidR="00274771" w:rsidRPr="007B25AE">
        <w:rPr>
          <w:rFonts w:ascii="Baskerville" w:eastAsia="MS PMincho" w:hAnsi="Baskerville" w:cs="Arabic Typesetting"/>
        </w:rPr>
        <w:t>.</w:t>
      </w:r>
      <w:r w:rsidR="001C6755" w:rsidRPr="007B25AE">
        <w:rPr>
          <w:rFonts w:ascii="Baskerville" w:eastAsia="MS PMincho" w:hAnsi="Baskerville" w:cs="Arabic Typesetting"/>
        </w:rPr>
        <w:t xml:space="preserve"> (2004)</w:t>
      </w:r>
      <w:r w:rsidR="00274771" w:rsidRPr="007B25AE">
        <w:rPr>
          <w:rFonts w:ascii="Baskerville" w:eastAsia="MS PMincho" w:hAnsi="Baskerville" w:cs="Arabic Typesetting"/>
        </w:rPr>
        <w:t xml:space="preserve"> </w:t>
      </w:r>
      <w:r w:rsidR="007A0386" w:rsidRPr="007B25AE">
        <w:rPr>
          <w:rFonts w:ascii="Baskerville" w:eastAsia="MS PMincho" w:hAnsi="Baskerville" w:cs="Arabic Typesetting"/>
        </w:rPr>
        <w:t>point</w:t>
      </w:r>
      <w:r w:rsidR="00274771" w:rsidRPr="007B25AE">
        <w:rPr>
          <w:rFonts w:ascii="Baskerville" w:eastAsia="MS PMincho" w:hAnsi="Baskerville" w:cs="Arabic Typesetting"/>
        </w:rPr>
        <w:t xml:space="preserve"> that student-performance </w:t>
      </w:r>
      <w:r w:rsidR="007A0386" w:rsidRPr="007B25AE">
        <w:rPr>
          <w:rFonts w:ascii="Baskerville" w:eastAsia="MS PMincho" w:hAnsi="Baskerville" w:cs="Arabic Typesetting"/>
        </w:rPr>
        <w:t>rests</w:t>
      </w:r>
      <w:proofErr w:type="gramStart"/>
      <w:r w:rsidR="00274771" w:rsidRPr="007B25AE">
        <w:rPr>
          <w:rFonts w:ascii="Baskerville" w:eastAsia="MS PMincho" w:hAnsi="Baskerville" w:cs="Arabic Typesetting"/>
        </w:rPr>
        <w:t>, to a great extent,</w:t>
      </w:r>
      <w:proofErr w:type="gramEnd"/>
      <w:r w:rsidR="00274771" w:rsidRPr="007B25AE">
        <w:rPr>
          <w:rFonts w:ascii="Baskerville" w:eastAsia="MS PMincho" w:hAnsi="Baskerville" w:cs="Arabic Typesetting"/>
        </w:rPr>
        <w:t xml:space="preserve"> </w:t>
      </w:r>
      <w:r w:rsidR="007A0386" w:rsidRPr="007B25AE">
        <w:rPr>
          <w:rFonts w:ascii="Baskerville" w:eastAsia="MS PMincho" w:hAnsi="Baskerville" w:cs="Arabic Typesetting"/>
        </w:rPr>
        <w:t>up</w:t>
      </w:r>
      <w:r w:rsidR="00274771" w:rsidRPr="007B25AE">
        <w:rPr>
          <w:rFonts w:ascii="Baskerville" w:eastAsia="MS PMincho" w:hAnsi="Baskerville" w:cs="Arabic Typesetting"/>
        </w:rPr>
        <w:t xml:space="preserve">on excellent instruction. </w:t>
      </w:r>
      <w:r w:rsidR="001C6755" w:rsidRPr="007B25AE">
        <w:rPr>
          <w:rFonts w:ascii="Baskerville" w:eastAsia="MS PMincho" w:hAnsi="Baskerville" w:cs="Arabic Typesetting"/>
        </w:rPr>
        <w:t xml:space="preserve">Unfortunately, school districts across the nation </w:t>
      </w:r>
      <w:r w:rsidR="00B07825" w:rsidRPr="007B25AE">
        <w:rPr>
          <w:rFonts w:ascii="Baskerville" w:eastAsia="MS PMincho" w:hAnsi="Baskerville" w:cs="Arabic Typesetting"/>
        </w:rPr>
        <w:t xml:space="preserve">are </w:t>
      </w:r>
      <w:r w:rsidR="001C6755" w:rsidRPr="007B25AE">
        <w:rPr>
          <w:rFonts w:ascii="Baskerville" w:eastAsia="MS PMincho" w:hAnsi="Baskerville" w:cs="Arabic Typesetting"/>
        </w:rPr>
        <w:t>fail</w:t>
      </w:r>
      <w:r w:rsidR="00B07825" w:rsidRPr="007B25AE">
        <w:rPr>
          <w:rFonts w:ascii="Baskerville" w:eastAsia="MS PMincho" w:hAnsi="Baskerville" w:cs="Arabic Typesetting"/>
        </w:rPr>
        <w:t>ing</w:t>
      </w:r>
      <w:r w:rsidR="001C6755" w:rsidRPr="007B25AE">
        <w:rPr>
          <w:rFonts w:ascii="Baskerville" w:eastAsia="MS PMincho" w:hAnsi="Baskerville" w:cs="Arabic Typesetting"/>
        </w:rPr>
        <w:t xml:space="preserve"> the practicum </w:t>
      </w:r>
      <w:r w:rsidR="00B6439B" w:rsidRPr="007B25AE">
        <w:rPr>
          <w:rFonts w:ascii="Baskerville" w:eastAsia="MS PMincho" w:hAnsi="Baskerville" w:cs="Arabic Typesetting"/>
        </w:rPr>
        <w:t xml:space="preserve">which is </w:t>
      </w:r>
      <w:r w:rsidR="00B82660" w:rsidRPr="007B25AE">
        <w:rPr>
          <w:rFonts w:ascii="Baskerville" w:eastAsia="MS PMincho" w:hAnsi="Baskerville" w:cs="Arabic Typesetting"/>
        </w:rPr>
        <w:t>summed up in the adage</w:t>
      </w:r>
      <w:r w:rsidR="001C6755" w:rsidRPr="007B25AE">
        <w:rPr>
          <w:rFonts w:ascii="Baskerville" w:eastAsia="MS PMincho" w:hAnsi="Baskerville" w:cs="Arabic Typesetting"/>
        </w:rPr>
        <w:t>,</w:t>
      </w:r>
      <w:r w:rsidR="00274771" w:rsidRPr="007B25AE">
        <w:rPr>
          <w:rFonts w:ascii="Baskerville" w:eastAsia="MS PMincho" w:hAnsi="Baskerville" w:cs="Arabic Typesetting"/>
        </w:rPr>
        <w:t xml:space="preserve"> </w:t>
      </w:r>
      <w:r w:rsidR="001C6755" w:rsidRPr="007B25AE">
        <w:rPr>
          <w:rFonts w:ascii="Baskerville" w:eastAsia="MS PMincho" w:hAnsi="Baskerville" w:cs="Arabic Typesetting"/>
        </w:rPr>
        <w:t>“</w:t>
      </w:r>
      <w:r w:rsidR="00B6439B" w:rsidRPr="007B25AE">
        <w:rPr>
          <w:rFonts w:ascii="Baskerville" w:eastAsia="MS PMincho" w:hAnsi="Baskerville" w:cs="Arabic Typesetting"/>
        </w:rPr>
        <w:t>P</w:t>
      </w:r>
      <w:r w:rsidR="001C6755" w:rsidRPr="007B25AE">
        <w:rPr>
          <w:rFonts w:ascii="Baskerville" w:eastAsia="MS PMincho" w:hAnsi="Baskerville" w:cs="Arabic Typesetting"/>
        </w:rPr>
        <w:t>ut your money where your mouth is!”</w:t>
      </w:r>
    </w:p>
    <w:p w14:paraId="1E4D2081" w14:textId="74619ACD" w:rsidR="00863CE2" w:rsidRPr="007B25AE" w:rsidRDefault="00274771"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 </w:t>
      </w:r>
      <w:r w:rsidR="001C6755" w:rsidRPr="007B25AE">
        <w:rPr>
          <w:rFonts w:ascii="Baskerville" w:eastAsia="MS PMincho" w:hAnsi="Baskerville" w:cs="Arabic Typesetting"/>
        </w:rPr>
        <w:t xml:space="preserve">Inner cities </w:t>
      </w:r>
      <w:r w:rsidR="007A0386" w:rsidRPr="007B25AE">
        <w:rPr>
          <w:rFonts w:ascii="Baskerville" w:eastAsia="MS PMincho" w:hAnsi="Baskerville" w:cs="Arabic Typesetting"/>
        </w:rPr>
        <w:t xml:space="preserve">appear most likely to be </w:t>
      </w:r>
      <w:r w:rsidR="009D6815" w:rsidRPr="007B25AE">
        <w:rPr>
          <w:rFonts w:ascii="Baskerville" w:eastAsia="MS PMincho" w:hAnsi="Baskerville" w:cs="Arabic Typesetting"/>
        </w:rPr>
        <w:t>breed</w:t>
      </w:r>
      <w:r w:rsidR="00DD6CDA" w:rsidRPr="007B25AE">
        <w:rPr>
          <w:rFonts w:ascii="Baskerville" w:eastAsia="MS PMincho" w:hAnsi="Baskerville" w:cs="Arabic Typesetting"/>
        </w:rPr>
        <w:t>ing ground</w:t>
      </w:r>
      <w:r w:rsidR="00666338" w:rsidRPr="007B25AE">
        <w:rPr>
          <w:rFonts w:ascii="Baskerville" w:eastAsia="MS PMincho" w:hAnsi="Baskerville" w:cs="Arabic Typesetting"/>
        </w:rPr>
        <w:t>s</w:t>
      </w:r>
      <w:r w:rsidR="001C6755" w:rsidRPr="007B25AE">
        <w:rPr>
          <w:rFonts w:ascii="Baskerville" w:eastAsia="MS PMincho" w:hAnsi="Baskerville" w:cs="Arabic Typesetting"/>
        </w:rPr>
        <w:t xml:space="preserve"> </w:t>
      </w:r>
      <w:r w:rsidR="00B6439B" w:rsidRPr="007B25AE">
        <w:rPr>
          <w:rFonts w:ascii="Baskerville" w:eastAsia="MS PMincho" w:hAnsi="Baskerville" w:cs="Arabic Typesetting"/>
        </w:rPr>
        <w:t>for student-failures and the inner city seems to swell</w:t>
      </w:r>
      <w:r w:rsidR="00666338" w:rsidRPr="007B25AE">
        <w:rPr>
          <w:rFonts w:ascii="Baskerville" w:eastAsia="MS PMincho" w:hAnsi="Baskerville" w:cs="Arabic Typesetting"/>
        </w:rPr>
        <w:t xml:space="preserve"> </w:t>
      </w:r>
      <w:r w:rsidR="001C6755" w:rsidRPr="007B25AE">
        <w:rPr>
          <w:rFonts w:ascii="Baskerville" w:eastAsia="MS PMincho" w:hAnsi="Baskerville" w:cs="Arabic Typesetting"/>
        </w:rPr>
        <w:t xml:space="preserve">with </w:t>
      </w:r>
      <w:r w:rsidR="00B07825" w:rsidRPr="007B25AE">
        <w:rPr>
          <w:rFonts w:ascii="Baskerville" w:eastAsia="MS PMincho" w:hAnsi="Baskerville" w:cs="Arabic Typesetting"/>
        </w:rPr>
        <w:t>learning</w:t>
      </w:r>
      <w:r w:rsidR="00666338" w:rsidRPr="007B25AE">
        <w:rPr>
          <w:rFonts w:ascii="Baskerville" w:eastAsia="MS PMincho" w:hAnsi="Baskerville" w:cs="Arabic Typesetting"/>
        </w:rPr>
        <w:t>-</w:t>
      </w:r>
      <w:r w:rsidR="001C6755" w:rsidRPr="007B25AE">
        <w:rPr>
          <w:rFonts w:ascii="Baskerville" w:eastAsia="MS PMincho" w:hAnsi="Baskerville" w:cs="Arabic Typesetting"/>
        </w:rPr>
        <w:t>handicap</w:t>
      </w:r>
      <w:r w:rsidR="00B07825" w:rsidRPr="007B25AE">
        <w:rPr>
          <w:rFonts w:ascii="Baskerville" w:eastAsia="MS PMincho" w:hAnsi="Baskerville" w:cs="Arabic Typesetting"/>
        </w:rPr>
        <w:t xml:space="preserve">ping ailments aplenty.  </w:t>
      </w:r>
      <w:proofErr w:type="spellStart"/>
      <w:r w:rsidR="00B07825" w:rsidRPr="007B25AE">
        <w:rPr>
          <w:rFonts w:ascii="Baskerville" w:eastAsia="MS PMincho" w:hAnsi="Baskerville" w:cs="Arabic Typesetting"/>
        </w:rPr>
        <w:t>Ogundimu</w:t>
      </w:r>
      <w:proofErr w:type="spellEnd"/>
      <w:r w:rsidR="00B07825" w:rsidRPr="007B25AE">
        <w:rPr>
          <w:rFonts w:ascii="Baskerville" w:eastAsia="MS PMincho" w:hAnsi="Baskerville" w:cs="Arabic Typesetting"/>
        </w:rPr>
        <w:t xml:space="preserve"> </w:t>
      </w:r>
      <w:r w:rsidR="00666338" w:rsidRPr="007B25AE">
        <w:rPr>
          <w:rFonts w:ascii="Baskerville" w:eastAsia="MS PMincho" w:hAnsi="Baskerville" w:cs="Arabic Typesetting"/>
        </w:rPr>
        <w:t xml:space="preserve">relies </w:t>
      </w:r>
      <w:r w:rsidR="00026F39" w:rsidRPr="007B25AE">
        <w:rPr>
          <w:rFonts w:ascii="Baskerville" w:eastAsia="MS PMincho" w:hAnsi="Baskerville" w:cs="Arabic Typesetting"/>
        </w:rPr>
        <w:t>up</w:t>
      </w:r>
      <w:r w:rsidR="00666338" w:rsidRPr="007B25AE">
        <w:rPr>
          <w:rFonts w:ascii="Baskerville" w:eastAsia="MS PMincho" w:hAnsi="Baskerville" w:cs="Arabic Typesetting"/>
        </w:rPr>
        <w:t>on</w:t>
      </w:r>
      <w:r w:rsidR="00B07825" w:rsidRPr="007B25AE">
        <w:rPr>
          <w:rFonts w:ascii="Baskerville" w:eastAsia="MS PMincho" w:hAnsi="Baskerville" w:cs="Arabic Typesetting"/>
        </w:rPr>
        <w:t xml:space="preserve"> numerous sources </w:t>
      </w:r>
      <w:r w:rsidR="009D6815" w:rsidRPr="007B25AE">
        <w:rPr>
          <w:rFonts w:ascii="Baskerville" w:eastAsia="MS PMincho" w:hAnsi="Baskerville" w:cs="Arabic Typesetting"/>
        </w:rPr>
        <w:t>that operate in</w:t>
      </w:r>
      <w:r w:rsidR="00B07825" w:rsidRPr="007B25AE">
        <w:rPr>
          <w:rFonts w:ascii="Baskerville" w:eastAsia="MS PMincho" w:hAnsi="Baskerville" w:cs="Arabic Typesetting"/>
        </w:rPr>
        <w:t xml:space="preserve"> support </w:t>
      </w:r>
      <w:r w:rsidR="00666338" w:rsidRPr="007B25AE">
        <w:rPr>
          <w:rFonts w:ascii="Baskerville" w:eastAsia="MS PMincho" w:hAnsi="Baskerville" w:cs="Arabic Typesetting"/>
        </w:rPr>
        <w:t xml:space="preserve">of </w:t>
      </w:r>
      <w:r w:rsidR="009D6815" w:rsidRPr="007B25AE">
        <w:rPr>
          <w:rFonts w:ascii="Baskerville" w:eastAsia="MS PMincho" w:hAnsi="Baskerville" w:cs="Arabic Typesetting"/>
        </w:rPr>
        <w:t xml:space="preserve">the teacher-quality side of </w:t>
      </w:r>
      <w:r w:rsidR="00B07825" w:rsidRPr="007B25AE">
        <w:rPr>
          <w:rFonts w:ascii="Baskerville" w:eastAsia="MS PMincho" w:hAnsi="Baskerville" w:cs="Arabic Typesetting"/>
        </w:rPr>
        <w:t xml:space="preserve">his </w:t>
      </w:r>
      <w:r w:rsidR="00666338" w:rsidRPr="007B25AE">
        <w:rPr>
          <w:rFonts w:ascii="Baskerville" w:eastAsia="MS PMincho" w:hAnsi="Baskerville" w:cs="Arabic Typesetting"/>
        </w:rPr>
        <w:t xml:space="preserve">explanation why such anti-learning elements are localized </w:t>
      </w:r>
      <w:r w:rsidR="00DD6CDA" w:rsidRPr="007B25AE">
        <w:rPr>
          <w:rFonts w:ascii="Baskerville" w:eastAsia="MS PMincho" w:hAnsi="Baskerville" w:cs="Arabic Typesetting"/>
        </w:rPr>
        <w:t>to</w:t>
      </w:r>
      <w:r w:rsidR="00666338" w:rsidRPr="007B25AE">
        <w:rPr>
          <w:rFonts w:ascii="Baskerville" w:eastAsia="MS PMincho" w:hAnsi="Baskerville" w:cs="Arabic Typesetting"/>
        </w:rPr>
        <w:t xml:space="preserve"> the urbanite </w:t>
      </w:r>
      <w:r w:rsidR="009D6815" w:rsidRPr="007B25AE">
        <w:rPr>
          <w:rFonts w:ascii="Baskerville" w:eastAsia="MS PMincho" w:hAnsi="Baskerville" w:cs="Arabic Typesetting"/>
        </w:rPr>
        <w:t>heart of America cities.  He says</w:t>
      </w:r>
      <w:r w:rsidR="00B07825" w:rsidRPr="007B25AE">
        <w:rPr>
          <w:rFonts w:ascii="Baskerville" w:eastAsia="MS PMincho" w:hAnsi="Baskerville" w:cs="Arabic Typesetting"/>
        </w:rPr>
        <w:t xml:space="preserve"> that “socially dis</w:t>
      </w:r>
      <w:r w:rsidR="00772D2C" w:rsidRPr="007B25AE">
        <w:rPr>
          <w:rFonts w:ascii="Baskerville" w:eastAsia="MS PMincho" w:hAnsi="Baskerville" w:cs="Arabic Typesetting"/>
        </w:rPr>
        <w:t>ad</w:t>
      </w:r>
      <w:r w:rsidR="00B07825" w:rsidRPr="007B25AE">
        <w:rPr>
          <w:rFonts w:ascii="Baskerville" w:eastAsia="MS PMincho" w:hAnsi="Baskerville" w:cs="Arabic Typesetting"/>
        </w:rPr>
        <w:t>vantaged</w:t>
      </w:r>
      <w:r w:rsidR="00772D2C" w:rsidRPr="007B25AE">
        <w:rPr>
          <w:rFonts w:ascii="Baskerville" w:eastAsia="MS PMincho" w:hAnsi="Baskerville" w:cs="Arabic Typesetting"/>
        </w:rPr>
        <w:t>,</w:t>
      </w:r>
      <w:r w:rsidR="00B07825" w:rsidRPr="007B25AE">
        <w:rPr>
          <w:rFonts w:ascii="Baskerville" w:eastAsia="MS PMincho" w:hAnsi="Baskerville" w:cs="Arabic Typesetting"/>
        </w:rPr>
        <w:t xml:space="preserve"> inner</w:t>
      </w:r>
      <w:r w:rsidR="00772D2C" w:rsidRPr="007B25AE">
        <w:rPr>
          <w:rFonts w:ascii="Baskerville" w:eastAsia="MS PMincho" w:hAnsi="Baskerville" w:cs="Arabic Typesetting"/>
        </w:rPr>
        <w:t>-</w:t>
      </w:r>
      <w:r w:rsidR="00B07825" w:rsidRPr="007B25AE">
        <w:rPr>
          <w:rFonts w:ascii="Baskerville" w:eastAsia="MS PMincho" w:hAnsi="Baskerville" w:cs="Arabic Typesetting"/>
        </w:rPr>
        <w:t>city</w:t>
      </w:r>
      <w:r w:rsidR="00772D2C" w:rsidRPr="007B25AE">
        <w:rPr>
          <w:rFonts w:ascii="Baskerville" w:eastAsia="MS PMincho" w:hAnsi="Baskerville" w:cs="Arabic Typesetting"/>
        </w:rPr>
        <w:t xml:space="preserve"> schools . . . are disproportionately populated by low quality, ineffective teachers . . .</w:t>
      </w:r>
      <w:r w:rsidR="00D63D92" w:rsidRPr="007B25AE">
        <w:rPr>
          <w:rFonts w:ascii="Baskerville" w:eastAsia="MS PMincho" w:hAnsi="Baskerville" w:cs="Arabic Typesetting"/>
        </w:rPr>
        <w:t xml:space="preserve">” (Ogundime,2014, p. 25). </w:t>
      </w:r>
      <w:r w:rsidR="00772D2C" w:rsidRPr="007B25AE">
        <w:rPr>
          <w:rFonts w:ascii="Baskerville" w:eastAsia="MS PMincho" w:hAnsi="Baskerville" w:cs="Arabic Typesetting"/>
        </w:rPr>
        <w:t xml:space="preserve"> </w:t>
      </w:r>
      <w:r w:rsidR="00DD6CDA" w:rsidRPr="007B25AE">
        <w:rPr>
          <w:rFonts w:ascii="Baskerville" w:eastAsia="MS PMincho" w:hAnsi="Baskerville" w:cs="Arabic Typesetting"/>
        </w:rPr>
        <w:t>A</w:t>
      </w:r>
      <w:r w:rsidR="009D6815" w:rsidRPr="007B25AE">
        <w:rPr>
          <w:rFonts w:ascii="Baskerville" w:eastAsia="MS PMincho" w:hAnsi="Baskerville" w:cs="Arabic Typesetting"/>
        </w:rPr>
        <w:t>nd</w:t>
      </w:r>
      <w:r w:rsidR="00DD6CDA" w:rsidRPr="007B25AE">
        <w:rPr>
          <w:rFonts w:ascii="Baskerville" w:eastAsia="MS PMincho" w:hAnsi="Baskerville" w:cs="Arabic Typesetting"/>
        </w:rPr>
        <w:t>,</w:t>
      </w:r>
      <w:r w:rsidR="009D6815" w:rsidRPr="007B25AE">
        <w:rPr>
          <w:rFonts w:ascii="Baskerville" w:eastAsia="MS PMincho" w:hAnsi="Baskerville" w:cs="Arabic Typesetting"/>
        </w:rPr>
        <w:t xml:space="preserve"> in so saying, he has</w:t>
      </w:r>
      <w:r w:rsidR="00772D2C" w:rsidRPr="007B25AE">
        <w:rPr>
          <w:rFonts w:ascii="Baskerville" w:eastAsia="MS PMincho" w:hAnsi="Baskerville" w:cs="Arabic Typesetting"/>
        </w:rPr>
        <w:t xml:space="preserve"> further </w:t>
      </w:r>
      <w:r w:rsidR="007C4E26" w:rsidRPr="007B25AE">
        <w:rPr>
          <w:rFonts w:ascii="Baskerville" w:eastAsia="MS PMincho" w:hAnsi="Baskerville" w:cs="Arabic Typesetting"/>
        </w:rPr>
        <w:t>expand</w:t>
      </w:r>
      <w:r w:rsidR="009D6815" w:rsidRPr="007B25AE">
        <w:rPr>
          <w:rFonts w:ascii="Baskerville" w:eastAsia="MS PMincho" w:hAnsi="Baskerville" w:cs="Arabic Typesetting"/>
        </w:rPr>
        <w:t>ed</w:t>
      </w:r>
      <w:r w:rsidR="00772D2C" w:rsidRPr="007B25AE">
        <w:rPr>
          <w:rFonts w:ascii="Baskerville" w:eastAsia="MS PMincho" w:hAnsi="Baskerville" w:cs="Arabic Typesetting"/>
        </w:rPr>
        <w:t xml:space="preserve"> the radius of </w:t>
      </w:r>
      <w:r w:rsidR="009D6815" w:rsidRPr="007B25AE">
        <w:rPr>
          <w:rFonts w:ascii="Baskerville" w:eastAsia="MS PMincho" w:hAnsi="Baskerville" w:cs="Arabic Typesetting"/>
        </w:rPr>
        <w:t>his theory o</w:t>
      </w:r>
      <w:r w:rsidR="00B6439B" w:rsidRPr="007B25AE">
        <w:rPr>
          <w:rFonts w:ascii="Baskerville" w:eastAsia="MS PMincho" w:hAnsi="Baskerville" w:cs="Arabic Typesetting"/>
        </w:rPr>
        <w:t>n</w:t>
      </w:r>
      <w:r w:rsidR="009D6815" w:rsidRPr="007B25AE">
        <w:rPr>
          <w:rFonts w:ascii="Baskerville" w:eastAsia="MS PMincho" w:hAnsi="Baskerville" w:cs="Arabic Typesetting"/>
        </w:rPr>
        <w:t xml:space="preserve"> </w:t>
      </w:r>
      <w:r w:rsidR="00772D2C" w:rsidRPr="007B25AE">
        <w:rPr>
          <w:rFonts w:ascii="Baskerville" w:eastAsia="MS PMincho" w:hAnsi="Baskerville" w:cs="Arabic Typesetting"/>
        </w:rPr>
        <w:t xml:space="preserve">the vicious cycle of teacher-quittance. </w:t>
      </w:r>
    </w:p>
    <w:p w14:paraId="0A219626" w14:textId="4F298857" w:rsidR="008B1EF5" w:rsidRPr="007B25AE" w:rsidRDefault="00772D2C"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He </w:t>
      </w:r>
      <w:r w:rsidR="00851502" w:rsidRPr="007B25AE">
        <w:rPr>
          <w:rFonts w:ascii="Baskerville" w:eastAsia="MS PMincho" w:hAnsi="Baskerville" w:cs="Arabic Typesetting"/>
        </w:rPr>
        <w:t>buttresses his argument with NCES</w:t>
      </w:r>
      <w:r w:rsidR="00026F39" w:rsidRPr="007B25AE">
        <w:rPr>
          <w:rFonts w:ascii="Baskerville" w:eastAsia="MS PMincho" w:hAnsi="Baskerville" w:cs="Arabic Typesetting"/>
        </w:rPr>
        <w:t>’s</w:t>
      </w:r>
      <w:r w:rsidR="00851502" w:rsidRPr="007B25AE">
        <w:rPr>
          <w:rFonts w:ascii="Baskerville" w:eastAsia="MS PMincho" w:hAnsi="Baskerville" w:cs="Arabic Typesetting"/>
        </w:rPr>
        <w:t xml:space="preserve"> statistics which says that, in the span </w:t>
      </w:r>
      <w:r w:rsidR="00863CE2" w:rsidRPr="007B25AE">
        <w:rPr>
          <w:rFonts w:ascii="Baskerville" w:eastAsia="MS PMincho" w:hAnsi="Baskerville" w:cs="Arabic Typesetting"/>
        </w:rPr>
        <w:t xml:space="preserve">of time </w:t>
      </w:r>
      <w:r w:rsidR="00851502" w:rsidRPr="007B25AE">
        <w:rPr>
          <w:rFonts w:ascii="Baskerville" w:eastAsia="MS PMincho" w:hAnsi="Baskerville" w:cs="Arabic Typesetting"/>
        </w:rPr>
        <w:t xml:space="preserve">between October 2004 and </w:t>
      </w:r>
      <w:r w:rsidR="009D7816" w:rsidRPr="007B25AE">
        <w:rPr>
          <w:rFonts w:ascii="Baskerville" w:eastAsia="MS PMincho" w:hAnsi="Baskerville" w:cs="Arabic Typesetting"/>
        </w:rPr>
        <w:t>October 200</w:t>
      </w:r>
      <w:r w:rsidR="00851502" w:rsidRPr="007B25AE">
        <w:rPr>
          <w:rFonts w:ascii="Baskerville" w:eastAsia="MS PMincho" w:hAnsi="Baskerville" w:cs="Arabic Typesetting"/>
        </w:rPr>
        <w:t>5</w:t>
      </w:r>
      <w:r w:rsidR="009D7816" w:rsidRPr="007B25AE">
        <w:rPr>
          <w:rFonts w:ascii="Baskerville" w:eastAsia="MS PMincho" w:hAnsi="Baskerville" w:cs="Arabic Typesetting"/>
        </w:rPr>
        <w:t>,</w:t>
      </w:r>
      <w:r w:rsidR="00617CB4" w:rsidRPr="007B25AE">
        <w:rPr>
          <w:rFonts w:ascii="Baskerville" w:eastAsia="MS PMincho" w:hAnsi="Baskerville" w:cs="Arabic Typesetting"/>
        </w:rPr>
        <w:t xml:space="preserve"> </w:t>
      </w:r>
      <w:r w:rsidRPr="007B25AE">
        <w:rPr>
          <w:rFonts w:ascii="Baskerville" w:eastAsia="MS PMincho" w:hAnsi="Baskerville" w:cs="Arabic Typesetting"/>
        </w:rPr>
        <w:t xml:space="preserve">the evidence of </w:t>
      </w:r>
      <w:r w:rsidR="00851502" w:rsidRPr="007B25AE">
        <w:rPr>
          <w:rFonts w:ascii="Baskerville" w:eastAsia="MS PMincho" w:hAnsi="Baskerville" w:cs="Arabic Typesetting"/>
        </w:rPr>
        <w:t xml:space="preserve">the problem </w:t>
      </w:r>
      <w:r w:rsidR="00026F39" w:rsidRPr="007B25AE">
        <w:rPr>
          <w:rFonts w:ascii="Baskerville" w:eastAsia="MS PMincho" w:hAnsi="Baskerville" w:cs="Arabic Typesetting"/>
        </w:rPr>
        <w:t xml:space="preserve">clearly </w:t>
      </w:r>
      <w:r w:rsidR="00617CB4" w:rsidRPr="007B25AE">
        <w:rPr>
          <w:rFonts w:ascii="Baskerville" w:eastAsia="MS PMincho" w:hAnsi="Baskerville" w:cs="Arabic Typesetting"/>
        </w:rPr>
        <w:t xml:space="preserve">nested </w:t>
      </w:r>
      <w:r w:rsidR="009D7816" w:rsidRPr="007B25AE">
        <w:rPr>
          <w:rFonts w:ascii="Baskerville" w:eastAsia="MS PMincho" w:hAnsi="Baskerville" w:cs="Arabic Typesetting"/>
        </w:rPr>
        <w:t>in the statistics</w:t>
      </w:r>
      <w:r w:rsidR="007C4E26" w:rsidRPr="007B25AE">
        <w:rPr>
          <w:rFonts w:ascii="Baskerville" w:eastAsia="MS PMincho" w:hAnsi="Baskerville" w:cs="Arabic Typesetting"/>
        </w:rPr>
        <w:t xml:space="preserve"> which say</w:t>
      </w:r>
      <w:r w:rsidR="008C7C86" w:rsidRPr="007B25AE">
        <w:rPr>
          <w:rFonts w:ascii="Baskerville" w:eastAsia="MS PMincho" w:hAnsi="Baskerville" w:cs="Arabic Typesetting"/>
        </w:rPr>
        <w:t>s</w:t>
      </w:r>
      <w:r w:rsidR="007C4E26" w:rsidRPr="007B25AE">
        <w:rPr>
          <w:rFonts w:ascii="Baskerville" w:eastAsia="MS PMincho" w:hAnsi="Baskerville" w:cs="Arabic Typesetting"/>
        </w:rPr>
        <w:t xml:space="preserve"> that Blacks and Hispanics consistently have the highest dropout rates. </w:t>
      </w:r>
      <w:r w:rsidR="00617CB4" w:rsidRPr="007B25AE">
        <w:rPr>
          <w:rFonts w:ascii="Baskerville" w:eastAsia="MS PMincho" w:hAnsi="Baskerville" w:cs="Arabic Typesetting"/>
        </w:rPr>
        <w:t xml:space="preserve">When </w:t>
      </w:r>
      <w:r w:rsidR="008C7C86" w:rsidRPr="007B25AE">
        <w:rPr>
          <w:rFonts w:ascii="Baskerville" w:eastAsia="MS PMincho" w:hAnsi="Baskerville" w:cs="Arabic Typesetting"/>
        </w:rPr>
        <w:t>h</w:t>
      </w:r>
      <w:r w:rsidR="00617CB4" w:rsidRPr="007B25AE">
        <w:rPr>
          <w:rFonts w:ascii="Baskerville" w:eastAsia="MS PMincho" w:hAnsi="Baskerville" w:cs="Arabic Typesetting"/>
        </w:rPr>
        <w:t>e compare</w:t>
      </w:r>
      <w:r w:rsidR="00580FCC" w:rsidRPr="007B25AE">
        <w:rPr>
          <w:rFonts w:ascii="Baskerville" w:eastAsia="MS PMincho" w:hAnsi="Baskerville" w:cs="Arabic Typesetting"/>
        </w:rPr>
        <w:t>d</w:t>
      </w:r>
      <w:r w:rsidR="00617CB4" w:rsidRPr="007B25AE">
        <w:rPr>
          <w:rFonts w:ascii="Baskerville" w:eastAsia="MS PMincho" w:hAnsi="Baskerville" w:cs="Arabic Typesetting"/>
        </w:rPr>
        <w:t xml:space="preserve"> the stats by race, </w:t>
      </w:r>
      <w:r w:rsidR="00580FCC" w:rsidRPr="007B25AE">
        <w:rPr>
          <w:rFonts w:ascii="Baskerville" w:eastAsia="MS PMincho" w:hAnsi="Baskerville" w:cs="Arabic Typesetting"/>
        </w:rPr>
        <w:t>h</w:t>
      </w:r>
      <w:r w:rsidR="00617CB4" w:rsidRPr="007B25AE">
        <w:rPr>
          <w:rFonts w:ascii="Baskerville" w:eastAsia="MS PMincho" w:hAnsi="Baskerville" w:cs="Arabic Typesetting"/>
        </w:rPr>
        <w:t>e f</w:t>
      </w:r>
      <w:r w:rsidR="00580FCC" w:rsidRPr="007B25AE">
        <w:rPr>
          <w:rFonts w:ascii="Baskerville" w:eastAsia="MS PMincho" w:hAnsi="Baskerville" w:cs="Arabic Typesetting"/>
        </w:rPr>
        <w:t>ou</w:t>
      </w:r>
      <w:r w:rsidR="00617CB4" w:rsidRPr="007B25AE">
        <w:rPr>
          <w:rFonts w:ascii="Baskerville" w:eastAsia="MS PMincho" w:hAnsi="Baskerville" w:cs="Arabic Typesetting"/>
        </w:rPr>
        <w:t xml:space="preserve">nd that </w:t>
      </w:r>
      <w:r w:rsidR="007C4E26" w:rsidRPr="007B25AE">
        <w:rPr>
          <w:rFonts w:ascii="Baskerville" w:eastAsia="MS PMincho" w:hAnsi="Baskerville" w:cs="Arabic Typesetting"/>
        </w:rPr>
        <w:t xml:space="preserve">Blacks, Hispanics, Whites, and Asians/Pacific Islanders have dropout rates of </w:t>
      </w:r>
      <w:r w:rsidR="00863CE2" w:rsidRPr="007B25AE">
        <w:rPr>
          <w:rFonts w:ascii="Baskerville" w:eastAsia="MS PMincho" w:hAnsi="Baskerville" w:cs="Arabic Typesetting"/>
        </w:rPr>
        <w:t>7.3%, 5.0%, 2.8%, and 1.6%, respectively</w:t>
      </w:r>
      <w:r w:rsidR="00D63D92" w:rsidRPr="007B25AE">
        <w:rPr>
          <w:rFonts w:ascii="Baskerville" w:eastAsia="MS PMincho" w:hAnsi="Baskerville" w:cs="Arabic Typesetting"/>
        </w:rPr>
        <w:t xml:space="preserve"> (NCES)</w:t>
      </w:r>
      <w:r w:rsidR="00863CE2" w:rsidRPr="007B25AE">
        <w:rPr>
          <w:rFonts w:ascii="Baskerville" w:eastAsia="MS PMincho" w:hAnsi="Baskerville" w:cs="Arabic Typesetting"/>
        </w:rPr>
        <w:t xml:space="preserve">. </w:t>
      </w:r>
    </w:p>
    <w:p w14:paraId="6B48D5F1" w14:textId="7D7EB29A" w:rsidR="00AB6451" w:rsidRPr="007B25AE" w:rsidRDefault="008C7C09"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In this</w:t>
      </w:r>
      <w:r w:rsidR="00182B0D" w:rsidRPr="007B25AE">
        <w:rPr>
          <w:rFonts w:ascii="Baskerville" w:eastAsia="MS PMincho" w:hAnsi="Baskerville" w:cs="Arabic Typesetting"/>
        </w:rPr>
        <w:t xml:space="preserve">, </w:t>
      </w:r>
      <w:proofErr w:type="spellStart"/>
      <w:r w:rsidR="00182B0D" w:rsidRPr="007B25AE">
        <w:rPr>
          <w:rFonts w:ascii="Baskerville" w:eastAsia="MS PMincho" w:hAnsi="Baskerville" w:cs="Arabic Typesetting"/>
        </w:rPr>
        <w:t>Ogundimu</w:t>
      </w:r>
      <w:proofErr w:type="spellEnd"/>
      <w:r w:rsidR="00182B0D" w:rsidRPr="007B25AE">
        <w:rPr>
          <w:rFonts w:ascii="Baskerville" w:eastAsia="MS PMincho" w:hAnsi="Baskerville" w:cs="Arabic Typesetting"/>
        </w:rPr>
        <w:t xml:space="preserve"> appears to be suggestin</w:t>
      </w:r>
      <w:r w:rsidR="00026F39" w:rsidRPr="007B25AE">
        <w:rPr>
          <w:rFonts w:ascii="Baskerville" w:eastAsia="MS PMincho" w:hAnsi="Baskerville" w:cs="Arabic Typesetting"/>
        </w:rPr>
        <w:t>g</w:t>
      </w:r>
      <w:r w:rsidR="00182B0D" w:rsidRPr="007B25AE">
        <w:rPr>
          <w:rFonts w:ascii="Baskerville" w:eastAsia="MS PMincho" w:hAnsi="Baskerville" w:cs="Arabic Typesetting"/>
        </w:rPr>
        <w:t xml:space="preserve"> that the order of the drop-out rate seems perfectly consistent </w:t>
      </w:r>
      <w:r w:rsidR="00026F39" w:rsidRPr="007B25AE">
        <w:rPr>
          <w:rFonts w:ascii="Baskerville" w:eastAsia="MS PMincho" w:hAnsi="Baskerville" w:cs="Arabic Typesetting"/>
        </w:rPr>
        <w:t xml:space="preserve">with </w:t>
      </w:r>
      <w:r w:rsidR="00863CE2" w:rsidRPr="007B25AE">
        <w:rPr>
          <w:rFonts w:ascii="Baskerville" w:eastAsia="MS PMincho" w:hAnsi="Baskerville" w:cs="Arabic Typesetting"/>
        </w:rPr>
        <w:t>the distribution of socio-economic conditions, ill-health, and so forth according to race</w:t>
      </w:r>
      <w:r w:rsidR="00804722" w:rsidRPr="007B25AE">
        <w:rPr>
          <w:rFonts w:ascii="Baskerville" w:eastAsia="MS PMincho" w:hAnsi="Baskerville" w:cs="Arabic Typesetting"/>
        </w:rPr>
        <w:t xml:space="preserve">. </w:t>
      </w:r>
      <w:r w:rsidR="00776668" w:rsidRPr="007B25AE">
        <w:rPr>
          <w:rFonts w:ascii="Baskerville" w:eastAsia="MS PMincho" w:hAnsi="Baskerville" w:cs="Arabic Typesetting"/>
        </w:rPr>
        <w:t>To</w:t>
      </w:r>
      <w:r w:rsidR="00580FCC" w:rsidRPr="007B25AE">
        <w:rPr>
          <w:rFonts w:ascii="Baskerville" w:eastAsia="MS PMincho" w:hAnsi="Baskerville" w:cs="Arabic Typesetting"/>
        </w:rPr>
        <w:t xml:space="preserve"> my thinking, his documentation of the fact that Black children lead the negative charge is likely another way of unraveling</w:t>
      </w:r>
      <w:r w:rsidR="00776668" w:rsidRPr="007B25AE">
        <w:rPr>
          <w:rFonts w:ascii="Baskerville" w:eastAsia="MS PMincho" w:hAnsi="Baskerville" w:cs="Arabic Typesetting"/>
        </w:rPr>
        <w:t xml:space="preserve"> the facts</w:t>
      </w:r>
      <w:r w:rsidR="00580FCC" w:rsidRPr="007B25AE">
        <w:rPr>
          <w:rFonts w:ascii="Baskerville" w:eastAsia="MS PMincho" w:hAnsi="Baskerville" w:cs="Arabic Typesetting"/>
        </w:rPr>
        <w:t>, by example, the meaning of the term, “disadvantaged” in connection with where the rupture in the teacher</w:t>
      </w:r>
      <w:r w:rsidR="001D1AA3" w:rsidRPr="007B25AE">
        <w:rPr>
          <w:rFonts w:ascii="Baskerville" w:eastAsia="MS PMincho" w:hAnsi="Baskerville" w:cs="Arabic Typesetting"/>
        </w:rPr>
        <w:t>-</w:t>
      </w:r>
      <w:r w:rsidR="00580FCC" w:rsidRPr="007B25AE">
        <w:rPr>
          <w:rFonts w:ascii="Baskerville" w:eastAsia="MS PMincho" w:hAnsi="Baskerville" w:cs="Arabic Typesetting"/>
        </w:rPr>
        <w:t>pipeline is doing the most damage.</w:t>
      </w:r>
    </w:p>
    <w:p w14:paraId="48C53595" w14:textId="27407E3E" w:rsidR="006A4260" w:rsidRPr="007B25AE" w:rsidRDefault="000D5B8A"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At length, </w:t>
      </w:r>
      <w:proofErr w:type="spellStart"/>
      <w:r w:rsidRPr="007B25AE">
        <w:rPr>
          <w:rFonts w:ascii="Baskerville" w:eastAsia="MS PMincho" w:hAnsi="Baskerville" w:cs="Arabic Typesetting"/>
        </w:rPr>
        <w:t>Ogundimu</w:t>
      </w:r>
      <w:proofErr w:type="spellEnd"/>
      <w:r w:rsidRPr="007B25AE">
        <w:rPr>
          <w:rFonts w:ascii="Baskerville" w:eastAsia="MS PMincho" w:hAnsi="Baskerville" w:cs="Arabic Typesetting"/>
        </w:rPr>
        <w:t xml:space="preserve"> introduces the steps that </w:t>
      </w:r>
      <w:r w:rsidR="000312A2" w:rsidRPr="007B25AE">
        <w:rPr>
          <w:rFonts w:ascii="Baskerville" w:eastAsia="MS PMincho" w:hAnsi="Baskerville" w:cs="Arabic Typesetting"/>
        </w:rPr>
        <w:t xml:space="preserve">NYC DOE </w:t>
      </w:r>
      <w:r w:rsidR="00B93A93" w:rsidRPr="007B25AE">
        <w:rPr>
          <w:rFonts w:ascii="Baskerville" w:eastAsia="MS PMincho" w:hAnsi="Baskerville" w:cs="Arabic Typesetting"/>
        </w:rPr>
        <w:t xml:space="preserve">claimed </w:t>
      </w:r>
      <w:r w:rsidR="00776668" w:rsidRPr="007B25AE">
        <w:rPr>
          <w:rFonts w:ascii="Baskerville" w:eastAsia="MS PMincho" w:hAnsi="Baskerville" w:cs="Arabic Typesetting"/>
        </w:rPr>
        <w:t>to have been</w:t>
      </w:r>
      <w:r w:rsidRPr="007B25AE">
        <w:rPr>
          <w:rFonts w:ascii="Baskerville" w:eastAsia="MS PMincho" w:hAnsi="Baskerville" w:cs="Arabic Typesetting"/>
        </w:rPr>
        <w:t xml:space="preserve"> tak</w:t>
      </w:r>
      <w:r w:rsidR="00B93A93" w:rsidRPr="007B25AE">
        <w:rPr>
          <w:rFonts w:ascii="Baskerville" w:eastAsia="MS PMincho" w:hAnsi="Baskerville" w:cs="Arabic Typesetting"/>
        </w:rPr>
        <w:t>i</w:t>
      </w:r>
      <w:r w:rsidRPr="007B25AE">
        <w:rPr>
          <w:rFonts w:ascii="Baskerville" w:eastAsia="MS PMincho" w:hAnsi="Baskerville" w:cs="Arabic Typesetting"/>
        </w:rPr>
        <w:t>n</w:t>
      </w:r>
      <w:r w:rsidR="00B93A93" w:rsidRPr="007B25AE">
        <w:rPr>
          <w:rFonts w:ascii="Baskerville" w:eastAsia="MS PMincho" w:hAnsi="Baskerville" w:cs="Arabic Typesetting"/>
        </w:rPr>
        <w:t>g</w:t>
      </w:r>
      <w:r w:rsidR="00422510" w:rsidRPr="007B25AE">
        <w:rPr>
          <w:rFonts w:ascii="Baskerville" w:eastAsia="MS PMincho" w:hAnsi="Baskerville" w:cs="Arabic Typesetting"/>
        </w:rPr>
        <w:t xml:space="preserve"> </w:t>
      </w:r>
      <w:r w:rsidRPr="007B25AE">
        <w:rPr>
          <w:rFonts w:ascii="Baskerville" w:eastAsia="MS PMincho" w:hAnsi="Baskerville" w:cs="Arabic Typesetting"/>
        </w:rPr>
        <w:t xml:space="preserve">to cultivate </w:t>
      </w:r>
      <w:r w:rsidR="00B93A93" w:rsidRPr="007B25AE">
        <w:rPr>
          <w:rFonts w:ascii="Baskerville" w:eastAsia="MS PMincho" w:hAnsi="Baskerville" w:cs="Arabic Typesetting"/>
        </w:rPr>
        <w:t xml:space="preserve">a </w:t>
      </w:r>
      <w:r w:rsidRPr="007B25AE">
        <w:rPr>
          <w:rFonts w:ascii="Baskerville" w:eastAsia="MS PMincho" w:hAnsi="Baskerville" w:cs="Arabic Typesetting"/>
        </w:rPr>
        <w:t xml:space="preserve">larger crop of </w:t>
      </w:r>
      <w:r w:rsidR="00B93A93" w:rsidRPr="007B25AE">
        <w:rPr>
          <w:rFonts w:ascii="Baskerville" w:eastAsia="MS PMincho" w:hAnsi="Baskerville" w:cs="Arabic Typesetting"/>
        </w:rPr>
        <w:t>quality</w:t>
      </w:r>
      <w:r w:rsidRPr="007B25AE">
        <w:rPr>
          <w:rFonts w:ascii="Baskerville" w:eastAsia="MS PMincho" w:hAnsi="Baskerville" w:cs="Arabic Typesetting"/>
        </w:rPr>
        <w:t xml:space="preserve"> teachers that were </w:t>
      </w:r>
      <w:r w:rsidR="008811F6" w:rsidRPr="007B25AE">
        <w:rPr>
          <w:rFonts w:ascii="Baskerville" w:eastAsia="MS PMincho" w:hAnsi="Baskerville" w:cs="Arabic Typesetting"/>
        </w:rPr>
        <w:t xml:space="preserve">most </w:t>
      </w:r>
      <w:r w:rsidRPr="007B25AE">
        <w:rPr>
          <w:rFonts w:ascii="Baskerville" w:eastAsia="MS PMincho" w:hAnsi="Baskerville" w:cs="Arabic Typesetting"/>
        </w:rPr>
        <w:t xml:space="preserve">likely to </w:t>
      </w:r>
      <w:r w:rsidR="008C7C86" w:rsidRPr="007B25AE">
        <w:rPr>
          <w:rFonts w:ascii="Baskerville" w:eastAsia="MS PMincho" w:hAnsi="Baskerville" w:cs="Arabic Typesetting"/>
        </w:rPr>
        <w:t>be</w:t>
      </w:r>
      <w:r w:rsidR="00B93A93" w:rsidRPr="007B25AE">
        <w:rPr>
          <w:rFonts w:ascii="Baskerville" w:eastAsia="MS PMincho" w:hAnsi="Baskerville" w:cs="Arabic Typesetting"/>
        </w:rPr>
        <w:t xml:space="preserve"> </w:t>
      </w:r>
      <w:r w:rsidR="008811F6" w:rsidRPr="007B25AE">
        <w:rPr>
          <w:rFonts w:ascii="Baskerville" w:eastAsia="MS PMincho" w:hAnsi="Baskerville" w:cs="Arabic Typesetting"/>
        </w:rPr>
        <w:t>fit</w:t>
      </w:r>
      <w:r w:rsidR="008C7C86" w:rsidRPr="007B25AE">
        <w:rPr>
          <w:rFonts w:ascii="Baskerville" w:eastAsia="MS PMincho" w:hAnsi="Baskerville" w:cs="Arabic Typesetting"/>
        </w:rPr>
        <w:t xml:space="preserve"> </w:t>
      </w:r>
      <w:r w:rsidR="00026F39" w:rsidRPr="007B25AE">
        <w:rPr>
          <w:rFonts w:ascii="Baskerville" w:eastAsia="MS PMincho" w:hAnsi="Baskerville" w:cs="Arabic Typesetting"/>
        </w:rPr>
        <w:t>for service</w:t>
      </w:r>
      <w:r w:rsidRPr="007B25AE">
        <w:rPr>
          <w:rFonts w:ascii="Baskerville" w:eastAsia="MS PMincho" w:hAnsi="Baskerville" w:cs="Arabic Typesetting"/>
        </w:rPr>
        <w:t xml:space="preserve"> over the long haul. </w:t>
      </w:r>
      <w:proofErr w:type="spellStart"/>
      <w:r w:rsidR="00026F39" w:rsidRPr="007B25AE">
        <w:rPr>
          <w:rFonts w:ascii="Baskerville" w:eastAsia="MS PMincho" w:hAnsi="Baskerville" w:cs="Arabic Typesetting"/>
        </w:rPr>
        <w:t>Ogundimu’s</w:t>
      </w:r>
      <w:proofErr w:type="spellEnd"/>
      <w:r w:rsidRPr="007B25AE">
        <w:rPr>
          <w:rFonts w:ascii="Baskerville" w:eastAsia="MS PMincho" w:hAnsi="Baskerville" w:cs="Arabic Typesetting"/>
        </w:rPr>
        <w:t xml:space="preserve"> </w:t>
      </w:r>
      <w:r w:rsidR="008811F6" w:rsidRPr="007B25AE">
        <w:rPr>
          <w:rFonts w:ascii="Baskerville" w:eastAsia="MS PMincho" w:hAnsi="Baskerville" w:cs="Arabic Typesetting"/>
        </w:rPr>
        <w:t>research</w:t>
      </w:r>
      <w:r w:rsidRPr="007B25AE">
        <w:rPr>
          <w:rFonts w:ascii="Baskerville" w:eastAsia="MS PMincho" w:hAnsi="Baskerville" w:cs="Arabic Typesetting"/>
        </w:rPr>
        <w:t xml:space="preserve"> was </w:t>
      </w:r>
      <w:r w:rsidR="008811F6" w:rsidRPr="007B25AE">
        <w:rPr>
          <w:rFonts w:ascii="Baskerville" w:eastAsia="MS PMincho" w:hAnsi="Baskerville" w:cs="Arabic Typesetting"/>
        </w:rPr>
        <w:t>geared toward determining whether</w:t>
      </w:r>
      <w:r w:rsidRPr="007B25AE">
        <w:rPr>
          <w:rFonts w:ascii="Baskerville" w:eastAsia="MS PMincho" w:hAnsi="Baskerville" w:cs="Arabic Typesetting"/>
        </w:rPr>
        <w:t xml:space="preserve"> how teachers </w:t>
      </w:r>
      <w:r w:rsidR="008811F6" w:rsidRPr="007B25AE">
        <w:rPr>
          <w:rFonts w:ascii="Baskerville" w:eastAsia="MS PMincho" w:hAnsi="Baskerville" w:cs="Arabic Typesetting"/>
        </w:rPr>
        <w:t>a</w:t>
      </w:r>
      <w:r w:rsidRPr="007B25AE">
        <w:rPr>
          <w:rFonts w:ascii="Baskerville" w:eastAsia="MS PMincho" w:hAnsi="Baskerville" w:cs="Arabic Typesetting"/>
        </w:rPr>
        <w:t>re recruited ha</w:t>
      </w:r>
      <w:r w:rsidR="008811F6" w:rsidRPr="007B25AE">
        <w:rPr>
          <w:rFonts w:ascii="Baskerville" w:eastAsia="MS PMincho" w:hAnsi="Baskerville" w:cs="Arabic Typesetting"/>
        </w:rPr>
        <w:t>s</w:t>
      </w:r>
      <w:r w:rsidRPr="007B25AE">
        <w:rPr>
          <w:rFonts w:ascii="Baskerville" w:eastAsia="MS PMincho" w:hAnsi="Baskerville" w:cs="Arabic Typesetting"/>
        </w:rPr>
        <w:t xml:space="preserve"> a</w:t>
      </w:r>
      <w:r w:rsidR="008811F6" w:rsidRPr="007B25AE">
        <w:rPr>
          <w:rFonts w:ascii="Baskerville" w:eastAsia="MS PMincho" w:hAnsi="Baskerville" w:cs="Arabic Typesetting"/>
        </w:rPr>
        <w:t xml:space="preserve">nything </w:t>
      </w:r>
      <w:r w:rsidRPr="007B25AE">
        <w:rPr>
          <w:rFonts w:ascii="Baskerville" w:eastAsia="MS PMincho" w:hAnsi="Baskerville" w:cs="Arabic Typesetting"/>
        </w:rPr>
        <w:t xml:space="preserve">to do with teacher-quality </w:t>
      </w:r>
      <w:r w:rsidR="00D17225" w:rsidRPr="007B25AE">
        <w:rPr>
          <w:rFonts w:ascii="Baskerville" w:eastAsia="MS PMincho" w:hAnsi="Baskerville" w:cs="Arabic Typesetting"/>
        </w:rPr>
        <w:t xml:space="preserve">and </w:t>
      </w:r>
      <w:r w:rsidR="008811F6" w:rsidRPr="007B25AE">
        <w:rPr>
          <w:rFonts w:ascii="Baskerville" w:eastAsia="MS PMincho" w:hAnsi="Baskerville" w:cs="Arabic Typesetting"/>
        </w:rPr>
        <w:t>longevity in the job</w:t>
      </w:r>
      <w:r w:rsidR="00D17225" w:rsidRPr="007B25AE">
        <w:rPr>
          <w:rFonts w:ascii="Baskerville" w:eastAsia="MS PMincho" w:hAnsi="Baskerville" w:cs="Arabic Typesetting"/>
        </w:rPr>
        <w:t>.  He introduce</w:t>
      </w:r>
      <w:r w:rsidR="00D63D92" w:rsidRPr="007B25AE">
        <w:rPr>
          <w:rFonts w:ascii="Baskerville" w:eastAsia="MS PMincho" w:hAnsi="Baskerville" w:cs="Arabic Typesetting"/>
        </w:rPr>
        <w:t>d</w:t>
      </w:r>
      <w:r w:rsidR="00D17225" w:rsidRPr="007B25AE">
        <w:rPr>
          <w:rFonts w:ascii="Baskerville" w:eastAsia="MS PMincho" w:hAnsi="Baskerville" w:cs="Arabic Typesetting"/>
        </w:rPr>
        <w:t xml:space="preserve"> various types of </w:t>
      </w:r>
      <w:r w:rsidR="00D63D92" w:rsidRPr="007B25AE">
        <w:rPr>
          <w:rFonts w:ascii="Baskerville" w:eastAsia="MS PMincho" w:hAnsi="Baskerville" w:cs="Arabic Typesetting"/>
        </w:rPr>
        <w:t xml:space="preserve">in-service </w:t>
      </w:r>
      <w:r w:rsidR="00D17225" w:rsidRPr="007B25AE">
        <w:rPr>
          <w:rFonts w:ascii="Baskerville" w:eastAsia="MS PMincho" w:hAnsi="Baskerville" w:cs="Arabic Typesetting"/>
        </w:rPr>
        <w:t>teacher</w:t>
      </w:r>
      <w:r w:rsidR="00D63D92" w:rsidRPr="007B25AE">
        <w:rPr>
          <w:rFonts w:ascii="Baskerville" w:eastAsia="MS PMincho" w:hAnsi="Baskerville" w:cs="Arabic Typesetting"/>
        </w:rPr>
        <w:t>s</w:t>
      </w:r>
      <w:r w:rsidR="00D17225" w:rsidRPr="007B25AE">
        <w:rPr>
          <w:rFonts w:ascii="Baskerville" w:eastAsia="MS PMincho" w:hAnsi="Baskerville" w:cs="Arabic Typesetting"/>
        </w:rPr>
        <w:t xml:space="preserve"> </w:t>
      </w:r>
      <w:r w:rsidR="006A4260" w:rsidRPr="007B25AE">
        <w:rPr>
          <w:rFonts w:ascii="Baskerville" w:eastAsia="MS PMincho" w:hAnsi="Baskerville" w:cs="Arabic Typesetting"/>
        </w:rPr>
        <w:t>who were</w:t>
      </w:r>
      <w:r w:rsidR="00026F39" w:rsidRPr="007B25AE">
        <w:rPr>
          <w:rFonts w:ascii="Baskerville" w:eastAsia="MS PMincho" w:hAnsi="Baskerville" w:cs="Arabic Typesetting"/>
        </w:rPr>
        <w:t xml:space="preserve"> </w:t>
      </w:r>
      <w:r w:rsidR="008811F6" w:rsidRPr="007B25AE">
        <w:rPr>
          <w:rFonts w:ascii="Baskerville" w:eastAsia="MS PMincho" w:hAnsi="Baskerville" w:cs="Arabic Typesetting"/>
        </w:rPr>
        <w:t xml:space="preserve">specially picked and </w:t>
      </w:r>
      <w:r w:rsidR="006A4260" w:rsidRPr="007B25AE">
        <w:rPr>
          <w:rFonts w:ascii="Baskerville" w:eastAsia="MS PMincho" w:hAnsi="Baskerville" w:cs="Arabic Typesetting"/>
        </w:rPr>
        <w:t xml:space="preserve">harvested with the expectation that they would </w:t>
      </w:r>
      <w:r w:rsidR="008811F6" w:rsidRPr="007B25AE">
        <w:rPr>
          <w:rFonts w:ascii="Baskerville" w:eastAsia="MS PMincho" w:hAnsi="Baskerville" w:cs="Arabic Typesetting"/>
        </w:rPr>
        <w:t xml:space="preserve">mature to a point of fullness that would help </w:t>
      </w:r>
      <w:r w:rsidR="0064203C" w:rsidRPr="007B25AE">
        <w:rPr>
          <w:rFonts w:ascii="Baskerville" w:eastAsia="MS PMincho" w:hAnsi="Baskerville" w:cs="Arabic Typesetting"/>
        </w:rPr>
        <w:t xml:space="preserve">them </w:t>
      </w:r>
      <w:r w:rsidR="008811F6" w:rsidRPr="007B25AE">
        <w:rPr>
          <w:rFonts w:ascii="Baskerville" w:eastAsia="MS PMincho" w:hAnsi="Baskerville" w:cs="Arabic Typesetting"/>
        </w:rPr>
        <w:t xml:space="preserve">cultivate the desire to want to </w:t>
      </w:r>
      <w:r w:rsidR="006A4260" w:rsidRPr="007B25AE">
        <w:rPr>
          <w:rFonts w:ascii="Baskerville" w:eastAsia="MS PMincho" w:hAnsi="Baskerville" w:cs="Arabic Typesetting"/>
        </w:rPr>
        <w:t xml:space="preserve">remain in place over the </w:t>
      </w:r>
      <w:r w:rsidR="00B93A93" w:rsidRPr="007B25AE">
        <w:rPr>
          <w:rFonts w:ascii="Baskerville" w:eastAsia="MS PMincho" w:hAnsi="Baskerville" w:cs="Arabic Typesetting"/>
        </w:rPr>
        <w:t>long term</w:t>
      </w:r>
      <w:r w:rsidR="00D17225" w:rsidRPr="007B25AE">
        <w:rPr>
          <w:rFonts w:ascii="Baskerville" w:eastAsia="MS PMincho" w:hAnsi="Baskerville" w:cs="Arabic Typesetting"/>
        </w:rPr>
        <w:t xml:space="preserve">. </w:t>
      </w:r>
    </w:p>
    <w:p w14:paraId="69D08F7C" w14:textId="77777777" w:rsidR="00225FD4" w:rsidRPr="007B25AE" w:rsidRDefault="00B93A93" w:rsidP="00225FD4">
      <w:pPr>
        <w:spacing w:line="360" w:lineRule="auto"/>
        <w:ind w:firstLine="720"/>
        <w:rPr>
          <w:rFonts w:ascii="Baskerville" w:eastAsia="MS PMincho" w:hAnsi="Baskerville" w:cs="Arabic Typesetting"/>
        </w:rPr>
      </w:pPr>
      <w:r w:rsidRPr="007B25AE">
        <w:rPr>
          <w:rFonts w:ascii="Baskerville" w:eastAsia="MS PMincho" w:hAnsi="Baskerville" w:cs="Arabic Typesetting"/>
        </w:rPr>
        <w:t>He claimed that</w:t>
      </w:r>
      <w:r w:rsidR="006A4260" w:rsidRPr="007B25AE">
        <w:rPr>
          <w:rFonts w:ascii="Baskerville" w:eastAsia="MS PMincho" w:hAnsi="Baskerville" w:cs="Arabic Typesetting"/>
        </w:rPr>
        <w:t xml:space="preserve"> </w:t>
      </w:r>
      <w:r w:rsidR="00F15B80" w:rsidRPr="007B25AE">
        <w:rPr>
          <w:rFonts w:ascii="Baskerville" w:eastAsia="MS PMincho" w:hAnsi="Baskerville" w:cs="Arabic Typesetting"/>
        </w:rPr>
        <w:t xml:space="preserve">there was an effort to shift </w:t>
      </w:r>
      <w:r w:rsidR="00966EB3" w:rsidRPr="007B25AE">
        <w:rPr>
          <w:rFonts w:ascii="Baskerville" w:eastAsia="MS PMincho" w:hAnsi="Baskerville" w:cs="Arabic Typesetting"/>
        </w:rPr>
        <w:t>t</w:t>
      </w:r>
      <w:r w:rsidR="00D17225" w:rsidRPr="007B25AE">
        <w:rPr>
          <w:rFonts w:ascii="Baskerville" w:eastAsia="MS PMincho" w:hAnsi="Baskerville" w:cs="Arabic Typesetting"/>
        </w:rPr>
        <w:t>he</w:t>
      </w:r>
      <w:r w:rsidR="00F15B80" w:rsidRPr="007B25AE">
        <w:rPr>
          <w:rFonts w:ascii="Baskerville" w:eastAsia="MS PMincho" w:hAnsi="Baskerville" w:cs="Arabic Typesetting"/>
        </w:rPr>
        <w:t xml:space="preserve"> </w:t>
      </w:r>
      <w:r w:rsidR="00D17225" w:rsidRPr="007B25AE">
        <w:rPr>
          <w:rFonts w:ascii="Baskerville" w:eastAsia="MS PMincho" w:hAnsi="Baskerville" w:cs="Arabic Typesetting"/>
        </w:rPr>
        <w:t>re</w:t>
      </w:r>
      <w:r w:rsidR="00F15B80" w:rsidRPr="007B25AE">
        <w:rPr>
          <w:rFonts w:ascii="Baskerville" w:eastAsia="MS PMincho" w:hAnsi="Baskerville" w:cs="Arabic Typesetting"/>
        </w:rPr>
        <w:t xml:space="preserve">cruitment strategy away from the old paradigm where the bulk of </w:t>
      </w:r>
      <w:r w:rsidR="0064203C" w:rsidRPr="007B25AE">
        <w:rPr>
          <w:rFonts w:ascii="Baskerville" w:eastAsia="MS PMincho" w:hAnsi="Baskerville" w:cs="Arabic Typesetting"/>
        </w:rPr>
        <w:t xml:space="preserve">the </w:t>
      </w:r>
      <w:r w:rsidR="00F15B80" w:rsidRPr="007B25AE">
        <w:rPr>
          <w:rFonts w:ascii="Baskerville" w:eastAsia="MS PMincho" w:hAnsi="Baskerville" w:cs="Arabic Typesetting"/>
        </w:rPr>
        <w:t>public</w:t>
      </w:r>
      <w:r w:rsidR="006052F6" w:rsidRPr="007B25AE">
        <w:rPr>
          <w:rFonts w:ascii="Baskerville" w:eastAsia="MS PMincho" w:hAnsi="Baskerville" w:cs="Arabic Typesetting"/>
        </w:rPr>
        <w:t>-</w:t>
      </w:r>
      <w:r w:rsidR="00F15B80" w:rsidRPr="007B25AE">
        <w:rPr>
          <w:rFonts w:ascii="Baskerville" w:eastAsia="MS PMincho" w:hAnsi="Baskerville" w:cs="Arabic Typesetting"/>
        </w:rPr>
        <w:t>school teaching force was drawn primarily from</w:t>
      </w:r>
      <w:r w:rsidR="00D17225" w:rsidRPr="007B25AE">
        <w:rPr>
          <w:rFonts w:ascii="Baskerville" w:eastAsia="MS PMincho" w:hAnsi="Baskerville" w:cs="Arabic Typesetting"/>
        </w:rPr>
        <w:t xml:space="preserve"> </w:t>
      </w:r>
      <w:r w:rsidR="006A4260" w:rsidRPr="007B25AE">
        <w:rPr>
          <w:rFonts w:ascii="Baskerville" w:eastAsia="MS PMincho" w:hAnsi="Baskerville" w:cs="Arabic Typesetting"/>
        </w:rPr>
        <w:t xml:space="preserve">teachers who were certified in the </w:t>
      </w:r>
      <w:r w:rsidR="00D17225" w:rsidRPr="007B25AE">
        <w:rPr>
          <w:rFonts w:ascii="Baskerville" w:eastAsia="MS PMincho" w:hAnsi="Baskerville" w:cs="Arabic Typesetting"/>
        </w:rPr>
        <w:t xml:space="preserve">traditional </w:t>
      </w:r>
      <w:r w:rsidR="006A4260" w:rsidRPr="007B25AE">
        <w:rPr>
          <w:rFonts w:ascii="Baskerville" w:eastAsia="MS PMincho" w:hAnsi="Baskerville" w:cs="Arabic Typesetting"/>
        </w:rPr>
        <w:t>way</w:t>
      </w:r>
      <w:r w:rsidR="00D17225" w:rsidRPr="007B25AE">
        <w:rPr>
          <w:rFonts w:ascii="Baskerville" w:eastAsia="MS PMincho" w:hAnsi="Baskerville" w:cs="Arabic Typesetting"/>
        </w:rPr>
        <w:t xml:space="preserve"> (</w:t>
      </w:r>
      <w:r w:rsidR="00966EB3" w:rsidRPr="007B25AE">
        <w:rPr>
          <w:rFonts w:ascii="Baskerville" w:eastAsia="MS PMincho" w:hAnsi="Baskerville" w:cs="Arabic Typesetting"/>
        </w:rPr>
        <w:t xml:space="preserve">the </w:t>
      </w:r>
      <w:r w:rsidR="00D17225" w:rsidRPr="007B25AE">
        <w:rPr>
          <w:rFonts w:ascii="Baskerville" w:eastAsia="MS PMincho" w:hAnsi="Baskerville" w:cs="Arabic Typesetting"/>
        </w:rPr>
        <w:t>NFT)</w:t>
      </w:r>
      <w:r w:rsidR="006052F6" w:rsidRPr="007B25AE">
        <w:rPr>
          <w:rFonts w:ascii="Baskerville" w:eastAsia="MS PMincho" w:hAnsi="Baskerville" w:cs="Arabic Typesetting"/>
        </w:rPr>
        <w:t>. Th</w:t>
      </w:r>
      <w:r w:rsidR="0064203C" w:rsidRPr="007B25AE">
        <w:rPr>
          <w:rFonts w:ascii="Baskerville" w:eastAsia="MS PMincho" w:hAnsi="Baskerville" w:cs="Arabic Typesetting"/>
        </w:rPr>
        <w:t>is</w:t>
      </w:r>
      <w:r w:rsidR="006052F6" w:rsidRPr="007B25AE">
        <w:rPr>
          <w:rFonts w:ascii="Baskerville" w:eastAsia="MS PMincho" w:hAnsi="Baskerville" w:cs="Arabic Typesetting"/>
        </w:rPr>
        <w:t xml:space="preserve"> new</w:t>
      </w:r>
      <w:r w:rsidR="00966EB3" w:rsidRPr="007B25AE">
        <w:rPr>
          <w:rFonts w:ascii="Baskerville" w:eastAsia="MS PMincho" w:hAnsi="Baskerville" w:cs="Arabic Typesetting"/>
        </w:rPr>
        <w:t xml:space="preserve"> </w:t>
      </w:r>
      <w:r w:rsidR="006052F6" w:rsidRPr="007B25AE">
        <w:rPr>
          <w:rFonts w:ascii="Baskerville" w:eastAsia="MS PMincho" w:hAnsi="Baskerville" w:cs="Arabic Typesetting"/>
        </w:rPr>
        <w:t xml:space="preserve">strategy was to devise </w:t>
      </w:r>
      <w:r w:rsidR="0064203C" w:rsidRPr="007B25AE">
        <w:rPr>
          <w:rFonts w:ascii="Baskerville" w:eastAsia="MS PMincho" w:hAnsi="Baskerville" w:cs="Arabic Typesetting"/>
        </w:rPr>
        <w:t>to</w:t>
      </w:r>
      <w:r w:rsidR="006052F6" w:rsidRPr="007B25AE">
        <w:rPr>
          <w:rFonts w:ascii="Baskerville" w:eastAsia="MS PMincho" w:hAnsi="Baskerville" w:cs="Arabic Typesetting"/>
        </w:rPr>
        <w:t xml:space="preserve"> </w:t>
      </w:r>
      <w:r w:rsidR="0064203C" w:rsidRPr="007B25AE">
        <w:rPr>
          <w:rFonts w:ascii="Baskerville" w:eastAsia="MS PMincho" w:hAnsi="Baskerville" w:cs="Arabic Typesetting"/>
        </w:rPr>
        <w:t xml:space="preserve">create a </w:t>
      </w:r>
      <w:r w:rsidR="006052F6" w:rsidRPr="007B25AE">
        <w:rPr>
          <w:rFonts w:ascii="Baskerville" w:eastAsia="MS PMincho" w:hAnsi="Baskerville" w:cs="Arabic Typesetting"/>
        </w:rPr>
        <w:t xml:space="preserve">system whereby </w:t>
      </w:r>
      <w:r w:rsidR="00966EB3" w:rsidRPr="007B25AE">
        <w:rPr>
          <w:rFonts w:ascii="Baskerville" w:eastAsia="MS PMincho" w:hAnsi="Baskerville" w:cs="Arabic Typesetting"/>
        </w:rPr>
        <w:t>those</w:t>
      </w:r>
      <w:r w:rsidR="00D17225" w:rsidRPr="007B25AE">
        <w:rPr>
          <w:rFonts w:ascii="Baskerville" w:eastAsia="MS PMincho" w:hAnsi="Baskerville" w:cs="Arabic Typesetting"/>
        </w:rPr>
        <w:t xml:space="preserve"> who</w:t>
      </w:r>
      <w:r w:rsidRPr="007B25AE">
        <w:rPr>
          <w:rFonts w:ascii="Baskerville" w:eastAsia="MS PMincho" w:hAnsi="Baskerville" w:cs="Arabic Typesetting"/>
        </w:rPr>
        <w:t>m</w:t>
      </w:r>
      <w:r w:rsidR="00D17225" w:rsidRPr="007B25AE">
        <w:rPr>
          <w:rFonts w:ascii="Baskerville" w:eastAsia="MS PMincho" w:hAnsi="Baskerville" w:cs="Arabic Typesetting"/>
        </w:rPr>
        <w:t xml:space="preserve"> </w:t>
      </w:r>
      <w:r w:rsidR="006052F6" w:rsidRPr="007B25AE">
        <w:rPr>
          <w:rFonts w:ascii="Baskerville" w:eastAsia="MS PMincho" w:hAnsi="Baskerville" w:cs="Arabic Typesetting"/>
        </w:rPr>
        <w:t>the DOE</w:t>
      </w:r>
      <w:r w:rsidR="00D17225" w:rsidRPr="007B25AE">
        <w:rPr>
          <w:rFonts w:ascii="Baskerville" w:eastAsia="MS PMincho" w:hAnsi="Baskerville" w:cs="Arabic Typesetting"/>
        </w:rPr>
        <w:t xml:space="preserve"> </w:t>
      </w:r>
      <w:r w:rsidR="006052F6" w:rsidRPr="007B25AE">
        <w:rPr>
          <w:rFonts w:ascii="Baskerville" w:eastAsia="MS PMincho" w:hAnsi="Baskerville" w:cs="Arabic Typesetting"/>
        </w:rPr>
        <w:t>saw as less effective old hats, that routinely came in through the traditional channel</w:t>
      </w:r>
      <w:r w:rsidR="0064203C" w:rsidRPr="007B25AE">
        <w:rPr>
          <w:rFonts w:ascii="Baskerville" w:eastAsia="MS PMincho" w:hAnsi="Baskerville" w:cs="Arabic Typesetting"/>
        </w:rPr>
        <w:t>,</w:t>
      </w:r>
      <w:r w:rsidR="006052F6" w:rsidRPr="007B25AE">
        <w:rPr>
          <w:rFonts w:ascii="Baskerville" w:eastAsia="MS PMincho" w:hAnsi="Baskerville" w:cs="Arabic Typesetting"/>
        </w:rPr>
        <w:t xml:space="preserve"> </w:t>
      </w:r>
      <w:r w:rsidR="00966EB3" w:rsidRPr="007B25AE">
        <w:rPr>
          <w:rFonts w:ascii="Baskerville" w:eastAsia="MS PMincho" w:hAnsi="Baskerville" w:cs="Arabic Typesetting"/>
        </w:rPr>
        <w:t>would</w:t>
      </w:r>
      <w:r w:rsidR="006052F6" w:rsidRPr="007B25AE">
        <w:rPr>
          <w:rFonts w:ascii="Baskerville" w:eastAsia="MS PMincho" w:hAnsi="Baskerville" w:cs="Arabic Typesetting"/>
        </w:rPr>
        <w:t xml:space="preserve"> </w:t>
      </w:r>
      <w:r w:rsidR="00966EB3" w:rsidRPr="007B25AE">
        <w:rPr>
          <w:rFonts w:ascii="Baskerville" w:eastAsia="MS PMincho" w:hAnsi="Baskerville" w:cs="Arabic Typesetting"/>
        </w:rPr>
        <w:t xml:space="preserve">gradually </w:t>
      </w:r>
      <w:r w:rsidR="006052F6" w:rsidRPr="007B25AE">
        <w:rPr>
          <w:rFonts w:ascii="Baskerville" w:eastAsia="MS PMincho" w:hAnsi="Baskerville" w:cs="Arabic Typesetting"/>
        </w:rPr>
        <w:t xml:space="preserve">be </w:t>
      </w:r>
      <w:r w:rsidRPr="007B25AE">
        <w:rPr>
          <w:rFonts w:ascii="Baskerville" w:eastAsia="MS PMincho" w:hAnsi="Baskerville" w:cs="Arabic Typesetting"/>
        </w:rPr>
        <w:t>replace</w:t>
      </w:r>
      <w:r w:rsidR="006052F6" w:rsidRPr="007B25AE">
        <w:rPr>
          <w:rFonts w:ascii="Baskerville" w:eastAsia="MS PMincho" w:hAnsi="Baskerville" w:cs="Arabic Typesetting"/>
        </w:rPr>
        <w:t xml:space="preserve">d </w:t>
      </w:r>
      <w:r w:rsidR="0064203C" w:rsidRPr="007B25AE">
        <w:rPr>
          <w:rFonts w:ascii="Baskerville" w:eastAsia="MS PMincho" w:hAnsi="Baskerville" w:cs="Arabic Typesetting"/>
        </w:rPr>
        <w:t>by</w:t>
      </w:r>
      <w:r w:rsidR="006052F6" w:rsidRPr="007B25AE">
        <w:rPr>
          <w:rFonts w:ascii="Baskerville" w:eastAsia="MS PMincho" w:hAnsi="Baskerville" w:cs="Arabic Typesetting"/>
        </w:rPr>
        <w:t xml:space="preserve"> new</w:t>
      </w:r>
      <w:r w:rsidR="0064203C" w:rsidRPr="007B25AE">
        <w:rPr>
          <w:rFonts w:ascii="Baskerville" w:eastAsia="MS PMincho" w:hAnsi="Baskerville" w:cs="Arabic Typesetting"/>
        </w:rPr>
        <w:t>er ones</w:t>
      </w:r>
      <w:r w:rsidR="00966EB3" w:rsidRPr="007B25AE">
        <w:rPr>
          <w:rFonts w:ascii="Baskerville" w:eastAsia="MS PMincho" w:hAnsi="Baskerville" w:cs="Arabic Typesetting"/>
        </w:rPr>
        <w:t>. The</w:t>
      </w:r>
      <w:r w:rsidRPr="007B25AE">
        <w:rPr>
          <w:rFonts w:ascii="Baskerville" w:eastAsia="MS PMincho" w:hAnsi="Baskerville" w:cs="Arabic Typesetting"/>
        </w:rPr>
        <w:t xml:space="preserve"> plan lean</w:t>
      </w:r>
      <w:r w:rsidR="0064203C" w:rsidRPr="007B25AE">
        <w:rPr>
          <w:rFonts w:ascii="Baskerville" w:eastAsia="MS PMincho" w:hAnsi="Baskerville" w:cs="Arabic Typesetting"/>
        </w:rPr>
        <w:t>ed</w:t>
      </w:r>
      <w:r w:rsidRPr="007B25AE">
        <w:rPr>
          <w:rFonts w:ascii="Baskerville" w:eastAsia="MS PMincho" w:hAnsi="Baskerville" w:cs="Arabic Typesetting"/>
        </w:rPr>
        <w:t xml:space="preserve"> toward a </w:t>
      </w:r>
      <w:r w:rsidR="008C7C09" w:rsidRPr="007B25AE">
        <w:rPr>
          <w:rFonts w:ascii="Baskerville" w:eastAsia="MS PMincho" w:hAnsi="Baskerville" w:cs="Arabic Typesetting"/>
        </w:rPr>
        <w:t>“</w:t>
      </w:r>
      <w:r w:rsidRPr="007B25AE">
        <w:rPr>
          <w:rFonts w:ascii="Baskerville" w:eastAsia="MS PMincho" w:hAnsi="Baskerville" w:cs="Arabic Typesetting"/>
        </w:rPr>
        <w:t>displacement principle</w:t>
      </w:r>
      <w:r w:rsidR="008C7C09" w:rsidRPr="007B25AE">
        <w:rPr>
          <w:rFonts w:ascii="Baskerville" w:eastAsia="MS PMincho" w:hAnsi="Baskerville" w:cs="Arabic Typesetting"/>
        </w:rPr>
        <w:t>”</w:t>
      </w:r>
      <w:r w:rsidR="00966EB3" w:rsidRPr="007B25AE">
        <w:rPr>
          <w:rFonts w:ascii="Baskerville" w:eastAsia="MS PMincho" w:hAnsi="Baskerville" w:cs="Arabic Typesetting"/>
        </w:rPr>
        <w:t xml:space="preserve"> w</w:t>
      </w:r>
      <w:r w:rsidR="008C7C09" w:rsidRPr="007B25AE">
        <w:rPr>
          <w:rFonts w:ascii="Baskerville" w:eastAsia="MS PMincho" w:hAnsi="Baskerville" w:cs="Arabic Typesetting"/>
        </w:rPr>
        <w:t>h</w:t>
      </w:r>
      <w:r w:rsidR="00966EB3" w:rsidRPr="007B25AE">
        <w:rPr>
          <w:rFonts w:ascii="Baskerville" w:eastAsia="MS PMincho" w:hAnsi="Baskerville" w:cs="Arabic Typesetting"/>
        </w:rPr>
        <w:t>ere</w:t>
      </w:r>
      <w:r w:rsidR="008C7C09" w:rsidRPr="007B25AE">
        <w:rPr>
          <w:rFonts w:ascii="Baskerville" w:eastAsia="MS PMincho" w:hAnsi="Baskerville" w:cs="Arabic Typesetting"/>
        </w:rPr>
        <w:t>by</w:t>
      </w:r>
      <w:r w:rsidR="00966EB3" w:rsidRPr="007B25AE">
        <w:rPr>
          <w:rFonts w:ascii="Baskerville" w:eastAsia="MS PMincho" w:hAnsi="Baskerville" w:cs="Arabic Typesetting"/>
        </w:rPr>
        <w:t xml:space="preserve"> </w:t>
      </w:r>
      <w:r w:rsidR="0064203C" w:rsidRPr="007B25AE">
        <w:rPr>
          <w:rFonts w:ascii="Baskerville" w:eastAsia="MS PMincho" w:hAnsi="Baskerville" w:cs="Arabic Typesetting"/>
        </w:rPr>
        <w:t xml:space="preserve">“brighter” people </w:t>
      </w:r>
      <w:r w:rsidR="008C7C09" w:rsidRPr="007B25AE">
        <w:rPr>
          <w:rFonts w:ascii="Baskerville" w:eastAsia="MS PMincho" w:hAnsi="Baskerville" w:cs="Arabic Typesetting"/>
        </w:rPr>
        <w:t>would be</w:t>
      </w:r>
      <w:r w:rsidR="00422510" w:rsidRPr="007B25AE">
        <w:rPr>
          <w:rFonts w:ascii="Baskerville" w:eastAsia="MS PMincho" w:hAnsi="Baskerville" w:cs="Arabic Typesetting"/>
        </w:rPr>
        <w:t xml:space="preserve"> </w:t>
      </w:r>
      <w:r w:rsidR="00966EB3" w:rsidRPr="007B25AE">
        <w:rPr>
          <w:rFonts w:ascii="Baskerville" w:eastAsia="MS PMincho" w:hAnsi="Baskerville" w:cs="Arabic Typesetting"/>
        </w:rPr>
        <w:t xml:space="preserve">drawn </w:t>
      </w:r>
      <w:r w:rsidR="00422510" w:rsidRPr="007B25AE">
        <w:rPr>
          <w:rFonts w:ascii="Baskerville" w:eastAsia="MS PMincho" w:hAnsi="Baskerville" w:cs="Arabic Typesetting"/>
        </w:rPr>
        <w:t xml:space="preserve">from the </w:t>
      </w:r>
      <w:r w:rsidR="00966EB3" w:rsidRPr="007B25AE">
        <w:rPr>
          <w:rFonts w:ascii="Baskerville" w:eastAsia="MS PMincho" w:hAnsi="Baskerville" w:cs="Arabic Typesetting"/>
        </w:rPr>
        <w:t>industri</w:t>
      </w:r>
      <w:r w:rsidR="0064203C" w:rsidRPr="007B25AE">
        <w:rPr>
          <w:rFonts w:ascii="Baskerville" w:eastAsia="MS PMincho" w:hAnsi="Baskerville" w:cs="Arabic Typesetting"/>
        </w:rPr>
        <w:t>es</w:t>
      </w:r>
      <w:r w:rsidR="00966EB3" w:rsidRPr="007B25AE">
        <w:rPr>
          <w:rFonts w:ascii="Baskerville" w:eastAsia="MS PMincho" w:hAnsi="Baskerville" w:cs="Arabic Typesetting"/>
        </w:rPr>
        <w:t xml:space="preserve">, </w:t>
      </w:r>
      <w:r w:rsidR="00422510" w:rsidRPr="007B25AE">
        <w:rPr>
          <w:rFonts w:ascii="Baskerville" w:eastAsia="MS PMincho" w:hAnsi="Baskerville" w:cs="Arabic Typesetting"/>
        </w:rPr>
        <w:t>business</w:t>
      </w:r>
      <w:r w:rsidR="0064203C" w:rsidRPr="007B25AE">
        <w:rPr>
          <w:rFonts w:ascii="Baskerville" w:eastAsia="MS PMincho" w:hAnsi="Baskerville" w:cs="Arabic Typesetting"/>
        </w:rPr>
        <w:t>es</w:t>
      </w:r>
      <w:r w:rsidR="00422510" w:rsidRPr="007B25AE">
        <w:rPr>
          <w:rFonts w:ascii="Baskerville" w:eastAsia="MS PMincho" w:hAnsi="Baskerville" w:cs="Arabic Typesetting"/>
        </w:rPr>
        <w:t xml:space="preserve"> </w:t>
      </w:r>
      <w:r w:rsidR="00966EB3" w:rsidRPr="007B25AE">
        <w:rPr>
          <w:rFonts w:ascii="Baskerville" w:eastAsia="MS PMincho" w:hAnsi="Baskerville" w:cs="Arabic Typesetting"/>
        </w:rPr>
        <w:t xml:space="preserve">and </w:t>
      </w:r>
      <w:r w:rsidR="0064203C" w:rsidRPr="007B25AE">
        <w:rPr>
          <w:rFonts w:ascii="Baskerville" w:eastAsia="MS PMincho" w:hAnsi="Baskerville" w:cs="Arabic Typesetting"/>
        </w:rPr>
        <w:t xml:space="preserve">the </w:t>
      </w:r>
      <w:r w:rsidR="00966EB3" w:rsidRPr="007B25AE">
        <w:rPr>
          <w:rFonts w:ascii="Baskerville" w:eastAsia="MS PMincho" w:hAnsi="Baskerville" w:cs="Arabic Typesetting"/>
        </w:rPr>
        <w:t>content-rel</w:t>
      </w:r>
      <w:r w:rsidR="00B57CC2" w:rsidRPr="007B25AE">
        <w:rPr>
          <w:rFonts w:ascii="Baskerville" w:eastAsia="MS PMincho" w:hAnsi="Baskerville" w:cs="Arabic Typesetting"/>
        </w:rPr>
        <w:t xml:space="preserve">evant </w:t>
      </w:r>
      <w:r w:rsidR="00966EB3" w:rsidRPr="007B25AE">
        <w:rPr>
          <w:rFonts w:ascii="Baskerville" w:eastAsia="MS PMincho" w:hAnsi="Baskerville" w:cs="Arabic Typesetting"/>
        </w:rPr>
        <w:t xml:space="preserve">private </w:t>
      </w:r>
      <w:r w:rsidR="00422510" w:rsidRPr="007B25AE">
        <w:rPr>
          <w:rFonts w:ascii="Baskerville" w:eastAsia="MS PMincho" w:hAnsi="Baskerville" w:cs="Arabic Typesetting"/>
        </w:rPr>
        <w:t>sector</w:t>
      </w:r>
      <w:r w:rsidR="00966EB3" w:rsidRPr="007B25AE">
        <w:rPr>
          <w:rFonts w:ascii="Baskerville" w:eastAsia="MS PMincho" w:hAnsi="Baskerville" w:cs="Arabic Typesetting"/>
        </w:rPr>
        <w:t>. Te</w:t>
      </w:r>
      <w:r w:rsidR="0064203C" w:rsidRPr="007B25AE">
        <w:rPr>
          <w:rFonts w:ascii="Baskerville" w:eastAsia="MS PMincho" w:hAnsi="Baskerville" w:cs="Arabic Typesetting"/>
        </w:rPr>
        <w:t>achers from this source</w:t>
      </w:r>
      <w:r w:rsidR="00966EB3" w:rsidRPr="007B25AE">
        <w:rPr>
          <w:rFonts w:ascii="Baskerville" w:eastAsia="MS PMincho" w:hAnsi="Baskerville" w:cs="Arabic Typesetting"/>
        </w:rPr>
        <w:t xml:space="preserve"> were</w:t>
      </w:r>
      <w:r w:rsidR="00422510" w:rsidRPr="007B25AE">
        <w:rPr>
          <w:rFonts w:ascii="Baskerville" w:eastAsia="MS PMincho" w:hAnsi="Baskerville" w:cs="Arabic Typesetting"/>
        </w:rPr>
        <w:t xml:space="preserve"> called the </w:t>
      </w:r>
      <w:r w:rsidR="0064203C" w:rsidRPr="007B25AE">
        <w:rPr>
          <w:rFonts w:ascii="Baskerville" w:eastAsia="MS PMincho" w:hAnsi="Baskerville" w:cs="Arabic Typesetting"/>
        </w:rPr>
        <w:t>“</w:t>
      </w:r>
      <w:r w:rsidR="00422510" w:rsidRPr="007B25AE">
        <w:rPr>
          <w:rFonts w:ascii="Baskerville" w:eastAsia="MS PMincho" w:hAnsi="Baskerville" w:cs="Arabic Typesetting"/>
        </w:rPr>
        <w:t>Teaching Fellows</w:t>
      </w:r>
      <w:r w:rsidR="0064203C" w:rsidRPr="007B25AE">
        <w:rPr>
          <w:rFonts w:ascii="Baskerville" w:eastAsia="MS PMincho" w:hAnsi="Baskerville" w:cs="Arabic Typesetting"/>
        </w:rPr>
        <w:t>”</w:t>
      </w:r>
      <w:r w:rsidR="00422510" w:rsidRPr="007B25AE">
        <w:rPr>
          <w:rFonts w:ascii="Baskerville" w:eastAsia="MS PMincho" w:hAnsi="Baskerville" w:cs="Arabic Typesetting"/>
        </w:rPr>
        <w:t xml:space="preserve"> (TF</w:t>
      </w:r>
      <w:r w:rsidR="008C7C09" w:rsidRPr="007B25AE">
        <w:rPr>
          <w:rFonts w:ascii="Baskerville" w:eastAsia="MS PMincho" w:hAnsi="Baskerville" w:cs="Arabic Typesetting"/>
        </w:rPr>
        <w:t>s</w:t>
      </w:r>
      <w:r w:rsidR="00422510" w:rsidRPr="007B25AE">
        <w:rPr>
          <w:rFonts w:ascii="Baskerville" w:eastAsia="MS PMincho" w:hAnsi="Baskerville" w:cs="Arabic Typesetting"/>
        </w:rPr>
        <w:t xml:space="preserve">). </w:t>
      </w:r>
      <w:r w:rsidR="0064203C" w:rsidRPr="007B25AE">
        <w:rPr>
          <w:rFonts w:ascii="Baskerville" w:eastAsia="MS PMincho" w:hAnsi="Baskerville" w:cs="Arabic Typesetting"/>
        </w:rPr>
        <w:t xml:space="preserve">And </w:t>
      </w:r>
      <w:proofErr w:type="gramStart"/>
      <w:r w:rsidR="0064203C" w:rsidRPr="007B25AE">
        <w:rPr>
          <w:rFonts w:ascii="Baskerville" w:eastAsia="MS PMincho" w:hAnsi="Baskerville" w:cs="Arabic Typesetting"/>
        </w:rPr>
        <w:t>of course</w:t>
      </w:r>
      <w:proofErr w:type="gramEnd"/>
      <w:r w:rsidR="0064203C" w:rsidRPr="007B25AE">
        <w:rPr>
          <w:rFonts w:ascii="Baskerville" w:eastAsia="MS PMincho" w:hAnsi="Baskerville" w:cs="Arabic Typesetting"/>
        </w:rPr>
        <w:t xml:space="preserve"> </w:t>
      </w:r>
      <w:r w:rsidR="00225FD4" w:rsidRPr="007B25AE">
        <w:rPr>
          <w:rFonts w:ascii="Baskerville" w:eastAsia="MS PMincho" w:hAnsi="Baskerville" w:cs="Arabic Typesetting"/>
        </w:rPr>
        <w:t>there were those recruited from</w:t>
      </w:r>
      <w:r w:rsidR="00422510" w:rsidRPr="007B25AE">
        <w:rPr>
          <w:rFonts w:ascii="Baskerville" w:eastAsia="MS PMincho" w:hAnsi="Baskerville" w:cs="Arabic Typesetting"/>
        </w:rPr>
        <w:t xml:space="preserve"> the Ivy leagues</w:t>
      </w:r>
      <w:r w:rsidR="00225FD4" w:rsidRPr="007B25AE">
        <w:rPr>
          <w:rFonts w:ascii="Baskerville" w:eastAsia="MS PMincho" w:hAnsi="Baskerville" w:cs="Arabic Typesetting"/>
        </w:rPr>
        <w:t xml:space="preserve"> under the classification, “</w:t>
      </w:r>
      <w:r w:rsidR="00422510" w:rsidRPr="007B25AE">
        <w:rPr>
          <w:rFonts w:ascii="Baskerville" w:eastAsia="MS PMincho" w:hAnsi="Baskerville" w:cs="Arabic Typesetting"/>
        </w:rPr>
        <w:t>Teach for America</w:t>
      </w:r>
      <w:r w:rsidR="00225FD4" w:rsidRPr="007B25AE">
        <w:rPr>
          <w:rFonts w:ascii="Baskerville" w:eastAsia="MS PMincho" w:hAnsi="Baskerville" w:cs="Arabic Typesetting"/>
        </w:rPr>
        <w:t>”</w:t>
      </w:r>
      <w:r w:rsidR="00422510" w:rsidRPr="007B25AE">
        <w:rPr>
          <w:rFonts w:ascii="Baskerville" w:eastAsia="MS PMincho" w:hAnsi="Baskerville" w:cs="Arabic Typesetting"/>
        </w:rPr>
        <w:t xml:space="preserve"> (TFA)</w:t>
      </w:r>
      <w:r w:rsidR="00B57CC2" w:rsidRPr="007B25AE">
        <w:rPr>
          <w:rFonts w:ascii="Baskerville" w:eastAsia="MS PMincho" w:hAnsi="Baskerville" w:cs="Arabic Typesetting"/>
        </w:rPr>
        <w:t xml:space="preserve"> ( </w:t>
      </w:r>
      <w:proofErr w:type="spellStart"/>
      <w:r w:rsidR="00B57CC2" w:rsidRPr="007B25AE">
        <w:rPr>
          <w:rFonts w:ascii="Baskerville" w:eastAsia="MS PMincho" w:hAnsi="Baskerville" w:cs="Arabic Typesetting"/>
        </w:rPr>
        <w:t>Ogundimu</w:t>
      </w:r>
      <w:proofErr w:type="spellEnd"/>
      <w:r w:rsidR="00B57CC2" w:rsidRPr="007B25AE">
        <w:rPr>
          <w:rFonts w:ascii="Baskerville" w:eastAsia="MS PMincho" w:hAnsi="Baskerville" w:cs="Arabic Typesetting"/>
        </w:rPr>
        <w:t>, 2014, p.25)</w:t>
      </w:r>
      <w:r w:rsidR="00422510" w:rsidRPr="007B25AE">
        <w:rPr>
          <w:rFonts w:ascii="Baskerville" w:eastAsia="MS PMincho" w:hAnsi="Baskerville" w:cs="Arabic Typesetting"/>
        </w:rPr>
        <w:t xml:space="preserve">. </w:t>
      </w:r>
      <w:r w:rsidR="00D44028" w:rsidRPr="007B25AE">
        <w:rPr>
          <w:rFonts w:ascii="Baskerville" w:eastAsia="MS PMincho" w:hAnsi="Baskerville" w:cs="Arabic Typesetting"/>
        </w:rPr>
        <w:t>The fourth Level 2 Heading</w:t>
      </w:r>
      <w:r w:rsidR="00D17225" w:rsidRPr="007B25AE">
        <w:rPr>
          <w:rFonts w:ascii="Baskerville" w:eastAsia="MS PMincho" w:hAnsi="Baskerville" w:cs="Arabic Typesetting"/>
        </w:rPr>
        <w:t xml:space="preserve"> </w:t>
      </w:r>
      <w:r w:rsidR="00D44028" w:rsidRPr="007B25AE">
        <w:rPr>
          <w:rFonts w:ascii="Baskerville" w:eastAsia="MS PMincho" w:hAnsi="Baskerville" w:cs="Arabic Typesetting"/>
        </w:rPr>
        <w:t xml:space="preserve">in </w:t>
      </w:r>
      <w:r w:rsidR="00225FD4" w:rsidRPr="007B25AE">
        <w:rPr>
          <w:rFonts w:ascii="Baskerville" w:eastAsia="MS PMincho" w:hAnsi="Baskerville" w:cs="Arabic Typesetting"/>
        </w:rPr>
        <w:t xml:space="preserve">his </w:t>
      </w:r>
      <w:r w:rsidR="00D44028" w:rsidRPr="007B25AE">
        <w:rPr>
          <w:rFonts w:ascii="Baskerville" w:eastAsia="MS PMincho" w:hAnsi="Baskerville" w:cs="Arabic Typesetting"/>
        </w:rPr>
        <w:t>Literature Review</w:t>
      </w:r>
      <w:r w:rsidR="000D5B8A" w:rsidRPr="007B25AE">
        <w:rPr>
          <w:rFonts w:ascii="Baskerville" w:eastAsia="MS PMincho" w:hAnsi="Baskerville" w:cs="Arabic Typesetting"/>
        </w:rPr>
        <w:t xml:space="preserve"> </w:t>
      </w:r>
      <w:r w:rsidR="00D44028" w:rsidRPr="007B25AE">
        <w:rPr>
          <w:rFonts w:ascii="Baskerville" w:eastAsia="MS PMincho" w:hAnsi="Baskerville" w:cs="Arabic Typesetting"/>
        </w:rPr>
        <w:t xml:space="preserve">was </w:t>
      </w:r>
      <w:r w:rsidR="00BA2769" w:rsidRPr="007B25AE">
        <w:rPr>
          <w:rFonts w:ascii="Baskerville" w:eastAsia="MS PMincho" w:hAnsi="Baskerville" w:cs="Arabic Typesetting"/>
        </w:rPr>
        <w:t>“Aggregate Teacher Supply, Demand, and Turnover.”</w:t>
      </w:r>
    </w:p>
    <w:p w14:paraId="66FE5D20" w14:textId="0764EC71" w:rsidR="001105E9" w:rsidRPr="007B25AE" w:rsidRDefault="00225FD4" w:rsidP="00225FD4">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Here, </w:t>
      </w:r>
      <w:proofErr w:type="spellStart"/>
      <w:r w:rsidR="00BC33DD" w:rsidRPr="007B25AE">
        <w:rPr>
          <w:rFonts w:ascii="Baskerville" w:eastAsia="MS PMincho" w:hAnsi="Baskerville" w:cs="Arabic Typesetting"/>
        </w:rPr>
        <w:t>Ogundimu</w:t>
      </w:r>
      <w:proofErr w:type="spellEnd"/>
      <w:r w:rsidR="00BC33DD" w:rsidRPr="007B25AE">
        <w:rPr>
          <w:rFonts w:ascii="Baskerville" w:eastAsia="MS PMincho" w:hAnsi="Baskerville" w:cs="Arabic Typesetting"/>
        </w:rPr>
        <w:t xml:space="preserve"> introduces this segment as a major </w:t>
      </w:r>
      <w:r w:rsidR="00BC33DD" w:rsidRPr="007B25AE">
        <w:rPr>
          <w:rFonts w:ascii="Baskerville" w:eastAsia="MS PMincho" w:hAnsi="Baskerville" w:cs="Arabic Typesetting"/>
          <w:color w:val="FF0000"/>
        </w:rPr>
        <w:t>gap</w:t>
      </w:r>
      <w:r w:rsidR="00BC33DD" w:rsidRPr="007B25AE">
        <w:rPr>
          <w:rFonts w:ascii="Baskerville" w:eastAsia="MS PMincho" w:hAnsi="Baskerville" w:cs="Arabic Typesetting"/>
        </w:rPr>
        <w:t xml:space="preserve"> in the</w:t>
      </w:r>
      <w:r w:rsidR="000F62C0" w:rsidRPr="007B25AE">
        <w:rPr>
          <w:rFonts w:ascii="Baskerville" w:eastAsia="MS PMincho" w:hAnsi="Baskerville" w:cs="Arabic Typesetting"/>
        </w:rPr>
        <w:t xml:space="preserve"> </w:t>
      </w:r>
      <w:r w:rsidR="00320E27" w:rsidRPr="007B25AE">
        <w:rPr>
          <w:rFonts w:ascii="Baskerville" w:eastAsia="MS PMincho" w:hAnsi="Baskerville" w:cs="Arabic Typesetting"/>
        </w:rPr>
        <w:t xml:space="preserve">research on </w:t>
      </w:r>
      <w:r w:rsidR="000F62C0" w:rsidRPr="007B25AE">
        <w:rPr>
          <w:rFonts w:ascii="Baskerville" w:eastAsia="MS PMincho" w:hAnsi="Baskerville" w:cs="Arabic Typesetting"/>
        </w:rPr>
        <w:t>teacher retention</w:t>
      </w:r>
      <w:r w:rsidR="00320E27" w:rsidRPr="007B25AE">
        <w:rPr>
          <w:rFonts w:ascii="Baskerville" w:eastAsia="MS PMincho" w:hAnsi="Baskerville" w:cs="Arabic Typesetting"/>
        </w:rPr>
        <w:t xml:space="preserve"> versus teacher mode of entry</w:t>
      </w:r>
      <w:r w:rsidR="000F62C0" w:rsidRPr="007B25AE">
        <w:rPr>
          <w:rFonts w:ascii="Baskerville" w:eastAsia="MS PMincho" w:hAnsi="Baskerville" w:cs="Arabic Typesetting"/>
        </w:rPr>
        <w:t xml:space="preserve"> </w:t>
      </w:r>
      <w:r w:rsidR="00320E27" w:rsidRPr="007B25AE">
        <w:rPr>
          <w:rFonts w:ascii="Baskerville" w:eastAsia="MS PMincho" w:hAnsi="Baskerville" w:cs="Arabic Typesetting"/>
        </w:rPr>
        <w:t>into the profession</w:t>
      </w:r>
      <w:r w:rsidR="000F62C0" w:rsidRPr="007B25AE">
        <w:rPr>
          <w:rFonts w:ascii="Baskerville" w:eastAsia="MS PMincho" w:hAnsi="Baskerville" w:cs="Arabic Typesetting"/>
        </w:rPr>
        <w:t xml:space="preserve">. </w:t>
      </w:r>
      <w:r w:rsidR="003E7778" w:rsidRPr="007B25AE">
        <w:rPr>
          <w:rFonts w:ascii="Baskerville" w:eastAsia="MS PMincho" w:hAnsi="Baskerville" w:cs="Arabic Typesetting"/>
        </w:rPr>
        <w:t xml:space="preserve">He writes that </w:t>
      </w:r>
      <w:r w:rsidR="00320E27" w:rsidRPr="007B25AE">
        <w:rPr>
          <w:rFonts w:ascii="Baskerville" w:eastAsia="MS PMincho" w:hAnsi="Baskerville" w:cs="Arabic Typesetting"/>
        </w:rPr>
        <w:t xml:space="preserve">while </w:t>
      </w:r>
      <w:r w:rsidR="003E7778" w:rsidRPr="007B25AE">
        <w:rPr>
          <w:rFonts w:ascii="Baskerville" w:eastAsia="MS PMincho" w:hAnsi="Baskerville" w:cs="Arabic Typesetting"/>
        </w:rPr>
        <w:t>the tension between teacher-retention and the mode of teacher-entry</w:t>
      </w:r>
      <w:r w:rsidR="00320E27" w:rsidRPr="007B25AE">
        <w:rPr>
          <w:rFonts w:ascii="Baskerville" w:eastAsia="MS PMincho" w:hAnsi="Baskerville" w:cs="Arabic Typesetting"/>
        </w:rPr>
        <w:t xml:space="preserve"> </w:t>
      </w:r>
      <w:r w:rsidR="003E7778" w:rsidRPr="007B25AE">
        <w:rPr>
          <w:rFonts w:ascii="Baskerville" w:eastAsia="MS PMincho" w:hAnsi="Baskerville" w:cs="Arabic Typesetting"/>
        </w:rPr>
        <w:t xml:space="preserve">into the profession </w:t>
      </w:r>
      <w:r w:rsidRPr="007B25AE">
        <w:rPr>
          <w:rFonts w:ascii="Baskerville" w:eastAsia="MS PMincho" w:hAnsi="Baskerville" w:cs="Arabic Typesetting"/>
        </w:rPr>
        <w:t>was real</w:t>
      </w:r>
      <w:r w:rsidR="00320E27" w:rsidRPr="007B25AE">
        <w:rPr>
          <w:rFonts w:ascii="Baskerville" w:eastAsia="MS PMincho" w:hAnsi="Baskerville" w:cs="Arabic Typesetting"/>
        </w:rPr>
        <w:t xml:space="preserve">, </w:t>
      </w:r>
      <w:r w:rsidR="003A16FD" w:rsidRPr="007B25AE">
        <w:rPr>
          <w:rFonts w:ascii="Baskerville" w:eastAsia="MS PMincho" w:hAnsi="Baskerville" w:cs="Arabic Typesetting"/>
        </w:rPr>
        <w:t>t</w:t>
      </w:r>
      <w:r w:rsidRPr="007B25AE">
        <w:rPr>
          <w:rFonts w:ascii="Baskerville" w:eastAsia="MS PMincho" w:hAnsi="Baskerville" w:cs="Arabic Typesetting"/>
        </w:rPr>
        <w:t>he</w:t>
      </w:r>
      <w:r w:rsidR="003A16FD" w:rsidRPr="007B25AE">
        <w:rPr>
          <w:rFonts w:ascii="Baskerville" w:eastAsia="MS PMincho" w:hAnsi="Baskerville" w:cs="Arabic Typesetting"/>
        </w:rPr>
        <w:t>re</w:t>
      </w:r>
      <w:r w:rsidRPr="007B25AE">
        <w:rPr>
          <w:rFonts w:ascii="Baskerville" w:eastAsia="MS PMincho" w:hAnsi="Baskerville" w:cs="Arabic Typesetting"/>
        </w:rPr>
        <w:t xml:space="preserve"> </w:t>
      </w:r>
      <w:r w:rsidR="003A16FD" w:rsidRPr="007B25AE">
        <w:rPr>
          <w:rFonts w:ascii="Baskerville" w:eastAsia="MS PMincho" w:hAnsi="Baskerville" w:cs="Arabic Typesetting"/>
        </w:rPr>
        <w:t>was</w:t>
      </w:r>
      <w:r w:rsidRPr="007B25AE">
        <w:rPr>
          <w:rFonts w:ascii="Baskerville" w:eastAsia="MS PMincho" w:hAnsi="Baskerville" w:cs="Arabic Typesetting"/>
        </w:rPr>
        <w:t xml:space="preserve"> </w:t>
      </w:r>
      <w:r w:rsidR="00320E27" w:rsidRPr="007B25AE">
        <w:rPr>
          <w:rFonts w:ascii="Baskerville" w:eastAsia="MS PMincho" w:hAnsi="Baskerville" w:cs="Arabic Typesetting"/>
        </w:rPr>
        <w:t xml:space="preserve">precious little research available in the area. </w:t>
      </w:r>
      <w:r w:rsidR="000F62C0" w:rsidRPr="007B25AE">
        <w:rPr>
          <w:rFonts w:ascii="Baskerville" w:eastAsia="MS PMincho" w:hAnsi="Baskerville" w:cs="Arabic Typesetting"/>
        </w:rPr>
        <w:t>A</w:t>
      </w:r>
      <w:r w:rsidRPr="007B25AE">
        <w:rPr>
          <w:rFonts w:ascii="Baskerville" w:eastAsia="MS PMincho" w:hAnsi="Baskerville" w:cs="Arabic Typesetting"/>
        </w:rPr>
        <w:t>nd, a</w:t>
      </w:r>
      <w:r w:rsidR="000F62C0" w:rsidRPr="007B25AE">
        <w:rPr>
          <w:rFonts w:ascii="Baskerville" w:eastAsia="MS PMincho" w:hAnsi="Baskerville" w:cs="Arabic Typesetting"/>
        </w:rPr>
        <w:t>s such, he propose</w:t>
      </w:r>
      <w:r w:rsidR="00391799" w:rsidRPr="007B25AE">
        <w:rPr>
          <w:rFonts w:ascii="Baskerville" w:eastAsia="MS PMincho" w:hAnsi="Baskerville" w:cs="Arabic Typesetting"/>
        </w:rPr>
        <w:t>d</w:t>
      </w:r>
      <w:r w:rsidR="000F62C0" w:rsidRPr="007B25AE">
        <w:rPr>
          <w:rFonts w:ascii="Baskerville" w:eastAsia="MS PMincho" w:hAnsi="Baskerville" w:cs="Arabic Typesetting"/>
        </w:rPr>
        <w:t xml:space="preserve"> that the two be treated as </w:t>
      </w:r>
      <w:r w:rsidRPr="007B25AE">
        <w:rPr>
          <w:rFonts w:ascii="Baskerville" w:eastAsia="MS PMincho" w:hAnsi="Baskerville" w:cs="Arabic Typesetting"/>
        </w:rPr>
        <w:t xml:space="preserve">being </w:t>
      </w:r>
      <w:r w:rsidR="000F62C0" w:rsidRPr="007B25AE">
        <w:rPr>
          <w:rFonts w:ascii="Baskerville" w:eastAsia="MS PMincho" w:hAnsi="Baskerville" w:cs="Arabic Typesetting"/>
        </w:rPr>
        <w:t xml:space="preserve">complementary to one another. </w:t>
      </w:r>
      <w:r w:rsidRPr="007B25AE">
        <w:rPr>
          <w:rFonts w:ascii="Baskerville" w:eastAsia="MS PMincho" w:hAnsi="Baskerville" w:cs="Arabic Typesetting"/>
        </w:rPr>
        <w:t>In</w:t>
      </w:r>
      <w:r w:rsidR="001105E9" w:rsidRPr="007B25AE">
        <w:rPr>
          <w:rFonts w:ascii="Baskerville" w:eastAsia="MS PMincho" w:hAnsi="Baskerville" w:cs="Arabic Typesetting"/>
        </w:rPr>
        <w:t xml:space="preserve"> </w:t>
      </w:r>
      <w:r w:rsidR="000F62C0" w:rsidRPr="007B25AE">
        <w:rPr>
          <w:rFonts w:ascii="Baskerville" w:eastAsia="MS PMincho" w:hAnsi="Baskerville" w:cs="Arabic Typesetting"/>
        </w:rPr>
        <w:t xml:space="preserve">my thinking, however, their relationship </w:t>
      </w:r>
      <w:r w:rsidRPr="007B25AE">
        <w:rPr>
          <w:rFonts w:ascii="Baskerville" w:eastAsia="MS PMincho" w:hAnsi="Baskerville" w:cs="Arabic Typesetting"/>
        </w:rPr>
        <w:t>appeared</w:t>
      </w:r>
      <w:r w:rsidR="000F62C0" w:rsidRPr="007B25AE">
        <w:rPr>
          <w:rFonts w:ascii="Baskerville" w:eastAsia="MS PMincho" w:hAnsi="Baskerville" w:cs="Arabic Typesetting"/>
        </w:rPr>
        <w:t xml:space="preserve"> to be more “inverse” than “complementary.” </w:t>
      </w:r>
    </w:p>
    <w:p w14:paraId="04136D74" w14:textId="6B2D00C1" w:rsidR="00E22B66" w:rsidRPr="007B25AE" w:rsidRDefault="001105E9"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In 2003, the National Commission o</w:t>
      </w:r>
      <w:r w:rsidR="00B8094F" w:rsidRPr="007B25AE">
        <w:rPr>
          <w:rFonts w:ascii="Baskerville" w:eastAsia="MS PMincho" w:hAnsi="Baskerville" w:cs="Arabic Typesetting"/>
        </w:rPr>
        <w:t>f</w:t>
      </w:r>
      <w:r w:rsidRPr="007B25AE">
        <w:rPr>
          <w:rFonts w:ascii="Baskerville" w:eastAsia="MS PMincho" w:hAnsi="Baskerville" w:cs="Arabic Typesetting"/>
        </w:rPr>
        <w:t xml:space="preserve"> Teaching and America’s Future (NCTAF) and the National Education Association (NEA) </w:t>
      </w:r>
      <w:r w:rsidR="00B8094F" w:rsidRPr="007B25AE">
        <w:rPr>
          <w:rFonts w:ascii="Baskerville" w:eastAsia="MS PMincho" w:hAnsi="Baskerville" w:cs="Arabic Typesetting"/>
        </w:rPr>
        <w:t xml:space="preserve">reported that of America’s </w:t>
      </w:r>
      <w:proofErr w:type="gramStart"/>
      <w:r w:rsidR="00B8094F" w:rsidRPr="007B25AE">
        <w:rPr>
          <w:rFonts w:ascii="Baskerville" w:eastAsia="MS PMincho" w:hAnsi="Baskerville" w:cs="Arabic Typesetting"/>
        </w:rPr>
        <w:t>155.3 million person</w:t>
      </w:r>
      <w:proofErr w:type="gramEnd"/>
      <w:r w:rsidR="00B8094F" w:rsidRPr="007B25AE">
        <w:rPr>
          <w:rFonts w:ascii="Baskerville" w:eastAsia="MS PMincho" w:hAnsi="Baskerville" w:cs="Arabic Typesetting"/>
        </w:rPr>
        <w:t xml:space="preserve"> workforce</w:t>
      </w:r>
      <w:r w:rsidR="005A5EE1" w:rsidRPr="007B25AE">
        <w:rPr>
          <w:rFonts w:ascii="Baskerville" w:eastAsia="MS PMincho" w:hAnsi="Baskerville" w:cs="Arabic Typesetting"/>
        </w:rPr>
        <w:t>,</w:t>
      </w:r>
      <w:r w:rsidR="00B8094F" w:rsidRPr="007B25AE">
        <w:rPr>
          <w:rFonts w:ascii="Baskerville" w:eastAsia="MS PMincho" w:hAnsi="Baskerville" w:cs="Arabic Typesetting"/>
        </w:rPr>
        <w:t xml:space="preserve"> </w:t>
      </w:r>
      <w:r w:rsidR="003A16FD" w:rsidRPr="007B25AE">
        <w:rPr>
          <w:rFonts w:ascii="Baskerville" w:eastAsia="MS PMincho" w:hAnsi="Baskerville" w:cs="Arabic Typesetting"/>
        </w:rPr>
        <w:t xml:space="preserve">only </w:t>
      </w:r>
      <w:r w:rsidR="00B8094F" w:rsidRPr="007B25AE">
        <w:rPr>
          <w:rFonts w:ascii="Baskerville" w:eastAsia="MS PMincho" w:hAnsi="Baskerville" w:cs="Arabic Typesetting"/>
        </w:rPr>
        <w:t>4% (6.2 million) were teachers.  This was the largest teacher-workforce to date</w:t>
      </w:r>
      <w:r w:rsidR="00B57CC2" w:rsidRPr="007B25AE">
        <w:rPr>
          <w:rFonts w:ascii="Baskerville" w:eastAsia="MS PMincho" w:hAnsi="Baskerville" w:cs="Arabic Typesetting"/>
        </w:rPr>
        <w:t xml:space="preserve"> (NCTAF &amp; NEA, 2003)</w:t>
      </w:r>
      <w:r w:rsidR="00B8094F" w:rsidRPr="007B25AE">
        <w:rPr>
          <w:rFonts w:ascii="Baskerville" w:eastAsia="MS PMincho" w:hAnsi="Baskerville" w:cs="Arabic Typesetting"/>
        </w:rPr>
        <w:t xml:space="preserve">. And in addition to the </w:t>
      </w:r>
      <w:r w:rsidR="003B7CFA" w:rsidRPr="007B25AE">
        <w:rPr>
          <w:rFonts w:ascii="Baskerville" w:eastAsia="MS PMincho" w:hAnsi="Baskerville" w:cs="Arabic Typesetting"/>
        </w:rPr>
        <w:t>enormous number of teachers in the labor market</w:t>
      </w:r>
      <w:r w:rsidR="00B8094F" w:rsidRPr="007B25AE">
        <w:rPr>
          <w:rFonts w:ascii="Baskerville" w:eastAsia="MS PMincho" w:hAnsi="Baskerville" w:cs="Arabic Typesetting"/>
        </w:rPr>
        <w:t xml:space="preserve">, </w:t>
      </w:r>
      <w:r w:rsidR="005A5EE1" w:rsidRPr="007B25AE">
        <w:rPr>
          <w:rFonts w:ascii="Baskerville" w:eastAsia="MS PMincho" w:hAnsi="Baskerville" w:cs="Arabic Typesetting"/>
        </w:rPr>
        <w:t xml:space="preserve">then, </w:t>
      </w:r>
      <w:r w:rsidR="003B7CFA" w:rsidRPr="007B25AE">
        <w:rPr>
          <w:rFonts w:ascii="Baskerville" w:eastAsia="MS PMincho" w:hAnsi="Baskerville" w:cs="Arabic Typesetting"/>
        </w:rPr>
        <w:t>there was a constant mobilization of teachers from school to school and from school district to school district.</w:t>
      </w:r>
      <w:r w:rsidR="00B8094F" w:rsidRPr="007B25AE">
        <w:rPr>
          <w:rFonts w:ascii="Baskerville" w:eastAsia="MS PMincho" w:hAnsi="Baskerville" w:cs="Arabic Typesetting"/>
        </w:rPr>
        <w:t xml:space="preserve"> </w:t>
      </w:r>
      <w:r w:rsidR="003B7CFA" w:rsidRPr="007B25AE">
        <w:rPr>
          <w:rFonts w:ascii="Baskerville" w:eastAsia="MS PMincho" w:hAnsi="Baskerville" w:cs="Arabic Typesetting"/>
        </w:rPr>
        <w:t xml:space="preserve">Many of the positions in the vacated schools and districts remained unfilled </w:t>
      </w:r>
      <w:r w:rsidR="00E22B66" w:rsidRPr="007B25AE">
        <w:rPr>
          <w:rFonts w:ascii="Baskerville" w:eastAsia="MS PMincho" w:hAnsi="Baskerville" w:cs="Arabic Typesetting"/>
        </w:rPr>
        <w:t xml:space="preserve">by qualified teachers to </w:t>
      </w:r>
      <w:r w:rsidR="003B7CFA" w:rsidRPr="007B25AE">
        <w:rPr>
          <w:rFonts w:ascii="Baskerville" w:eastAsia="MS PMincho" w:hAnsi="Baskerville" w:cs="Arabic Typesetting"/>
        </w:rPr>
        <w:t>the tune of approximately 90,100 vacancies</w:t>
      </w:r>
      <w:r w:rsidR="00E22B66" w:rsidRPr="007B25AE">
        <w:rPr>
          <w:rFonts w:ascii="Baskerville" w:eastAsia="MS PMincho" w:hAnsi="Baskerville" w:cs="Arabic Typesetting"/>
        </w:rPr>
        <w:t xml:space="preserve"> between the 2000 to 2001 school year</w:t>
      </w:r>
      <w:r w:rsidR="00B57CC2" w:rsidRPr="007B25AE">
        <w:rPr>
          <w:rFonts w:ascii="Baskerville" w:eastAsia="MS PMincho" w:hAnsi="Baskerville" w:cs="Arabic Typesetting"/>
        </w:rPr>
        <w:t xml:space="preserve"> (NEA, 2003)</w:t>
      </w:r>
      <w:r w:rsidR="003B7CFA" w:rsidRPr="007B25AE">
        <w:rPr>
          <w:rFonts w:ascii="Baskerville" w:eastAsia="MS PMincho" w:hAnsi="Baskerville" w:cs="Arabic Typesetting"/>
        </w:rPr>
        <w:t>.</w:t>
      </w:r>
    </w:p>
    <w:p w14:paraId="6FC8A0CB" w14:textId="42D0310D" w:rsidR="00BA2769" w:rsidRPr="007B25AE" w:rsidRDefault="00E22B66" w:rsidP="00F11D68">
      <w:pPr>
        <w:spacing w:line="360" w:lineRule="auto"/>
        <w:ind w:firstLine="720"/>
        <w:rPr>
          <w:rFonts w:ascii="Baskerville" w:eastAsia="MS PMincho" w:hAnsi="Baskerville" w:cs="Arabic Typesetting"/>
        </w:rPr>
      </w:pPr>
      <w:proofErr w:type="spellStart"/>
      <w:r w:rsidRPr="007B25AE">
        <w:rPr>
          <w:rFonts w:ascii="Baskerville" w:eastAsia="MS PMincho" w:hAnsi="Baskerville" w:cs="Arabic Typesetting"/>
        </w:rPr>
        <w:t>Ogundimu</w:t>
      </w:r>
      <w:proofErr w:type="spellEnd"/>
      <w:r w:rsidRPr="007B25AE">
        <w:rPr>
          <w:rFonts w:ascii="Baskerville" w:eastAsia="MS PMincho" w:hAnsi="Baskerville" w:cs="Arabic Typesetting"/>
        </w:rPr>
        <w:t xml:space="preserve"> cites Ingersoll</w:t>
      </w:r>
      <w:r w:rsidR="005A5EE1" w:rsidRPr="007B25AE">
        <w:rPr>
          <w:rFonts w:ascii="Baskerville" w:eastAsia="MS PMincho" w:hAnsi="Baskerville" w:cs="Arabic Typesetting"/>
        </w:rPr>
        <w:t>’s</w:t>
      </w:r>
      <w:r w:rsidRPr="007B25AE">
        <w:rPr>
          <w:rFonts w:ascii="Baskerville" w:eastAsia="MS PMincho" w:hAnsi="Baskerville" w:cs="Arabic Typesetting"/>
        </w:rPr>
        <w:t xml:space="preserve"> (2002, 2004)</w:t>
      </w:r>
      <w:r w:rsidR="00DB6F23" w:rsidRPr="007B25AE">
        <w:rPr>
          <w:rFonts w:ascii="Baskerville" w:eastAsia="MS PMincho" w:hAnsi="Baskerville" w:cs="Arabic Typesetting"/>
        </w:rPr>
        <w:t xml:space="preserve"> </w:t>
      </w:r>
      <w:r w:rsidRPr="007B25AE">
        <w:rPr>
          <w:rFonts w:ascii="Baskerville" w:eastAsia="MS PMincho" w:hAnsi="Baskerville" w:cs="Arabic Typesetting"/>
        </w:rPr>
        <w:t>comparative statistics between teaching and other</w:t>
      </w:r>
      <w:r w:rsidR="00C14B37" w:rsidRPr="007B25AE">
        <w:rPr>
          <w:rFonts w:ascii="Baskerville" w:eastAsia="MS PMincho" w:hAnsi="Baskerville" w:cs="Arabic Typesetting"/>
        </w:rPr>
        <w:t xml:space="preserve"> professions</w:t>
      </w:r>
      <w:r w:rsidRPr="007B25AE">
        <w:rPr>
          <w:rFonts w:ascii="Baskerville" w:eastAsia="MS PMincho" w:hAnsi="Baskerville" w:cs="Arabic Typesetting"/>
        </w:rPr>
        <w:t xml:space="preserve">. He reported that in 1998, the annual turnover rate in non-teaching professions was 11% compared </w:t>
      </w:r>
      <w:r w:rsidR="00C14B37" w:rsidRPr="007B25AE">
        <w:rPr>
          <w:rFonts w:ascii="Baskerville" w:eastAsia="MS PMincho" w:hAnsi="Baskerville" w:cs="Arabic Typesetting"/>
        </w:rPr>
        <w:t>with</w:t>
      </w:r>
      <w:r w:rsidR="00DB6F23" w:rsidRPr="007B25AE">
        <w:rPr>
          <w:rFonts w:ascii="Baskerville" w:eastAsia="MS PMincho" w:hAnsi="Baskerville" w:cs="Arabic Typesetting"/>
        </w:rPr>
        <w:t xml:space="preserve"> the approximate teacher</w:t>
      </w:r>
      <w:r w:rsidR="00B57CC2" w:rsidRPr="007B25AE">
        <w:rPr>
          <w:rFonts w:ascii="Baskerville" w:eastAsia="MS PMincho" w:hAnsi="Baskerville" w:cs="Arabic Typesetting"/>
        </w:rPr>
        <w:t>-</w:t>
      </w:r>
      <w:r w:rsidR="00DB6F23" w:rsidRPr="007B25AE">
        <w:rPr>
          <w:rFonts w:ascii="Baskerville" w:eastAsia="MS PMincho" w:hAnsi="Baskerville" w:cs="Arabic Typesetting"/>
        </w:rPr>
        <w:t>turnover rate of 15.7%, in the 2000 to 2001 school year.</w:t>
      </w:r>
      <w:r w:rsidR="007C2F24" w:rsidRPr="007B25AE">
        <w:rPr>
          <w:rFonts w:ascii="Baskerville" w:eastAsia="MS PMincho" w:hAnsi="Baskerville" w:cs="Arabic Typesetting"/>
        </w:rPr>
        <w:t xml:space="preserve"> In reference to the School </w:t>
      </w:r>
      <w:proofErr w:type="gramStart"/>
      <w:r w:rsidR="007C2F24" w:rsidRPr="007B25AE">
        <w:rPr>
          <w:rFonts w:ascii="Baskerville" w:eastAsia="MS PMincho" w:hAnsi="Baskerville" w:cs="Arabic Typesetting"/>
        </w:rPr>
        <w:t>And</w:t>
      </w:r>
      <w:proofErr w:type="gramEnd"/>
      <w:r w:rsidR="007C2F24" w:rsidRPr="007B25AE">
        <w:rPr>
          <w:rFonts w:ascii="Baskerville" w:eastAsia="MS PMincho" w:hAnsi="Baskerville" w:cs="Arabic Typesetting"/>
        </w:rPr>
        <w:t xml:space="preserve"> Staffing Survey (SASS) together with the Teacher Follow-up Survey</w:t>
      </w:r>
      <w:r w:rsidR="0054049A" w:rsidRPr="007B25AE">
        <w:rPr>
          <w:rFonts w:ascii="Baskerville" w:eastAsia="MS PMincho" w:hAnsi="Baskerville" w:cs="Arabic Typesetting"/>
        </w:rPr>
        <w:t xml:space="preserve"> (TFS)</w:t>
      </w:r>
      <w:r w:rsidR="007C2F24" w:rsidRPr="007B25AE">
        <w:rPr>
          <w:rFonts w:ascii="Baskerville" w:eastAsia="MS PMincho" w:hAnsi="Baskerville" w:cs="Arabic Typesetting"/>
        </w:rPr>
        <w:t>, Ingersoll showed a steadily increasing trend in the rate at which one</w:t>
      </w:r>
      <w:r w:rsidR="00CC0744" w:rsidRPr="007B25AE">
        <w:rPr>
          <w:rFonts w:ascii="Baskerville" w:eastAsia="MS PMincho" w:hAnsi="Baskerville" w:cs="Arabic Typesetting"/>
        </w:rPr>
        <w:t>-year</w:t>
      </w:r>
      <w:r w:rsidR="007C2F24" w:rsidRPr="007B25AE">
        <w:rPr>
          <w:rFonts w:ascii="Baskerville" w:eastAsia="MS PMincho" w:hAnsi="Baskerville" w:cs="Arabic Typesetting"/>
        </w:rPr>
        <w:t xml:space="preserve"> to fiv</w:t>
      </w:r>
      <w:r w:rsidR="00F11D68" w:rsidRPr="007B25AE">
        <w:rPr>
          <w:rFonts w:ascii="Baskerville" w:eastAsia="MS PMincho" w:hAnsi="Baskerville" w:cs="Arabic Typesetting"/>
        </w:rPr>
        <w:t>e-</w:t>
      </w:r>
      <w:r w:rsidR="007C2F24" w:rsidRPr="007B25AE">
        <w:rPr>
          <w:rFonts w:ascii="Baskerville" w:eastAsia="MS PMincho" w:hAnsi="Baskerville" w:cs="Arabic Typesetting"/>
        </w:rPr>
        <w:t xml:space="preserve">year teachers </w:t>
      </w:r>
      <w:r w:rsidR="0054049A" w:rsidRPr="007B25AE">
        <w:rPr>
          <w:rFonts w:ascii="Baskerville" w:eastAsia="MS PMincho" w:hAnsi="Baskerville" w:cs="Arabic Typesetting"/>
        </w:rPr>
        <w:t>tend</w:t>
      </w:r>
      <w:r w:rsidR="003A16FD" w:rsidRPr="007B25AE">
        <w:rPr>
          <w:rFonts w:ascii="Baskerville" w:eastAsia="MS PMincho" w:hAnsi="Baskerville" w:cs="Arabic Typesetting"/>
        </w:rPr>
        <w:t>ed</w:t>
      </w:r>
      <w:r w:rsidR="0054049A" w:rsidRPr="007B25AE">
        <w:rPr>
          <w:rFonts w:ascii="Baskerville" w:eastAsia="MS PMincho" w:hAnsi="Baskerville" w:cs="Arabic Typesetting"/>
        </w:rPr>
        <w:t xml:space="preserve"> to give up on</w:t>
      </w:r>
      <w:r w:rsidR="00F11D68" w:rsidRPr="007B25AE">
        <w:rPr>
          <w:rFonts w:ascii="Baskerville" w:eastAsia="MS PMincho" w:hAnsi="Baskerville" w:cs="Arabic Typesetting"/>
        </w:rPr>
        <w:t xml:space="preserve"> the profession</w:t>
      </w:r>
      <w:r w:rsidR="00B57CC2" w:rsidRPr="007B25AE">
        <w:rPr>
          <w:rFonts w:ascii="Baskerville" w:eastAsia="MS PMincho" w:hAnsi="Baskerville" w:cs="Arabic Typesetting"/>
        </w:rPr>
        <w:t xml:space="preserve"> (</w:t>
      </w:r>
      <w:r w:rsidR="00594989" w:rsidRPr="007B25AE">
        <w:rPr>
          <w:rFonts w:ascii="Baskerville" w:eastAsia="MS PMincho" w:hAnsi="Baskerville" w:cs="Arabic Typesetting"/>
        </w:rPr>
        <w:t xml:space="preserve">Ingersoll, 2003, 2004; </w:t>
      </w:r>
      <w:proofErr w:type="spellStart"/>
      <w:r w:rsidR="00594989" w:rsidRPr="007B25AE">
        <w:rPr>
          <w:rFonts w:ascii="Baskerville" w:eastAsia="MS PMincho" w:hAnsi="Baskerville" w:cs="Arabic Typesetting"/>
        </w:rPr>
        <w:t>Ogundim</w:t>
      </w:r>
      <w:r w:rsidR="00B41EC2" w:rsidRPr="007B25AE">
        <w:rPr>
          <w:rFonts w:ascii="Baskerville" w:eastAsia="MS PMincho" w:hAnsi="Baskerville" w:cs="Arabic Typesetting"/>
        </w:rPr>
        <w:t>u</w:t>
      </w:r>
      <w:proofErr w:type="spellEnd"/>
      <w:r w:rsidR="00594989" w:rsidRPr="007B25AE">
        <w:rPr>
          <w:rFonts w:ascii="Baskerville" w:eastAsia="MS PMincho" w:hAnsi="Baskerville" w:cs="Arabic Typesetting"/>
        </w:rPr>
        <w:t xml:space="preserve">, 2014) </w:t>
      </w:r>
      <w:r w:rsidR="00F11D68" w:rsidRPr="007B25AE">
        <w:rPr>
          <w:rFonts w:ascii="Baskerville" w:eastAsia="MS PMincho" w:hAnsi="Baskerville" w:cs="Arabic Typesetting"/>
        </w:rPr>
        <w:t xml:space="preserve">. </w:t>
      </w:r>
      <w:r w:rsidR="007C2F24" w:rsidRPr="007B25AE">
        <w:rPr>
          <w:rFonts w:ascii="Baskerville" w:eastAsia="MS PMincho" w:hAnsi="Baskerville" w:cs="Arabic Typesetting"/>
        </w:rPr>
        <w:t xml:space="preserve">  </w:t>
      </w:r>
    </w:p>
    <w:p w14:paraId="77F2775E" w14:textId="29604373" w:rsidR="004824D3" w:rsidRPr="007B25AE" w:rsidRDefault="0054049A" w:rsidP="00982ABD">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He says that </w:t>
      </w:r>
      <w:r w:rsidR="00031006" w:rsidRPr="007B25AE">
        <w:rPr>
          <w:rFonts w:ascii="Baskerville" w:eastAsia="MS PMincho" w:hAnsi="Baskerville" w:cs="Arabic Typesetting"/>
        </w:rPr>
        <w:t>Hanusek et al</w:t>
      </w:r>
      <w:r w:rsidR="00863DFD" w:rsidRPr="007B25AE">
        <w:rPr>
          <w:rFonts w:ascii="Baskerville" w:eastAsia="MS PMincho" w:hAnsi="Baskerville" w:cs="Arabic Typesetting"/>
        </w:rPr>
        <w:t>, (2004) found that</w:t>
      </w:r>
      <w:r w:rsidRPr="007B25AE">
        <w:rPr>
          <w:rFonts w:ascii="Baskerville" w:eastAsia="MS PMincho" w:hAnsi="Baskerville" w:cs="Arabic Typesetting"/>
        </w:rPr>
        <w:t>,</w:t>
      </w:r>
      <w:r w:rsidR="00863DFD" w:rsidRPr="007B25AE">
        <w:rPr>
          <w:rFonts w:ascii="Baskerville" w:eastAsia="MS PMincho" w:hAnsi="Baskerville" w:cs="Arabic Typesetting"/>
        </w:rPr>
        <w:t xml:space="preserve"> i</w:t>
      </w:r>
      <w:r w:rsidR="004824D3" w:rsidRPr="007B25AE">
        <w:rPr>
          <w:rFonts w:ascii="Baskerville" w:eastAsia="MS PMincho" w:hAnsi="Baskerville" w:cs="Arabic Typesetting"/>
        </w:rPr>
        <w:t>n the 1990</w:t>
      </w:r>
      <w:r w:rsidR="00CC0744" w:rsidRPr="007B25AE">
        <w:rPr>
          <w:rFonts w:ascii="Baskerville" w:eastAsia="MS PMincho" w:hAnsi="Baskerville" w:cs="Arabic Typesetting"/>
        </w:rPr>
        <w:t>s</w:t>
      </w:r>
      <w:r w:rsidR="004824D3" w:rsidRPr="007B25AE">
        <w:rPr>
          <w:rFonts w:ascii="Baskerville" w:eastAsia="MS PMincho" w:hAnsi="Baskerville" w:cs="Arabic Typesetting"/>
        </w:rPr>
        <w:t xml:space="preserve">, male teachers </w:t>
      </w:r>
      <w:r w:rsidR="00863DFD" w:rsidRPr="007B25AE">
        <w:rPr>
          <w:rFonts w:ascii="Baskerville" w:eastAsia="MS PMincho" w:hAnsi="Baskerville" w:cs="Arabic Typesetting"/>
        </w:rPr>
        <w:t>of</w:t>
      </w:r>
      <w:r w:rsidR="00CC0744" w:rsidRPr="007B25AE">
        <w:rPr>
          <w:rFonts w:ascii="Baskerville" w:eastAsia="MS PMincho" w:hAnsi="Baskerville" w:cs="Arabic Typesetting"/>
        </w:rPr>
        <w:t xml:space="preserve"> </w:t>
      </w:r>
      <w:r w:rsidRPr="007B25AE">
        <w:rPr>
          <w:rFonts w:ascii="Baskerville" w:eastAsia="MS PMincho" w:hAnsi="Baskerville" w:cs="Arabic Typesetting"/>
        </w:rPr>
        <w:t>“</w:t>
      </w:r>
      <w:r w:rsidR="00CC0744" w:rsidRPr="007B25AE">
        <w:rPr>
          <w:rFonts w:ascii="Baskerville" w:eastAsia="MS PMincho" w:hAnsi="Baskerville" w:cs="Arabic Typesetting"/>
        </w:rPr>
        <w:t>general education</w:t>
      </w:r>
      <w:r w:rsidRPr="007B25AE">
        <w:rPr>
          <w:rFonts w:ascii="Baskerville" w:eastAsia="MS PMincho" w:hAnsi="Baskerville" w:cs="Arabic Typesetting"/>
        </w:rPr>
        <w:t>”</w:t>
      </w:r>
      <w:r w:rsidR="00CC0744" w:rsidRPr="007B25AE">
        <w:rPr>
          <w:rFonts w:ascii="Baskerville" w:eastAsia="MS PMincho" w:hAnsi="Baskerville" w:cs="Arabic Typesetting"/>
        </w:rPr>
        <w:t xml:space="preserve"> </w:t>
      </w:r>
      <w:r w:rsidR="004824D3" w:rsidRPr="007B25AE">
        <w:rPr>
          <w:rFonts w:ascii="Baskerville" w:eastAsia="MS PMincho" w:hAnsi="Baskerville" w:cs="Arabic Typesetting"/>
        </w:rPr>
        <w:t xml:space="preserve">were more likely to remain at their school and </w:t>
      </w:r>
      <w:proofErr w:type="gramStart"/>
      <w:r w:rsidR="004824D3" w:rsidRPr="007B25AE">
        <w:rPr>
          <w:rFonts w:ascii="Baskerville" w:eastAsia="MS PMincho" w:hAnsi="Baskerville" w:cs="Arabic Typesetting"/>
        </w:rPr>
        <w:t>continue on</w:t>
      </w:r>
      <w:proofErr w:type="gramEnd"/>
      <w:r w:rsidR="004824D3" w:rsidRPr="007B25AE">
        <w:rPr>
          <w:rFonts w:ascii="Baskerville" w:eastAsia="MS PMincho" w:hAnsi="Baskerville" w:cs="Arabic Typesetting"/>
        </w:rPr>
        <w:t xml:space="preserve"> the job </w:t>
      </w:r>
      <w:r w:rsidR="00863DFD" w:rsidRPr="007B25AE">
        <w:rPr>
          <w:rFonts w:ascii="Baskerville" w:eastAsia="MS PMincho" w:hAnsi="Baskerville" w:cs="Arabic Typesetting"/>
        </w:rPr>
        <w:t xml:space="preserve">than female teachers of the same category </w:t>
      </w:r>
      <w:r w:rsidR="003A16FD" w:rsidRPr="007B25AE">
        <w:rPr>
          <w:rFonts w:ascii="Baskerville" w:eastAsia="MS PMincho" w:hAnsi="Baskerville" w:cs="Arabic Typesetting"/>
        </w:rPr>
        <w:t>over</w:t>
      </w:r>
      <w:r w:rsidR="00CC0744" w:rsidRPr="007B25AE">
        <w:rPr>
          <w:rFonts w:ascii="Baskerville" w:eastAsia="MS PMincho" w:hAnsi="Baskerville" w:cs="Arabic Typesetting"/>
        </w:rPr>
        <w:t xml:space="preserve"> the long </w:t>
      </w:r>
      <w:r w:rsidR="003A16FD" w:rsidRPr="007B25AE">
        <w:rPr>
          <w:rFonts w:ascii="Baskerville" w:eastAsia="MS PMincho" w:hAnsi="Baskerville" w:cs="Arabic Typesetting"/>
        </w:rPr>
        <w:t>haul</w:t>
      </w:r>
      <w:r w:rsidR="00CC0744" w:rsidRPr="007B25AE">
        <w:rPr>
          <w:rFonts w:ascii="Baskerville" w:eastAsia="MS PMincho" w:hAnsi="Baskerville" w:cs="Arabic Typesetting"/>
        </w:rPr>
        <w:t>.</w:t>
      </w:r>
      <w:r w:rsidR="00863DFD" w:rsidRPr="007B25AE">
        <w:rPr>
          <w:rFonts w:ascii="Baskerville" w:eastAsia="MS PMincho" w:hAnsi="Baskerville" w:cs="Arabic Typesetting"/>
        </w:rPr>
        <w:t xml:space="preserve"> At the same time,</w:t>
      </w:r>
      <w:r w:rsidR="00594989" w:rsidRPr="007B25AE">
        <w:rPr>
          <w:rFonts w:ascii="Baskerville" w:eastAsia="MS PMincho" w:hAnsi="Baskerville" w:cs="Arabic Typesetting"/>
        </w:rPr>
        <w:t xml:space="preserve"> he refers to</w:t>
      </w:r>
      <w:r w:rsidR="00863DFD" w:rsidRPr="007B25AE">
        <w:rPr>
          <w:rFonts w:ascii="Baskerville" w:eastAsia="MS PMincho" w:hAnsi="Baskerville" w:cs="Arabic Typesetting"/>
        </w:rPr>
        <w:t xml:space="preserve"> </w:t>
      </w:r>
      <w:proofErr w:type="spellStart"/>
      <w:r w:rsidR="00863DFD" w:rsidRPr="007B25AE">
        <w:rPr>
          <w:rFonts w:ascii="Baskerville" w:eastAsia="MS PMincho" w:hAnsi="Baskerville" w:cs="Arabic Typesetting"/>
        </w:rPr>
        <w:t>Luekens</w:t>
      </w:r>
      <w:proofErr w:type="spellEnd"/>
      <w:r w:rsidR="00863DFD" w:rsidRPr="007B25AE">
        <w:rPr>
          <w:rFonts w:ascii="Baskerville" w:eastAsia="MS PMincho" w:hAnsi="Baskerville" w:cs="Arabic Typesetting"/>
        </w:rPr>
        <w:t xml:space="preserve"> et al. (2004) report</w:t>
      </w:r>
      <w:r w:rsidR="00594989" w:rsidRPr="007B25AE">
        <w:rPr>
          <w:rFonts w:ascii="Baskerville" w:eastAsia="MS PMincho" w:hAnsi="Baskerville" w:cs="Arabic Typesetting"/>
        </w:rPr>
        <w:t xml:space="preserve"> which claims</w:t>
      </w:r>
      <w:r w:rsidR="00863DFD" w:rsidRPr="007B25AE">
        <w:rPr>
          <w:rFonts w:ascii="Baskerville" w:eastAsia="MS PMincho" w:hAnsi="Baskerville" w:cs="Arabic Typesetting"/>
        </w:rPr>
        <w:t xml:space="preserve"> that </w:t>
      </w:r>
      <w:r w:rsidRPr="007B25AE">
        <w:rPr>
          <w:rFonts w:ascii="Baskerville" w:eastAsia="MS PMincho" w:hAnsi="Baskerville" w:cs="Arabic Typesetting"/>
        </w:rPr>
        <w:t>“</w:t>
      </w:r>
      <w:r w:rsidR="00863DFD" w:rsidRPr="007B25AE">
        <w:rPr>
          <w:rFonts w:ascii="Baskerville" w:eastAsia="MS PMincho" w:hAnsi="Baskerville" w:cs="Arabic Typesetting"/>
        </w:rPr>
        <w:t>special education</w:t>
      </w:r>
      <w:r w:rsidRPr="007B25AE">
        <w:rPr>
          <w:rFonts w:ascii="Baskerville" w:eastAsia="MS PMincho" w:hAnsi="Baskerville" w:cs="Arabic Typesetting"/>
        </w:rPr>
        <w:t>”</w:t>
      </w:r>
      <w:r w:rsidR="00863DFD" w:rsidRPr="007B25AE">
        <w:rPr>
          <w:rFonts w:ascii="Baskerville" w:eastAsia="MS PMincho" w:hAnsi="Baskerville" w:cs="Arabic Typesetting"/>
        </w:rPr>
        <w:t xml:space="preserve"> teachers of the same period were more likely to leave the job</w:t>
      </w:r>
      <w:r w:rsidRPr="007B25AE">
        <w:rPr>
          <w:rFonts w:ascii="Baskerville" w:eastAsia="MS PMincho" w:hAnsi="Baskerville" w:cs="Arabic Typesetting"/>
        </w:rPr>
        <w:t xml:space="preserve"> than those in general education</w:t>
      </w:r>
      <w:r w:rsidR="00863DFD" w:rsidRPr="007B25AE">
        <w:rPr>
          <w:rFonts w:ascii="Baskerville" w:eastAsia="MS PMincho" w:hAnsi="Baskerville" w:cs="Arabic Typesetting"/>
        </w:rPr>
        <w:t xml:space="preserve">. </w:t>
      </w:r>
      <w:r w:rsidR="00561ED0" w:rsidRPr="007B25AE">
        <w:rPr>
          <w:rFonts w:ascii="Baskerville" w:eastAsia="MS PMincho" w:hAnsi="Baskerville" w:cs="Arabic Typesetting"/>
        </w:rPr>
        <w:t>Then</w:t>
      </w:r>
      <w:r w:rsidR="00863DFD" w:rsidRPr="007B25AE">
        <w:rPr>
          <w:rFonts w:ascii="Baskerville" w:eastAsia="MS PMincho" w:hAnsi="Baskerville" w:cs="Arabic Typesetting"/>
        </w:rPr>
        <w:t>,</w:t>
      </w:r>
      <w:r w:rsidR="00594989" w:rsidRPr="007B25AE">
        <w:rPr>
          <w:rFonts w:ascii="Baskerville" w:eastAsia="MS PMincho" w:hAnsi="Baskerville" w:cs="Arabic Typesetting"/>
        </w:rPr>
        <w:t xml:space="preserve"> he said that</w:t>
      </w:r>
      <w:r w:rsidR="00863DFD" w:rsidRPr="007B25AE">
        <w:rPr>
          <w:rFonts w:ascii="Baskerville" w:eastAsia="MS PMincho" w:hAnsi="Baskerville" w:cs="Arabic Typesetting"/>
        </w:rPr>
        <w:t xml:space="preserve"> Johnson et al (2005)</w:t>
      </w:r>
      <w:r w:rsidR="00561ED0" w:rsidRPr="007B25AE">
        <w:rPr>
          <w:rFonts w:ascii="Baskerville" w:eastAsia="MS PMincho" w:hAnsi="Baskerville" w:cs="Arabic Typesetting"/>
        </w:rPr>
        <w:t xml:space="preserve"> found that minorit</w:t>
      </w:r>
      <w:r w:rsidR="00594989" w:rsidRPr="007B25AE">
        <w:rPr>
          <w:rFonts w:ascii="Baskerville" w:eastAsia="MS PMincho" w:hAnsi="Baskerville" w:cs="Arabic Typesetting"/>
        </w:rPr>
        <w:t>ies</w:t>
      </w:r>
      <w:r w:rsidR="00561ED0" w:rsidRPr="007B25AE">
        <w:rPr>
          <w:rFonts w:ascii="Baskerville" w:eastAsia="MS PMincho" w:hAnsi="Baskerville" w:cs="Arabic Typesetting"/>
        </w:rPr>
        <w:t xml:space="preserve"> were not as likely as White teachers to give up teaching.</w:t>
      </w:r>
      <w:r w:rsidR="00982ABD" w:rsidRPr="007B25AE">
        <w:rPr>
          <w:rFonts w:ascii="Baskerville" w:eastAsia="MS PMincho" w:hAnsi="Baskerville" w:cs="Arabic Typesetting"/>
        </w:rPr>
        <w:t xml:space="preserve"> With that, </w:t>
      </w:r>
      <w:proofErr w:type="spellStart"/>
      <w:r w:rsidR="00982ABD" w:rsidRPr="007B25AE">
        <w:rPr>
          <w:rFonts w:ascii="Baskerville" w:eastAsia="MS PMincho" w:hAnsi="Baskerville" w:cs="Arabic Typesetting"/>
        </w:rPr>
        <w:t>Ogundimu</w:t>
      </w:r>
      <w:proofErr w:type="spellEnd"/>
      <w:r w:rsidR="00982ABD" w:rsidRPr="007B25AE">
        <w:rPr>
          <w:rFonts w:ascii="Baskerville" w:eastAsia="MS PMincho" w:hAnsi="Baskerville" w:cs="Arabic Typesetting"/>
        </w:rPr>
        <w:t xml:space="preserve"> </w:t>
      </w:r>
      <w:r w:rsidR="00594989" w:rsidRPr="007B25AE">
        <w:rPr>
          <w:rFonts w:ascii="Baskerville" w:eastAsia="MS PMincho" w:hAnsi="Baskerville" w:cs="Arabic Typesetting"/>
        </w:rPr>
        <w:t>went on to say</w:t>
      </w:r>
      <w:r w:rsidR="00982ABD" w:rsidRPr="007B25AE">
        <w:rPr>
          <w:rFonts w:ascii="Baskerville" w:eastAsia="MS PMincho" w:hAnsi="Baskerville" w:cs="Arabic Typesetting"/>
        </w:rPr>
        <w:t xml:space="preserve"> </w:t>
      </w:r>
      <w:proofErr w:type="gramStart"/>
      <w:r w:rsidR="00982ABD" w:rsidRPr="007B25AE">
        <w:rPr>
          <w:rFonts w:ascii="Baskerville" w:eastAsia="MS PMincho" w:hAnsi="Baskerville" w:cs="Arabic Typesetting"/>
        </w:rPr>
        <w:t>that,</w:t>
      </w:r>
      <w:proofErr w:type="gramEnd"/>
      <w:r w:rsidR="00982ABD" w:rsidRPr="007B25AE">
        <w:rPr>
          <w:rFonts w:ascii="Baskerville" w:eastAsia="MS PMincho" w:hAnsi="Baskerville" w:cs="Arabic Typesetting"/>
        </w:rPr>
        <w:t xml:space="preserve"> having examined these category of teachers who are most likely to chuck teaching</w:t>
      </w:r>
      <w:r w:rsidR="00F26B72" w:rsidRPr="007B25AE">
        <w:rPr>
          <w:rFonts w:ascii="Baskerville" w:eastAsia="MS PMincho" w:hAnsi="Baskerville" w:cs="Arabic Typesetting"/>
        </w:rPr>
        <w:t xml:space="preserve"> aside for some other profession</w:t>
      </w:r>
      <w:r w:rsidR="00982ABD" w:rsidRPr="007B25AE">
        <w:rPr>
          <w:rFonts w:ascii="Baskerville" w:eastAsia="MS PMincho" w:hAnsi="Baskerville" w:cs="Arabic Typesetting"/>
        </w:rPr>
        <w:t xml:space="preserve">, he was ready to shine </w:t>
      </w:r>
      <w:r w:rsidR="00343A6B" w:rsidRPr="007B25AE">
        <w:rPr>
          <w:rFonts w:ascii="Baskerville" w:eastAsia="MS PMincho" w:hAnsi="Baskerville" w:cs="Arabic Typesetting"/>
        </w:rPr>
        <w:t xml:space="preserve">the </w:t>
      </w:r>
      <w:r w:rsidR="00982ABD" w:rsidRPr="007B25AE">
        <w:rPr>
          <w:rFonts w:ascii="Baskerville" w:eastAsia="MS PMincho" w:hAnsi="Baskerville" w:cs="Arabic Typesetting"/>
        </w:rPr>
        <w:t xml:space="preserve">light more directly on </w:t>
      </w:r>
      <w:r w:rsidR="003A16FD" w:rsidRPr="007B25AE">
        <w:rPr>
          <w:rFonts w:ascii="Baskerville" w:eastAsia="MS PMincho" w:hAnsi="Baskerville" w:cs="Arabic Typesetting"/>
        </w:rPr>
        <w:t xml:space="preserve">the relationship in </w:t>
      </w:r>
      <w:r w:rsidR="00982ABD" w:rsidRPr="007B25AE">
        <w:rPr>
          <w:rFonts w:ascii="Baskerville" w:eastAsia="MS PMincho" w:hAnsi="Baskerville" w:cs="Arabic Typesetting"/>
        </w:rPr>
        <w:t>N</w:t>
      </w:r>
      <w:r w:rsidR="005A5EE1" w:rsidRPr="007B25AE">
        <w:rPr>
          <w:rFonts w:ascii="Baskerville" w:eastAsia="MS PMincho" w:hAnsi="Baskerville" w:cs="Arabic Typesetting"/>
        </w:rPr>
        <w:t xml:space="preserve">ew </w:t>
      </w:r>
      <w:r w:rsidR="00982ABD" w:rsidRPr="007B25AE">
        <w:rPr>
          <w:rFonts w:ascii="Baskerville" w:eastAsia="MS PMincho" w:hAnsi="Baskerville" w:cs="Arabic Typesetting"/>
        </w:rPr>
        <w:t>Y</w:t>
      </w:r>
      <w:r w:rsidR="005A5EE1" w:rsidRPr="007B25AE">
        <w:rPr>
          <w:rFonts w:ascii="Baskerville" w:eastAsia="MS PMincho" w:hAnsi="Baskerville" w:cs="Arabic Typesetting"/>
        </w:rPr>
        <w:t xml:space="preserve">ork </w:t>
      </w:r>
      <w:r w:rsidR="00982ABD" w:rsidRPr="007B25AE">
        <w:rPr>
          <w:rFonts w:ascii="Baskerville" w:eastAsia="MS PMincho" w:hAnsi="Baskerville" w:cs="Arabic Typesetting"/>
        </w:rPr>
        <w:t>C</w:t>
      </w:r>
      <w:r w:rsidR="005A5EE1" w:rsidRPr="007B25AE">
        <w:rPr>
          <w:rFonts w:ascii="Baskerville" w:eastAsia="MS PMincho" w:hAnsi="Baskerville" w:cs="Arabic Typesetting"/>
        </w:rPr>
        <w:t>ity</w:t>
      </w:r>
      <w:r w:rsidR="00982ABD" w:rsidRPr="007B25AE">
        <w:rPr>
          <w:rFonts w:ascii="Baskerville" w:eastAsia="MS PMincho" w:hAnsi="Baskerville" w:cs="Arabic Typesetting"/>
        </w:rPr>
        <w:t xml:space="preserve"> DOE </w:t>
      </w:r>
      <w:r w:rsidR="003A16FD" w:rsidRPr="007B25AE">
        <w:rPr>
          <w:rFonts w:ascii="Baskerville" w:eastAsia="MS PMincho" w:hAnsi="Baskerville" w:cs="Arabic Typesetting"/>
        </w:rPr>
        <w:t xml:space="preserve">between </w:t>
      </w:r>
      <w:r w:rsidR="00982ABD" w:rsidRPr="007B25AE">
        <w:rPr>
          <w:rFonts w:ascii="Baskerville" w:eastAsia="MS PMincho" w:hAnsi="Baskerville" w:cs="Arabic Typesetting"/>
        </w:rPr>
        <w:t>hiring practice</w:t>
      </w:r>
      <w:r w:rsidR="003A16FD" w:rsidRPr="007B25AE">
        <w:rPr>
          <w:rFonts w:ascii="Baskerville" w:eastAsia="MS PMincho" w:hAnsi="Baskerville" w:cs="Arabic Typesetting"/>
        </w:rPr>
        <w:t>s</w:t>
      </w:r>
      <w:r w:rsidR="00982ABD" w:rsidRPr="007B25AE">
        <w:rPr>
          <w:rFonts w:ascii="Baskerville" w:eastAsia="MS PMincho" w:hAnsi="Baskerville" w:cs="Arabic Typesetting"/>
        </w:rPr>
        <w:t xml:space="preserve"> and teacher</w:t>
      </w:r>
      <w:r w:rsidR="00343A6B" w:rsidRPr="007B25AE">
        <w:rPr>
          <w:rFonts w:ascii="Baskerville" w:eastAsia="MS PMincho" w:hAnsi="Baskerville" w:cs="Arabic Typesetting"/>
        </w:rPr>
        <w:t>-loss</w:t>
      </w:r>
      <w:r w:rsidR="00982ABD" w:rsidRPr="007B25AE">
        <w:rPr>
          <w:rFonts w:ascii="Baskerville" w:eastAsia="MS PMincho" w:hAnsi="Baskerville" w:cs="Arabic Typesetting"/>
        </w:rPr>
        <w:t xml:space="preserve">.  </w:t>
      </w:r>
      <w:r w:rsidR="00F26B72" w:rsidRPr="007B25AE">
        <w:rPr>
          <w:rFonts w:ascii="Baskerville" w:eastAsia="MS PMincho" w:hAnsi="Baskerville" w:cs="Arabic Typesetting"/>
        </w:rPr>
        <w:t xml:space="preserve">For him, the </w:t>
      </w:r>
      <w:r w:rsidR="00343A6B" w:rsidRPr="007B25AE">
        <w:rPr>
          <w:rFonts w:ascii="Baskerville" w:eastAsia="MS PMincho" w:hAnsi="Baskerville" w:cs="Arabic Typesetting"/>
        </w:rPr>
        <w:t xml:space="preserve">primary </w:t>
      </w:r>
      <w:r w:rsidR="00F26B72" w:rsidRPr="007B25AE">
        <w:rPr>
          <w:rFonts w:ascii="Baskerville" w:eastAsia="MS PMincho" w:hAnsi="Baskerville" w:cs="Arabic Typesetting"/>
        </w:rPr>
        <w:t xml:space="preserve">consideration </w:t>
      </w:r>
      <w:r w:rsidR="003A16FD" w:rsidRPr="007B25AE">
        <w:rPr>
          <w:rFonts w:ascii="Baskerville" w:eastAsia="MS PMincho" w:hAnsi="Baskerville" w:cs="Arabic Typesetting"/>
        </w:rPr>
        <w:t>was</w:t>
      </w:r>
      <w:r w:rsidR="00F26B72" w:rsidRPr="007B25AE">
        <w:rPr>
          <w:rFonts w:ascii="Baskerville" w:eastAsia="MS PMincho" w:hAnsi="Baskerville" w:cs="Arabic Typesetting"/>
        </w:rPr>
        <w:t xml:space="preserve"> to balance the </w:t>
      </w:r>
      <w:r w:rsidR="00343A6B" w:rsidRPr="007B25AE">
        <w:rPr>
          <w:rFonts w:ascii="Baskerville" w:eastAsia="MS PMincho" w:hAnsi="Baskerville" w:cs="Arabic Typesetting"/>
        </w:rPr>
        <w:t xml:space="preserve">mode of </w:t>
      </w:r>
      <w:r w:rsidR="00F26B72" w:rsidRPr="007B25AE">
        <w:rPr>
          <w:rFonts w:ascii="Baskerville" w:eastAsia="MS PMincho" w:hAnsi="Baskerville" w:cs="Arabic Typesetting"/>
        </w:rPr>
        <w:t xml:space="preserve">entry </w:t>
      </w:r>
      <w:r w:rsidR="00343A6B" w:rsidRPr="007B25AE">
        <w:rPr>
          <w:rFonts w:ascii="Baskerville" w:eastAsia="MS PMincho" w:hAnsi="Baskerville" w:cs="Arabic Typesetting"/>
        </w:rPr>
        <w:t>and departure between the</w:t>
      </w:r>
      <w:r w:rsidR="00F26B72" w:rsidRPr="007B25AE">
        <w:rPr>
          <w:rFonts w:ascii="Baskerville" w:eastAsia="MS PMincho" w:hAnsi="Baskerville" w:cs="Arabic Typesetting"/>
        </w:rPr>
        <w:t xml:space="preserve"> traditionally certified teacher</w:t>
      </w:r>
      <w:r w:rsidR="00343A6B" w:rsidRPr="007B25AE">
        <w:rPr>
          <w:rFonts w:ascii="Baskerville" w:eastAsia="MS PMincho" w:hAnsi="Baskerville" w:cs="Arabic Typesetting"/>
        </w:rPr>
        <w:t>s (he calls the NTF</w:t>
      </w:r>
      <w:r w:rsidR="00594989" w:rsidRPr="007B25AE">
        <w:rPr>
          <w:rFonts w:ascii="Baskerville" w:eastAsia="MS PMincho" w:hAnsi="Baskerville" w:cs="Arabic Typesetting"/>
        </w:rPr>
        <w:t>s</w:t>
      </w:r>
      <w:r w:rsidR="00343A6B" w:rsidRPr="007B25AE">
        <w:rPr>
          <w:rFonts w:ascii="Baskerville" w:eastAsia="MS PMincho" w:hAnsi="Baskerville" w:cs="Arabic Typesetting"/>
        </w:rPr>
        <w:t xml:space="preserve">) and the </w:t>
      </w:r>
      <w:r w:rsidR="009D14AB" w:rsidRPr="007B25AE">
        <w:rPr>
          <w:rFonts w:ascii="Baskerville" w:eastAsia="MS PMincho" w:hAnsi="Baskerville" w:cs="Arabic Typesetting"/>
        </w:rPr>
        <w:t>T</w:t>
      </w:r>
      <w:r w:rsidR="008D5F88" w:rsidRPr="007B25AE">
        <w:rPr>
          <w:rFonts w:ascii="Baskerville" w:eastAsia="MS PMincho" w:hAnsi="Baskerville" w:cs="Arabic Typesetting"/>
        </w:rPr>
        <w:t xml:space="preserve">eaching </w:t>
      </w:r>
      <w:r w:rsidR="009D14AB" w:rsidRPr="007B25AE">
        <w:rPr>
          <w:rFonts w:ascii="Baskerville" w:eastAsia="MS PMincho" w:hAnsi="Baskerville" w:cs="Arabic Typesetting"/>
        </w:rPr>
        <w:t>F</w:t>
      </w:r>
      <w:r w:rsidR="008D5F88" w:rsidRPr="007B25AE">
        <w:rPr>
          <w:rFonts w:ascii="Baskerville" w:eastAsia="MS PMincho" w:hAnsi="Baskerville" w:cs="Arabic Typesetting"/>
        </w:rPr>
        <w:t>ellows (TF</w:t>
      </w:r>
      <w:r w:rsidR="00594989" w:rsidRPr="007B25AE">
        <w:rPr>
          <w:rFonts w:ascii="Baskerville" w:eastAsia="MS PMincho" w:hAnsi="Baskerville" w:cs="Arabic Typesetting"/>
        </w:rPr>
        <w:t>s</w:t>
      </w:r>
      <w:r w:rsidR="008D5F88" w:rsidRPr="007B25AE">
        <w:rPr>
          <w:rFonts w:ascii="Baskerville" w:eastAsia="MS PMincho" w:hAnsi="Baskerville" w:cs="Arabic Typesetting"/>
        </w:rPr>
        <w:t>) in New York City Department of Education (</w:t>
      </w:r>
      <w:r w:rsidR="00B41EC2" w:rsidRPr="007B25AE">
        <w:rPr>
          <w:rFonts w:ascii="Baskerville" w:eastAsia="MS PMincho" w:hAnsi="Baskerville" w:cs="Arabic Typesetting"/>
        </w:rPr>
        <w:t xml:space="preserve">NYC </w:t>
      </w:r>
      <w:r w:rsidR="008D5F88" w:rsidRPr="007B25AE">
        <w:rPr>
          <w:rFonts w:ascii="Baskerville" w:eastAsia="MS PMincho" w:hAnsi="Baskerville" w:cs="Arabic Typesetting"/>
        </w:rPr>
        <w:t>DOE).</w:t>
      </w:r>
      <w:r w:rsidR="00982ABD" w:rsidRPr="007B25AE">
        <w:rPr>
          <w:rFonts w:ascii="Baskerville" w:eastAsia="MS PMincho" w:hAnsi="Baskerville" w:cs="Arabic Typesetting"/>
        </w:rPr>
        <w:t xml:space="preserve"> </w:t>
      </w:r>
      <w:r w:rsidR="00863DFD" w:rsidRPr="007B25AE">
        <w:rPr>
          <w:rFonts w:ascii="Baskerville" w:eastAsia="MS PMincho" w:hAnsi="Baskerville" w:cs="Arabic Typesetting"/>
        </w:rPr>
        <w:t xml:space="preserve">  </w:t>
      </w:r>
    </w:p>
    <w:p w14:paraId="5BA93BDB" w14:textId="09288D22" w:rsidR="007B0760" w:rsidRPr="007B25AE" w:rsidRDefault="008D5F88" w:rsidP="003B19B3">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The fifth Level 2 Heading is </w:t>
      </w:r>
      <w:r w:rsidR="00D44028" w:rsidRPr="007B25AE">
        <w:rPr>
          <w:rFonts w:ascii="Baskerville" w:eastAsia="MS PMincho" w:hAnsi="Baskerville" w:cs="Arabic Typesetting"/>
        </w:rPr>
        <w:t>“The Cost of Tea</w:t>
      </w:r>
      <w:r w:rsidR="00966EB3" w:rsidRPr="007B25AE">
        <w:rPr>
          <w:rFonts w:ascii="Baskerville" w:eastAsia="MS PMincho" w:hAnsi="Baskerville" w:cs="Arabic Typesetting"/>
        </w:rPr>
        <w:t>c</w:t>
      </w:r>
      <w:r w:rsidR="00D44028" w:rsidRPr="007B25AE">
        <w:rPr>
          <w:rFonts w:ascii="Baskerville" w:eastAsia="MS PMincho" w:hAnsi="Baskerville" w:cs="Arabic Typesetting"/>
        </w:rPr>
        <w:t>her Turnover.”</w:t>
      </w:r>
      <w:r w:rsidR="00863CE2" w:rsidRPr="007B25AE">
        <w:rPr>
          <w:rFonts w:ascii="Baskerville" w:eastAsia="MS PMincho" w:hAnsi="Baskerville" w:cs="Arabic Typesetting"/>
        </w:rPr>
        <w:t xml:space="preserve"> </w:t>
      </w:r>
      <w:r w:rsidR="003F37DB" w:rsidRPr="007B25AE">
        <w:rPr>
          <w:rFonts w:ascii="Baskerville" w:eastAsia="MS PMincho" w:hAnsi="Baskerville" w:cs="Arabic Typesetting"/>
        </w:rPr>
        <w:t>It goes without saying that high teacher</w:t>
      </w:r>
      <w:r w:rsidR="00BA2769" w:rsidRPr="007B25AE">
        <w:rPr>
          <w:rFonts w:ascii="Baskerville" w:eastAsia="MS PMincho" w:hAnsi="Baskerville" w:cs="Arabic Typesetting"/>
        </w:rPr>
        <w:t xml:space="preserve"> </w:t>
      </w:r>
      <w:r w:rsidR="003F37DB" w:rsidRPr="007B25AE">
        <w:rPr>
          <w:rFonts w:ascii="Baskerville" w:eastAsia="MS PMincho" w:hAnsi="Baskerville" w:cs="Arabic Typesetting"/>
        </w:rPr>
        <w:t xml:space="preserve">turnover translates into </w:t>
      </w:r>
      <w:r w:rsidR="00BA2769" w:rsidRPr="007B25AE">
        <w:rPr>
          <w:rFonts w:ascii="Baskerville" w:eastAsia="MS PMincho" w:hAnsi="Baskerville" w:cs="Arabic Typesetting"/>
        </w:rPr>
        <w:t xml:space="preserve">an increase in </w:t>
      </w:r>
      <w:r w:rsidR="003F37DB" w:rsidRPr="007B25AE">
        <w:rPr>
          <w:rFonts w:ascii="Baskerville" w:eastAsia="MS PMincho" w:hAnsi="Baskerville" w:cs="Arabic Typesetting"/>
        </w:rPr>
        <w:t xml:space="preserve">teacher cost. </w:t>
      </w:r>
      <w:r w:rsidR="0054049A" w:rsidRPr="007B25AE">
        <w:rPr>
          <w:rFonts w:ascii="Baskerville" w:eastAsia="MS PMincho" w:hAnsi="Baskerville" w:cs="Arabic Typesetting"/>
        </w:rPr>
        <w:t>He says that there is a</w:t>
      </w:r>
      <w:r w:rsidR="00CA0BE0" w:rsidRPr="007B25AE">
        <w:rPr>
          <w:rFonts w:ascii="Baskerville" w:eastAsia="MS PMincho" w:hAnsi="Baskerville" w:cs="Arabic Typesetting"/>
        </w:rPr>
        <w:t xml:space="preserve"> tremendous amount of</w:t>
      </w:r>
      <w:r w:rsidR="0054049A" w:rsidRPr="007B25AE">
        <w:rPr>
          <w:rFonts w:ascii="Baskerville" w:eastAsia="MS PMincho" w:hAnsi="Baskerville" w:cs="Arabic Typesetting"/>
        </w:rPr>
        <w:t xml:space="preserve"> research </w:t>
      </w:r>
      <w:r w:rsidR="00CA0BE0" w:rsidRPr="007B25AE">
        <w:rPr>
          <w:rFonts w:ascii="Baskerville" w:eastAsia="MS PMincho" w:hAnsi="Baskerville" w:cs="Arabic Typesetting"/>
        </w:rPr>
        <w:t>that support</w:t>
      </w:r>
      <w:r w:rsidR="003A16FD" w:rsidRPr="007B25AE">
        <w:rPr>
          <w:rFonts w:ascii="Baskerville" w:eastAsia="MS PMincho" w:hAnsi="Baskerville" w:cs="Arabic Typesetting"/>
        </w:rPr>
        <w:t>s</w:t>
      </w:r>
      <w:r w:rsidR="00CA0BE0" w:rsidRPr="007B25AE">
        <w:rPr>
          <w:rFonts w:ascii="Baskerville" w:eastAsia="MS PMincho" w:hAnsi="Baskerville" w:cs="Arabic Typesetting"/>
        </w:rPr>
        <w:t xml:space="preserve"> the position “</w:t>
      </w:r>
      <w:r w:rsidR="00594989" w:rsidRPr="007B25AE">
        <w:rPr>
          <w:rFonts w:ascii="Baskerville" w:eastAsia="MS PMincho" w:hAnsi="Baskerville" w:cs="Arabic Typesetting"/>
        </w:rPr>
        <w:t xml:space="preserve">. . . . </w:t>
      </w:r>
      <w:r w:rsidR="00CA0BE0" w:rsidRPr="007B25AE">
        <w:rPr>
          <w:rFonts w:ascii="Baskerville" w:eastAsia="MS PMincho" w:hAnsi="Baskerville" w:cs="Arabic Typesetting"/>
        </w:rPr>
        <w:t xml:space="preserve">that teacher quality is a highly reliable </w:t>
      </w:r>
      <w:r w:rsidR="00B82CAC" w:rsidRPr="007B25AE">
        <w:rPr>
          <w:rFonts w:ascii="Baskerville" w:eastAsia="MS PMincho" w:hAnsi="Baskerville" w:cs="Arabic Typesetting"/>
        </w:rPr>
        <w:t>predictor of student achievement” (Aaronson et al., 2007; Ballou et al., 2005; Bock et al., 1996; Jordan et al.,1997; Nye et al. (2004); Prince et al., 2007; Rivkin et al., 2005;</w:t>
      </w:r>
      <w:r w:rsidR="00171212" w:rsidRPr="007B25AE">
        <w:rPr>
          <w:rFonts w:ascii="Baskerville" w:eastAsia="MS PMincho" w:hAnsi="Baskerville" w:cs="Arabic Typesetting"/>
        </w:rPr>
        <w:t xml:space="preserve"> Rockoff, 2004; Roan et al., 2002; Sanders, 2000;  and Sanders and Rivers, 1996). </w:t>
      </w:r>
    </w:p>
    <w:p w14:paraId="284B87FC" w14:textId="4CB5D2EC" w:rsidR="003747BD" w:rsidRPr="007B25AE" w:rsidRDefault="00171212" w:rsidP="00B73916">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Because </w:t>
      </w:r>
      <w:r w:rsidR="007B0760" w:rsidRPr="007B25AE">
        <w:rPr>
          <w:rFonts w:ascii="Baskerville" w:eastAsia="MS PMincho" w:hAnsi="Baskerville" w:cs="Arabic Typesetting"/>
        </w:rPr>
        <w:t xml:space="preserve">some </w:t>
      </w:r>
      <w:r w:rsidRPr="007B25AE">
        <w:rPr>
          <w:rFonts w:ascii="Baskerville" w:eastAsia="MS PMincho" w:hAnsi="Baskerville" w:cs="Arabic Typesetting"/>
        </w:rPr>
        <w:t xml:space="preserve">schools and school districts </w:t>
      </w:r>
      <w:r w:rsidR="007B0760" w:rsidRPr="007B25AE">
        <w:rPr>
          <w:rFonts w:ascii="Baskerville" w:eastAsia="MS PMincho" w:hAnsi="Baskerville" w:cs="Arabic Typesetting"/>
        </w:rPr>
        <w:t xml:space="preserve">have such difficulty in </w:t>
      </w:r>
      <w:r w:rsidRPr="007B25AE">
        <w:rPr>
          <w:rFonts w:ascii="Baskerville" w:eastAsia="MS PMincho" w:hAnsi="Baskerville" w:cs="Arabic Typesetting"/>
        </w:rPr>
        <w:t>retain</w:t>
      </w:r>
      <w:r w:rsidR="007B0760" w:rsidRPr="007B25AE">
        <w:rPr>
          <w:rFonts w:ascii="Baskerville" w:eastAsia="MS PMincho" w:hAnsi="Baskerville" w:cs="Arabic Typesetting"/>
        </w:rPr>
        <w:t>ing</w:t>
      </w:r>
      <w:r w:rsidRPr="007B25AE">
        <w:rPr>
          <w:rFonts w:ascii="Baskerville" w:eastAsia="MS PMincho" w:hAnsi="Baskerville" w:cs="Arabic Typesetting"/>
        </w:rPr>
        <w:t xml:space="preserve"> their teachers</w:t>
      </w:r>
      <w:r w:rsidR="007B0760" w:rsidRPr="007B25AE">
        <w:rPr>
          <w:rFonts w:ascii="Baskerville" w:eastAsia="MS PMincho" w:hAnsi="Baskerville" w:cs="Arabic Typesetting"/>
        </w:rPr>
        <w:t>, the cost of maintaining quality instruction in th</w:t>
      </w:r>
      <w:r w:rsidR="00B5457D" w:rsidRPr="007B25AE">
        <w:rPr>
          <w:rFonts w:ascii="Baskerville" w:eastAsia="MS PMincho" w:hAnsi="Baskerville" w:cs="Arabic Typesetting"/>
        </w:rPr>
        <w:t>ose schools and districts</w:t>
      </w:r>
      <w:r w:rsidR="007B0760" w:rsidRPr="007B25AE">
        <w:rPr>
          <w:rFonts w:ascii="Baskerville" w:eastAsia="MS PMincho" w:hAnsi="Baskerville" w:cs="Arabic Typesetting"/>
        </w:rPr>
        <w:t xml:space="preserve"> is </w:t>
      </w:r>
      <w:r w:rsidR="00AA66F6" w:rsidRPr="007B25AE">
        <w:rPr>
          <w:rFonts w:ascii="Baskerville" w:eastAsia="MS PMincho" w:hAnsi="Baskerville" w:cs="Arabic Typesetting"/>
        </w:rPr>
        <w:t>ver</w:t>
      </w:r>
      <w:r w:rsidR="007B0760" w:rsidRPr="007B25AE">
        <w:rPr>
          <w:rFonts w:ascii="Baskerville" w:eastAsia="MS PMincho" w:hAnsi="Baskerville" w:cs="Arabic Typesetting"/>
        </w:rPr>
        <w:t xml:space="preserve">y </w:t>
      </w:r>
      <w:r w:rsidR="00AA66F6" w:rsidRPr="007B25AE">
        <w:rPr>
          <w:rFonts w:ascii="Baskerville" w:eastAsia="MS PMincho" w:hAnsi="Baskerville" w:cs="Arabic Typesetting"/>
        </w:rPr>
        <w:t>nearly impossible</w:t>
      </w:r>
      <w:r w:rsidR="007B0760" w:rsidRPr="007B25AE">
        <w:rPr>
          <w:rFonts w:ascii="Baskerville" w:eastAsia="MS PMincho" w:hAnsi="Baskerville" w:cs="Arabic Typesetting"/>
        </w:rPr>
        <w:t>.</w:t>
      </w:r>
      <w:r w:rsidRPr="007B25AE">
        <w:rPr>
          <w:rFonts w:ascii="Baskerville" w:eastAsia="MS PMincho" w:hAnsi="Baskerville" w:cs="Arabic Typesetting"/>
        </w:rPr>
        <w:t xml:space="preserve"> </w:t>
      </w:r>
      <w:r w:rsidR="00B5457D" w:rsidRPr="007B25AE">
        <w:rPr>
          <w:rFonts w:ascii="Baskerville" w:eastAsia="MS PMincho" w:hAnsi="Baskerville" w:cs="Arabic Typesetting"/>
        </w:rPr>
        <w:t xml:space="preserve">The enormous financial burden </w:t>
      </w:r>
      <w:r w:rsidR="006D3296" w:rsidRPr="007B25AE">
        <w:rPr>
          <w:rFonts w:ascii="Baskerville" w:eastAsia="MS PMincho" w:hAnsi="Baskerville" w:cs="Arabic Typesetting"/>
        </w:rPr>
        <w:t xml:space="preserve">that </w:t>
      </w:r>
      <w:r w:rsidR="00AA66F6" w:rsidRPr="007B25AE">
        <w:rPr>
          <w:rFonts w:ascii="Baskerville" w:eastAsia="MS PMincho" w:hAnsi="Baskerville" w:cs="Arabic Typesetting"/>
        </w:rPr>
        <w:t>is</w:t>
      </w:r>
      <w:r w:rsidR="006D3296" w:rsidRPr="007B25AE">
        <w:rPr>
          <w:rFonts w:ascii="Baskerville" w:eastAsia="MS PMincho" w:hAnsi="Baskerville" w:cs="Arabic Typesetting"/>
        </w:rPr>
        <w:t xml:space="preserve"> lugged </w:t>
      </w:r>
      <w:r w:rsidR="00AA66F6" w:rsidRPr="007B25AE">
        <w:rPr>
          <w:rFonts w:ascii="Baskerville" w:eastAsia="MS PMincho" w:hAnsi="Baskerville" w:cs="Arabic Typesetting"/>
        </w:rPr>
        <w:t xml:space="preserve">along </w:t>
      </w:r>
      <w:r w:rsidR="006D3296" w:rsidRPr="007B25AE">
        <w:rPr>
          <w:rFonts w:ascii="Baskerville" w:eastAsia="MS PMincho" w:hAnsi="Baskerville" w:cs="Arabic Typesetting"/>
        </w:rPr>
        <w:t>by</w:t>
      </w:r>
      <w:r w:rsidR="00B5457D" w:rsidRPr="007B25AE">
        <w:rPr>
          <w:rFonts w:ascii="Baskerville" w:eastAsia="MS PMincho" w:hAnsi="Baskerville" w:cs="Arabic Typesetting"/>
        </w:rPr>
        <w:t xml:space="preserve"> </w:t>
      </w:r>
      <w:r w:rsidR="00867E39" w:rsidRPr="007B25AE">
        <w:rPr>
          <w:rFonts w:ascii="Baskerville" w:eastAsia="MS PMincho" w:hAnsi="Baskerville" w:cs="Arabic Typesetting"/>
        </w:rPr>
        <w:t xml:space="preserve">some </w:t>
      </w:r>
      <w:r w:rsidR="00B5457D" w:rsidRPr="007B25AE">
        <w:rPr>
          <w:rFonts w:ascii="Baskerville" w:eastAsia="MS PMincho" w:hAnsi="Baskerville" w:cs="Arabic Typesetting"/>
        </w:rPr>
        <w:t>schools</w:t>
      </w:r>
      <w:r w:rsidR="00594989" w:rsidRPr="007B25AE">
        <w:rPr>
          <w:rFonts w:ascii="Baskerville" w:eastAsia="MS PMincho" w:hAnsi="Baskerville" w:cs="Arabic Typesetting"/>
        </w:rPr>
        <w:t>,</w:t>
      </w:r>
      <w:r w:rsidR="00B5457D" w:rsidRPr="007B25AE">
        <w:rPr>
          <w:rFonts w:ascii="Baskerville" w:eastAsia="MS PMincho" w:hAnsi="Baskerville" w:cs="Arabic Typesetting"/>
        </w:rPr>
        <w:t xml:space="preserve"> </w:t>
      </w:r>
      <w:proofErr w:type="gramStart"/>
      <w:r w:rsidR="006D3296" w:rsidRPr="007B25AE">
        <w:rPr>
          <w:rFonts w:ascii="Baskerville" w:eastAsia="MS PMincho" w:hAnsi="Baskerville" w:cs="Arabic Typesetting"/>
        </w:rPr>
        <w:t>as a result</w:t>
      </w:r>
      <w:r w:rsidR="00B5457D" w:rsidRPr="007B25AE">
        <w:rPr>
          <w:rFonts w:ascii="Baskerville" w:eastAsia="MS PMincho" w:hAnsi="Baskerville" w:cs="Arabic Typesetting"/>
        </w:rPr>
        <w:t xml:space="preserve"> </w:t>
      </w:r>
      <w:r w:rsidR="00867E39" w:rsidRPr="007B25AE">
        <w:rPr>
          <w:rFonts w:ascii="Baskerville" w:eastAsia="MS PMincho" w:hAnsi="Baskerville" w:cs="Arabic Typesetting"/>
        </w:rPr>
        <w:t>of</w:t>
      </w:r>
      <w:proofErr w:type="gramEnd"/>
      <w:r w:rsidR="00867E39" w:rsidRPr="007B25AE">
        <w:rPr>
          <w:rFonts w:ascii="Baskerville" w:eastAsia="MS PMincho" w:hAnsi="Baskerville" w:cs="Arabic Typesetting"/>
        </w:rPr>
        <w:t xml:space="preserve"> their </w:t>
      </w:r>
      <w:r w:rsidR="00B5457D" w:rsidRPr="007B25AE">
        <w:rPr>
          <w:rFonts w:ascii="Baskerville" w:eastAsia="MS PMincho" w:hAnsi="Baskerville" w:cs="Arabic Typesetting"/>
        </w:rPr>
        <w:t>inordinately high teacher turnover</w:t>
      </w:r>
      <w:r w:rsidR="00B82CAC" w:rsidRPr="007B25AE">
        <w:rPr>
          <w:rFonts w:ascii="Baskerville" w:eastAsia="MS PMincho" w:hAnsi="Baskerville" w:cs="Arabic Typesetting"/>
        </w:rPr>
        <w:t xml:space="preserve"> </w:t>
      </w:r>
      <w:r w:rsidR="006D3296" w:rsidRPr="007B25AE">
        <w:rPr>
          <w:rFonts w:ascii="Baskerville" w:eastAsia="MS PMincho" w:hAnsi="Baskerville" w:cs="Arabic Typesetting"/>
        </w:rPr>
        <w:t>rates</w:t>
      </w:r>
      <w:r w:rsidR="00594989" w:rsidRPr="007B25AE">
        <w:rPr>
          <w:rFonts w:ascii="Baskerville" w:eastAsia="MS PMincho" w:hAnsi="Baskerville" w:cs="Arabic Typesetting"/>
        </w:rPr>
        <w:t>,</w:t>
      </w:r>
      <w:r w:rsidR="006D3296" w:rsidRPr="007B25AE">
        <w:rPr>
          <w:rFonts w:ascii="Baskerville" w:eastAsia="MS PMincho" w:hAnsi="Baskerville" w:cs="Arabic Typesetting"/>
        </w:rPr>
        <w:t xml:space="preserve"> is normally noticeable in eight areas </w:t>
      </w:r>
      <w:r w:rsidR="00867E39" w:rsidRPr="007B25AE">
        <w:rPr>
          <w:rFonts w:ascii="Baskerville" w:eastAsia="MS PMincho" w:hAnsi="Baskerville" w:cs="Arabic Typesetting"/>
        </w:rPr>
        <w:t>of critical need</w:t>
      </w:r>
      <w:r w:rsidR="00AA66F6" w:rsidRPr="007B25AE">
        <w:rPr>
          <w:rFonts w:ascii="Baskerville" w:eastAsia="MS PMincho" w:hAnsi="Baskerville" w:cs="Arabic Typesetting"/>
        </w:rPr>
        <w:t xml:space="preserve">, according to </w:t>
      </w:r>
      <w:proofErr w:type="spellStart"/>
      <w:r w:rsidR="00AA66F6" w:rsidRPr="007B25AE">
        <w:rPr>
          <w:rFonts w:ascii="Baskerville" w:eastAsia="MS PMincho" w:hAnsi="Baskerville" w:cs="Arabic Typesetting"/>
        </w:rPr>
        <w:t>Ogundimu</w:t>
      </w:r>
      <w:proofErr w:type="spellEnd"/>
      <w:r w:rsidR="00867E39" w:rsidRPr="007B25AE">
        <w:rPr>
          <w:rFonts w:ascii="Baskerville" w:eastAsia="MS PMincho" w:hAnsi="Baskerville" w:cs="Arabic Typesetting"/>
        </w:rPr>
        <w:t>. The</w:t>
      </w:r>
      <w:r w:rsidR="000A6581" w:rsidRPr="007B25AE">
        <w:rPr>
          <w:rFonts w:ascii="Baskerville" w:eastAsia="MS PMincho" w:hAnsi="Baskerville" w:cs="Arabic Typesetting"/>
        </w:rPr>
        <w:t xml:space="preserve"> eight</w:t>
      </w:r>
      <w:r w:rsidR="00867E39" w:rsidRPr="007B25AE">
        <w:rPr>
          <w:rFonts w:ascii="Baskerville" w:eastAsia="MS PMincho" w:hAnsi="Baskerville" w:cs="Arabic Typesetting"/>
        </w:rPr>
        <w:t xml:space="preserve"> </w:t>
      </w:r>
      <w:r w:rsidR="00AA66F6" w:rsidRPr="007B25AE">
        <w:rPr>
          <w:rFonts w:ascii="Baskerville" w:eastAsia="MS PMincho" w:hAnsi="Baskerville" w:cs="Arabic Typesetting"/>
        </w:rPr>
        <w:t xml:space="preserve">aeras </w:t>
      </w:r>
      <w:r w:rsidR="00867E39" w:rsidRPr="007B25AE">
        <w:rPr>
          <w:rFonts w:ascii="Baskerville" w:eastAsia="MS PMincho" w:hAnsi="Baskerville" w:cs="Arabic Typesetting"/>
        </w:rPr>
        <w:t xml:space="preserve">are </w:t>
      </w:r>
      <w:r w:rsidR="000A6581" w:rsidRPr="007B25AE">
        <w:rPr>
          <w:rFonts w:ascii="Baskerville" w:eastAsia="MS PMincho" w:hAnsi="Baskerville" w:cs="Arabic Typesetting"/>
        </w:rPr>
        <w:t>“</w:t>
      </w:r>
      <w:r w:rsidR="00867E39" w:rsidRPr="007B25AE">
        <w:rPr>
          <w:rFonts w:ascii="Baskerville" w:eastAsia="MS PMincho" w:hAnsi="Baskerville" w:cs="Arabic Typesetting"/>
        </w:rPr>
        <w:t>teacher recruitment, special incentives, administrative processing, training for new hires, training for first-time teachers, training for all teachers, learning curve</w:t>
      </w:r>
      <w:r w:rsidR="00594989" w:rsidRPr="007B25AE">
        <w:rPr>
          <w:rFonts w:ascii="Baskerville" w:eastAsia="MS PMincho" w:hAnsi="Baskerville" w:cs="Arabic Typesetting"/>
        </w:rPr>
        <w:t>s</w:t>
      </w:r>
      <w:r w:rsidR="00867E39" w:rsidRPr="007B25AE">
        <w:rPr>
          <w:rFonts w:ascii="Baskerville" w:eastAsia="MS PMincho" w:hAnsi="Baskerville" w:cs="Arabic Typesetting"/>
        </w:rPr>
        <w:t>, and transfer</w:t>
      </w:r>
      <w:r w:rsidR="00594989" w:rsidRPr="007B25AE">
        <w:rPr>
          <w:rFonts w:ascii="Baskerville" w:eastAsia="MS PMincho" w:hAnsi="Baskerville" w:cs="Arabic Typesetting"/>
        </w:rPr>
        <w:t>s</w:t>
      </w:r>
      <w:r w:rsidR="000A6581" w:rsidRPr="007B25AE">
        <w:rPr>
          <w:rFonts w:ascii="Baskerville" w:eastAsia="MS PMincho" w:hAnsi="Baskerville" w:cs="Arabic Typesetting"/>
        </w:rPr>
        <w:t>” (</w:t>
      </w:r>
      <w:proofErr w:type="spellStart"/>
      <w:r w:rsidR="000A6581" w:rsidRPr="007B25AE">
        <w:rPr>
          <w:rFonts w:ascii="Baskerville" w:eastAsia="MS PMincho" w:hAnsi="Baskerville" w:cs="Arabic Typesetting"/>
        </w:rPr>
        <w:t>Ogundimu</w:t>
      </w:r>
      <w:proofErr w:type="spellEnd"/>
      <w:r w:rsidR="000A6581" w:rsidRPr="007B25AE">
        <w:rPr>
          <w:rFonts w:ascii="Baskerville" w:eastAsia="MS PMincho" w:hAnsi="Baskerville" w:cs="Arabic Typesetting"/>
        </w:rPr>
        <w:t>, 2014, p. 33).</w:t>
      </w:r>
      <w:r w:rsidR="003747BD" w:rsidRPr="007B25AE">
        <w:rPr>
          <w:rFonts w:ascii="Baskerville" w:eastAsia="MS PMincho" w:hAnsi="Baskerville" w:cs="Arabic Typesetting"/>
        </w:rPr>
        <w:t xml:space="preserve"> </w:t>
      </w:r>
    </w:p>
    <w:p w14:paraId="36203466" w14:textId="39A43CBF" w:rsidR="00997532" w:rsidRPr="007B25AE" w:rsidRDefault="00371524" w:rsidP="003B19B3">
      <w:pPr>
        <w:spacing w:line="360" w:lineRule="auto"/>
        <w:ind w:firstLine="720"/>
        <w:rPr>
          <w:rFonts w:ascii="Baskerville" w:eastAsia="MS PMincho" w:hAnsi="Baskerville" w:cs="Arabic Typesetting"/>
          <w:color w:val="FF0000"/>
        </w:rPr>
      </w:pPr>
      <w:r w:rsidRPr="007B25AE">
        <w:rPr>
          <w:rFonts w:ascii="Baskerville" w:eastAsia="MS PMincho" w:hAnsi="Baskerville" w:cs="Arabic Typesetting"/>
        </w:rPr>
        <w:t>From this point forward, the three remaining Level 2 Headings</w:t>
      </w:r>
      <w:r w:rsidR="003A65FF" w:rsidRPr="007B25AE">
        <w:rPr>
          <w:rFonts w:ascii="Baskerville" w:eastAsia="MS PMincho" w:hAnsi="Baskerville" w:cs="Arabic Typesetting"/>
        </w:rPr>
        <w:t xml:space="preserve"> </w:t>
      </w:r>
      <w:r w:rsidRPr="007B25AE">
        <w:rPr>
          <w:rFonts w:ascii="Baskerville" w:eastAsia="MS PMincho" w:hAnsi="Baskerville" w:cs="Arabic Typesetting"/>
        </w:rPr>
        <w:t>continue</w:t>
      </w:r>
      <w:r w:rsidR="003B759E" w:rsidRPr="007B25AE">
        <w:rPr>
          <w:rFonts w:ascii="Baskerville" w:eastAsia="MS PMincho" w:hAnsi="Baskerville" w:cs="Arabic Typesetting"/>
        </w:rPr>
        <w:t xml:space="preserve"> t</w:t>
      </w:r>
      <w:r w:rsidR="00B671F9" w:rsidRPr="007B25AE">
        <w:rPr>
          <w:rFonts w:ascii="Baskerville" w:eastAsia="MS PMincho" w:hAnsi="Baskerville" w:cs="Arabic Typesetting"/>
        </w:rPr>
        <w:t xml:space="preserve">he expansion </w:t>
      </w:r>
      <w:r w:rsidR="006A4E75" w:rsidRPr="007B25AE">
        <w:rPr>
          <w:rFonts w:ascii="Baskerville" w:eastAsia="MS PMincho" w:hAnsi="Baskerville" w:cs="Arabic Typesetting"/>
        </w:rPr>
        <w:t xml:space="preserve">of </w:t>
      </w:r>
      <w:r w:rsidR="007638A0" w:rsidRPr="007B25AE">
        <w:rPr>
          <w:rFonts w:ascii="Baskerville" w:eastAsia="MS PMincho" w:hAnsi="Baskerville" w:cs="Arabic Typesetting"/>
        </w:rPr>
        <w:t>the</w:t>
      </w:r>
      <w:r w:rsidR="00644F15" w:rsidRPr="007B25AE">
        <w:rPr>
          <w:rFonts w:ascii="Baskerville" w:eastAsia="MS PMincho" w:hAnsi="Baskerville" w:cs="Arabic Typesetting"/>
        </w:rPr>
        <w:t xml:space="preserve"> selected </w:t>
      </w:r>
      <w:r w:rsidR="005B6654" w:rsidRPr="007B25AE">
        <w:rPr>
          <w:rFonts w:ascii="Baskerville" w:eastAsia="MS PMincho" w:hAnsi="Baskerville" w:cs="Arabic Typesetting"/>
        </w:rPr>
        <w:t>portion</w:t>
      </w:r>
      <w:r w:rsidR="003B759E" w:rsidRPr="007B25AE">
        <w:rPr>
          <w:rFonts w:ascii="Baskerville" w:eastAsia="MS PMincho" w:hAnsi="Baskerville" w:cs="Arabic Typesetting"/>
        </w:rPr>
        <w:t xml:space="preserve"> of </w:t>
      </w:r>
      <w:r w:rsidR="005B6654" w:rsidRPr="007B25AE">
        <w:rPr>
          <w:rFonts w:ascii="Baskerville" w:eastAsia="MS PMincho" w:hAnsi="Baskerville" w:cs="Arabic Typesetting"/>
        </w:rPr>
        <w:t xml:space="preserve">the </w:t>
      </w:r>
      <w:r w:rsidR="00644F15" w:rsidRPr="007B25AE">
        <w:rPr>
          <w:rFonts w:ascii="Baskerville" w:eastAsia="MS PMincho" w:hAnsi="Baskerville" w:cs="Arabic Typesetting"/>
          <w:color w:val="000000" w:themeColor="text1"/>
        </w:rPr>
        <w:t>research</w:t>
      </w:r>
      <w:r w:rsidR="007638A0" w:rsidRPr="007B25AE">
        <w:rPr>
          <w:rFonts w:ascii="Baskerville" w:eastAsia="MS PMincho" w:hAnsi="Baskerville" w:cs="Arabic Typesetting"/>
          <w:color w:val="000000" w:themeColor="text1"/>
        </w:rPr>
        <w:t xml:space="preserve"> </w:t>
      </w:r>
      <w:r w:rsidR="006A4E75" w:rsidRPr="007B25AE">
        <w:rPr>
          <w:rFonts w:ascii="Baskerville" w:eastAsia="MS PMincho" w:hAnsi="Baskerville" w:cs="Arabic Typesetting"/>
          <w:color w:val="000000" w:themeColor="text1"/>
        </w:rPr>
        <w:t xml:space="preserve">material </w:t>
      </w:r>
      <w:r w:rsidR="005B6654" w:rsidRPr="007B25AE">
        <w:rPr>
          <w:rFonts w:ascii="Baskerville" w:eastAsia="MS PMincho" w:hAnsi="Baskerville" w:cs="Arabic Typesetting"/>
          <w:color w:val="000000" w:themeColor="text1"/>
        </w:rPr>
        <w:t>u</w:t>
      </w:r>
      <w:r w:rsidR="003F1954" w:rsidRPr="007B25AE">
        <w:rPr>
          <w:rFonts w:ascii="Baskerville" w:eastAsia="MS PMincho" w:hAnsi="Baskerville" w:cs="Arabic Typesetting"/>
          <w:color w:val="000000" w:themeColor="text1"/>
        </w:rPr>
        <w:t xml:space="preserve">nto </w:t>
      </w:r>
      <w:r w:rsidR="007638A0" w:rsidRPr="007B25AE">
        <w:rPr>
          <w:rFonts w:ascii="Baskerville" w:eastAsia="MS PMincho" w:hAnsi="Baskerville" w:cs="Arabic Typesetting"/>
          <w:color w:val="000000" w:themeColor="text1"/>
        </w:rPr>
        <w:t xml:space="preserve">the </w:t>
      </w:r>
      <w:r w:rsidR="003B759E" w:rsidRPr="007B25AE">
        <w:rPr>
          <w:rFonts w:ascii="Baskerville" w:eastAsia="MS PMincho" w:hAnsi="Baskerville" w:cs="Arabic Typesetting"/>
          <w:color w:val="000000" w:themeColor="text1"/>
        </w:rPr>
        <w:t xml:space="preserve">platform </w:t>
      </w:r>
      <w:r w:rsidR="003F1954" w:rsidRPr="007B25AE">
        <w:rPr>
          <w:rFonts w:ascii="Baskerville" w:eastAsia="MS PMincho" w:hAnsi="Baskerville" w:cs="Arabic Typesetting"/>
          <w:color w:val="000000" w:themeColor="text1"/>
        </w:rPr>
        <w:t>from</w:t>
      </w:r>
      <w:r w:rsidR="007638A0" w:rsidRPr="007B25AE">
        <w:rPr>
          <w:rFonts w:ascii="Baskerville" w:eastAsia="MS PMincho" w:hAnsi="Baskerville" w:cs="Arabic Typesetting"/>
          <w:color w:val="000000" w:themeColor="text1"/>
        </w:rPr>
        <w:t xml:space="preserve"> which the </w:t>
      </w:r>
      <w:r w:rsidR="003B759E" w:rsidRPr="007B25AE">
        <w:rPr>
          <w:rFonts w:ascii="Baskerville" w:eastAsia="MS PMincho" w:hAnsi="Baskerville" w:cs="Arabic Typesetting"/>
          <w:color w:val="000000" w:themeColor="text1"/>
        </w:rPr>
        <w:t>purpose</w:t>
      </w:r>
      <w:r w:rsidR="007638A0" w:rsidRPr="007B25AE">
        <w:rPr>
          <w:rFonts w:ascii="Baskerville" w:eastAsia="MS PMincho" w:hAnsi="Baskerville" w:cs="Arabic Typesetting"/>
          <w:color w:val="000000" w:themeColor="text1"/>
        </w:rPr>
        <w:t xml:space="preserve"> </w:t>
      </w:r>
      <w:r w:rsidR="003F1954" w:rsidRPr="007B25AE">
        <w:rPr>
          <w:rFonts w:ascii="Baskerville" w:eastAsia="MS PMincho" w:hAnsi="Baskerville" w:cs="Arabic Typesetting"/>
          <w:color w:val="000000" w:themeColor="text1"/>
        </w:rPr>
        <w:t>for the dissertation</w:t>
      </w:r>
      <w:r w:rsidR="007638A0" w:rsidRPr="007B25AE">
        <w:rPr>
          <w:rFonts w:ascii="Baskerville" w:eastAsia="MS PMincho" w:hAnsi="Baskerville" w:cs="Arabic Typesetting"/>
          <w:color w:val="000000" w:themeColor="text1"/>
        </w:rPr>
        <w:t xml:space="preserve"> </w:t>
      </w:r>
      <w:r w:rsidR="001F4CB2" w:rsidRPr="007B25AE">
        <w:rPr>
          <w:rFonts w:ascii="Baskerville" w:eastAsia="MS PMincho" w:hAnsi="Baskerville" w:cs="Arabic Typesetting"/>
          <w:color w:val="000000" w:themeColor="text1"/>
        </w:rPr>
        <w:t>is</w:t>
      </w:r>
      <w:r w:rsidR="007638A0" w:rsidRPr="007B25AE">
        <w:rPr>
          <w:rFonts w:ascii="Baskerville" w:eastAsia="MS PMincho" w:hAnsi="Baskerville" w:cs="Arabic Typesetting"/>
          <w:color w:val="000000" w:themeColor="text1"/>
        </w:rPr>
        <w:t xml:space="preserve"> framed</w:t>
      </w:r>
      <w:r w:rsidR="006A4E75" w:rsidRPr="007B25AE">
        <w:rPr>
          <w:rFonts w:ascii="Baskerville" w:eastAsia="MS PMincho" w:hAnsi="Baskerville" w:cs="Arabic Typesetting"/>
          <w:color w:val="000000" w:themeColor="text1"/>
        </w:rPr>
        <w:t>.</w:t>
      </w:r>
      <w:r w:rsidR="00EF48A1" w:rsidRPr="007B25AE">
        <w:rPr>
          <w:rFonts w:ascii="Baskerville" w:eastAsia="MS PMincho" w:hAnsi="Baskerville" w:cs="Arabic Typesetting"/>
        </w:rPr>
        <w:t xml:space="preserve"> </w:t>
      </w:r>
      <w:r w:rsidR="00C972D6" w:rsidRPr="007B25AE">
        <w:rPr>
          <w:rFonts w:ascii="Baskerville" w:eastAsia="MS PMincho" w:hAnsi="Baskerville" w:cs="Arabic Typesetting"/>
        </w:rPr>
        <w:t>W</w:t>
      </w:r>
      <w:r w:rsidR="0082675F" w:rsidRPr="007B25AE">
        <w:rPr>
          <w:rFonts w:ascii="Baskerville" w:eastAsia="MS PMincho" w:hAnsi="Baskerville" w:cs="Arabic Typesetting"/>
        </w:rPr>
        <w:t>ith that</w:t>
      </w:r>
      <w:r w:rsidR="00EF48A1" w:rsidRPr="007B25AE">
        <w:rPr>
          <w:rFonts w:ascii="Baskerville" w:eastAsia="MS PMincho" w:hAnsi="Baskerville" w:cs="Arabic Typesetting"/>
        </w:rPr>
        <w:t>,</w:t>
      </w:r>
      <w:r w:rsidR="00F37980" w:rsidRPr="007B25AE">
        <w:rPr>
          <w:rFonts w:ascii="Baskerville" w:eastAsia="MS PMincho" w:hAnsi="Baskerville" w:cs="Arabic Typesetting"/>
        </w:rPr>
        <w:t xml:space="preserve"> th</w:t>
      </w:r>
      <w:r w:rsidR="001F4CB2" w:rsidRPr="007B25AE">
        <w:rPr>
          <w:rFonts w:ascii="Baskerville" w:eastAsia="MS PMincho" w:hAnsi="Baskerville" w:cs="Arabic Typesetting"/>
        </w:rPr>
        <w:t>is</w:t>
      </w:r>
      <w:r w:rsidR="00F37980" w:rsidRPr="007B25AE">
        <w:rPr>
          <w:rFonts w:ascii="Baskerville" w:eastAsia="MS PMincho" w:hAnsi="Baskerville" w:cs="Arabic Typesetting"/>
        </w:rPr>
        <w:t xml:space="preserve"> Literature Review </w:t>
      </w:r>
      <w:r w:rsidR="00EF48A1" w:rsidRPr="007B25AE">
        <w:rPr>
          <w:rFonts w:ascii="Baskerville" w:eastAsia="MS PMincho" w:hAnsi="Baskerville" w:cs="Arabic Typesetting"/>
        </w:rPr>
        <w:t xml:space="preserve">is </w:t>
      </w:r>
      <w:r w:rsidR="00C50B15" w:rsidRPr="007B25AE">
        <w:rPr>
          <w:rFonts w:ascii="Baskerville" w:eastAsia="MS PMincho" w:hAnsi="Baskerville" w:cs="Arabic Typesetting"/>
        </w:rPr>
        <w:t>directed</w:t>
      </w:r>
      <w:r w:rsidR="00092988" w:rsidRPr="007B25AE">
        <w:rPr>
          <w:rFonts w:ascii="Baskerville" w:eastAsia="MS PMincho" w:hAnsi="Baskerville" w:cs="Arabic Typesetting"/>
        </w:rPr>
        <w:t xml:space="preserve"> </w:t>
      </w:r>
      <w:r w:rsidR="00412213" w:rsidRPr="007B25AE">
        <w:rPr>
          <w:rFonts w:ascii="Baskerville" w:eastAsia="MS PMincho" w:hAnsi="Baskerville" w:cs="Arabic Typesetting"/>
        </w:rPr>
        <w:t>a</w:t>
      </w:r>
      <w:r w:rsidR="00092988" w:rsidRPr="007B25AE">
        <w:rPr>
          <w:rFonts w:ascii="Baskerville" w:eastAsia="MS PMincho" w:hAnsi="Baskerville" w:cs="Arabic Typesetting"/>
        </w:rPr>
        <w:t>t exercis</w:t>
      </w:r>
      <w:r w:rsidR="00412213" w:rsidRPr="007B25AE">
        <w:rPr>
          <w:rFonts w:ascii="Baskerville" w:eastAsia="MS PMincho" w:hAnsi="Baskerville" w:cs="Arabic Typesetting"/>
        </w:rPr>
        <w:t>ing</w:t>
      </w:r>
      <w:r w:rsidR="00092988" w:rsidRPr="007B25AE">
        <w:rPr>
          <w:rFonts w:ascii="Baskerville" w:eastAsia="MS PMincho" w:hAnsi="Baskerville" w:cs="Arabic Typesetting"/>
        </w:rPr>
        <w:t xml:space="preserve"> </w:t>
      </w:r>
      <w:r w:rsidR="005B6654" w:rsidRPr="007B25AE">
        <w:rPr>
          <w:rFonts w:ascii="Baskerville" w:eastAsia="MS PMincho" w:hAnsi="Baskerville" w:cs="Arabic Typesetting"/>
        </w:rPr>
        <w:t>the</w:t>
      </w:r>
      <w:r w:rsidR="00AA28A9" w:rsidRPr="007B25AE">
        <w:rPr>
          <w:rFonts w:ascii="Baskerville" w:eastAsia="MS PMincho" w:hAnsi="Baskerville" w:cs="Arabic Typesetting"/>
        </w:rPr>
        <w:t xml:space="preserve"> </w:t>
      </w:r>
      <w:r w:rsidR="00EF48A1" w:rsidRPr="007B25AE">
        <w:rPr>
          <w:rFonts w:ascii="Baskerville" w:eastAsia="MS PMincho" w:hAnsi="Baskerville" w:cs="Arabic Typesetting"/>
        </w:rPr>
        <w:t>fre</w:t>
      </w:r>
      <w:r w:rsidR="00AA28A9" w:rsidRPr="007B25AE">
        <w:rPr>
          <w:rFonts w:ascii="Baskerville" w:eastAsia="MS PMincho" w:hAnsi="Baskerville" w:cs="Arabic Typesetting"/>
        </w:rPr>
        <w:t>e</w:t>
      </w:r>
      <w:r w:rsidR="00EF48A1" w:rsidRPr="007B25AE">
        <w:rPr>
          <w:rFonts w:ascii="Baskerville" w:eastAsia="MS PMincho" w:hAnsi="Baskerville" w:cs="Arabic Typesetting"/>
        </w:rPr>
        <w:t>d</w:t>
      </w:r>
      <w:r w:rsidR="00AA28A9" w:rsidRPr="007B25AE">
        <w:rPr>
          <w:rFonts w:ascii="Baskerville" w:eastAsia="MS PMincho" w:hAnsi="Baskerville" w:cs="Arabic Typesetting"/>
        </w:rPr>
        <w:t>om</w:t>
      </w:r>
      <w:r w:rsidR="00EF48A1" w:rsidRPr="007B25AE">
        <w:rPr>
          <w:rFonts w:ascii="Baskerville" w:eastAsia="MS PMincho" w:hAnsi="Baskerville" w:cs="Arabic Typesetting"/>
        </w:rPr>
        <w:t xml:space="preserve"> </w:t>
      </w:r>
      <w:r w:rsidR="00AA66F6" w:rsidRPr="007B25AE">
        <w:rPr>
          <w:rFonts w:ascii="Baskerville" w:eastAsia="MS PMincho" w:hAnsi="Baskerville" w:cs="Arabic Typesetting"/>
        </w:rPr>
        <w:t xml:space="preserve">to </w:t>
      </w:r>
      <w:r w:rsidR="00447A96" w:rsidRPr="007B25AE">
        <w:rPr>
          <w:rFonts w:ascii="Baskerville" w:eastAsia="MS PMincho" w:hAnsi="Baskerville" w:cs="Arabic Typesetting"/>
        </w:rPr>
        <w:t xml:space="preserve">do </w:t>
      </w:r>
      <w:r w:rsidR="00412213" w:rsidRPr="007B25AE">
        <w:rPr>
          <w:rFonts w:ascii="Baskerville" w:eastAsia="MS PMincho" w:hAnsi="Baskerville" w:cs="Arabic Typesetting"/>
        </w:rPr>
        <w:t>the</w:t>
      </w:r>
      <w:r w:rsidR="00447A96" w:rsidRPr="007B25AE">
        <w:rPr>
          <w:rFonts w:ascii="Baskerville" w:eastAsia="MS PMincho" w:hAnsi="Baskerville" w:cs="Arabic Typesetting"/>
        </w:rPr>
        <w:t xml:space="preserve"> job</w:t>
      </w:r>
      <w:r w:rsidR="00AA66F6" w:rsidRPr="007B25AE">
        <w:rPr>
          <w:rFonts w:ascii="Baskerville" w:eastAsia="MS PMincho" w:hAnsi="Baskerville" w:cs="Arabic Typesetting"/>
        </w:rPr>
        <w:t xml:space="preserve"> of </w:t>
      </w:r>
      <w:r w:rsidR="00F37980" w:rsidRPr="007B25AE">
        <w:rPr>
          <w:rFonts w:ascii="Baskerville" w:eastAsia="MS PMincho" w:hAnsi="Baskerville" w:cs="Arabic Typesetting"/>
        </w:rPr>
        <w:t>foreshadow</w:t>
      </w:r>
      <w:r w:rsidR="00AA66F6" w:rsidRPr="007B25AE">
        <w:rPr>
          <w:rFonts w:ascii="Baskerville" w:eastAsia="MS PMincho" w:hAnsi="Baskerville" w:cs="Arabic Typesetting"/>
        </w:rPr>
        <w:t>ing</w:t>
      </w:r>
      <w:r w:rsidR="00F37980" w:rsidRPr="007B25AE">
        <w:rPr>
          <w:rFonts w:ascii="Baskerville" w:eastAsia="MS PMincho" w:hAnsi="Baskerville" w:cs="Arabic Typesetting"/>
        </w:rPr>
        <w:t xml:space="preserve"> </w:t>
      </w:r>
      <w:r w:rsidR="00D47CA6" w:rsidRPr="007B25AE">
        <w:rPr>
          <w:rFonts w:ascii="Baskerville" w:eastAsia="MS PMincho" w:hAnsi="Baskerville" w:cs="Arabic Typesetting"/>
        </w:rPr>
        <w:t xml:space="preserve">how </w:t>
      </w:r>
      <w:r w:rsidR="00F37980" w:rsidRPr="007B25AE">
        <w:rPr>
          <w:rFonts w:ascii="Baskerville" w:eastAsia="MS PMincho" w:hAnsi="Baskerville" w:cs="Arabic Typesetting"/>
        </w:rPr>
        <w:t>the</w:t>
      </w:r>
      <w:r w:rsidR="000B06AF" w:rsidRPr="007B25AE">
        <w:rPr>
          <w:rFonts w:ascii="Baskerville" w:eastAsia="MS PMincho" w:hAnsi="Baskerville" w:cs="Arabic Typesetting"/>
        </w:rPr>
        <w:t xml:space="preserve"> </w:t>
      </w:r>
      <w:r w:rsidR="005B6654" w:rsidRPr="007B25AE">
        <w:rPr>
          <w:rFonts w:ascii="Baskerville" w:eastAsia="MS PMincho" w:hAnsi="Baskerville" w:cs="Arabic Typesetting"/>
        </w:rPr>
        <w:t>central thesis</w:t>
      </w:r>
      <w:r w:rsidR="009068EA" w:rsidRPr="007B25AE">
        <w:rPr>
          <w:rFonts w:ascii="Baskerville" w:eastAsia="MS PMincho" w:hAnsi="Baskerville" w:cs="Arabic Typesetting"/>
        </w:rPr>
        <w:t xml:space="preserve"> of the discourse </w:t>
      </w:r>
      <w:r w:rsidR="001F4CB2" w:rsidRPr="007B25AE">
        <w:rPr>
          <w:rFonts w:ascii="Baskerville" w:eastAsia="MS PMincho" w:hAnsi="Baskerville" w:cs="Arabic Typesetting"/>
        </w:rPr>
        <w:t xml:space="preserve">will continue its </w:t>
      </w:r>
      <w:r w:rsidR="005B6654" w:rsidRPr="007B25AE">
        <w:rPr>
          <w:rFonts w:ascii="Baskerville" w:eastAsia="MS PMincho" w:hAnsi="Baskerville" w:cs="Arabic Typesetting"/>
        </w:rPr>
        <w:t>develop</w:t>
      </w:r>
      <w:r w:rsidR="001F4CB2" w:rsidRPr="007B25AE">
        <w:rPr>
          <w:rFonts w:ascii="Baskerville" w:eastAsia="MS PMincho" w:hAnsi="Baskerville" w:cs="Arabic Typesetting"/>
        </w:rPr>
        <w:t>ment</w:t>
      </w:r>
      <w:r w:rsidR="005B6654" w:rsidRPr="007B25AE">
        <w:rPr>
          <w:rFonts w:ascii="Baskerville" w:eastAsia="MS PMincho" w:hAnsi="Baskerville" w:cs="Arabic Typesetting"/>
        </w:rPr>
        <w:t xml:space="preserve"> </w:t>
      </w:r>
      <w:r w:rsidR="001F4CB2" w:rsidRPr="007B25AE">
        <w:rPr>
          <w:rFonts w:ascii="Baskerville" w:eastAsia="MS PMincho" w:hAnsi="Baskerville" w:cs="Arabic Typesetting"/>
        </w:rPr>
        <w:t xml:space="preserve">over </w:t>
      </w:r>
      <w:r w:rsidR="00AA28A9" w:rsidRPr="007B25AE">
        <w:rPr>
          <w:rFonts w:ascii="Baskerville" w:eastAsia="MS PMincho" w:hAnsi="Baskerville" w:cs="Arabic Typesetting"/>
        </w:rPr>
        <w:t>C</w:t>
      </w:r>
      <w:r w:rsidR="00F37980" w:rsidRPr="007B25AE">
        <w:rPr>
          <w:rFonts w:ascii="Baskerville" w:eastAsia="MS PMincho" w:hAnsi="Baskerville" w:cs="Arabic Typesetting"/>
        </w:rPr>
        <w:t xml:space="preserve">hapters </w:t>
      </w:r>
      <w:r w:rsidR="00AA28A9" w:rsidRPr="007B25AE">
        <w:rPr>
          <w:rFonts w:ascii="Baskerville" w:eastAsia="MS PMincho" w:hAnsi="Baskerville" w:cs="Arabic Typesetting"/>
        </w:rPr>
        <w:t xml:space="preserve">III through </w:t>
      </w:r>
      <w:r w:rsidR="00092988" w:rsidRPr="007B25AE">
        <w:rPr>
          <w:rFonts w:ascii="Baskerville" w:eastAsia="MS PMincho" w:hAnsi="Baskerville" w:cs="Arabic Typesetting"/>
        </w:rPr>
        <w:t>V</w:t>
      </w:r>
      <w:r w:rsidR="00F37980" w:rsidRPr="007B25AE">
        <w:rPr>
          <w:rFonts w:ascii="Baskerville" w:eastAsia="MS PMincho" w:hAnsi="Baskerville" w:cs="Arabic Typesetting"/>
        </w:rPr>
        <w:t xml:space="preserve"> to </w:t>
      </w:r>
      <w:r w:rsidR="006F4BBD" w:rsidRPr="007B25AE">
        <w:rPr>
          <w:rFonts w:ascii="Baskerville" w:eastAsia="MS PMincho" w:hAnsi="Baskerville" w:cs="Arabic Typesetting"/>
        </w:rPr>
        <w:t>its</w:t>
      </w:r>
      <w:r w:rsidR="000B06AF" w:rsidRPr="007B25AE">
        <w:rPr>
          <w:rFonts w:ascii="Baskerville" w:eastAsia="MS PMincho" w:hAnsi="Baskerville" w:cs="Arabic Typesetting"/>
        </w:rPr>
        <w:t xml:space="preserve"> </w:t>
      </w:r>
      <w:r w:rsidR="006F4BBD" w:rsidRPr="007B25AE">
        <w:rPr>
          <w:rFonts w:ascii="Baskerville" w:eastAsia="MS PMincho" w:hAnsi="Baskerville" w:cs="Arabic Typesetting"/>
        </w:rPr>
        <w:t>logical conclusion</w:t>
      </w:r>
      <w:r w:rsidR="00F37980" w:rsidRPr="007B25AE">
        <w:rPr>
          <w:rFonts w:ascii="Baskerville" w:eastAsia="MS PMincho" w:hAnsi="Baskerville" w:cs="Arabic Typesetting"/>
        </w:rPr>
        <w:t xml:space="preserve">. </w:t>
      </w:r>
    </w:p>
    <w:p w14:paraId="0A0D0170" w14:textId="5D9529D2" w:rsidR="003E6A27" w:rsidRPr="007B25AE" w:rsidRDefault="00521618" w:rsidP="007E7684">
      <w:pPr>
        <w:spacing w:line="360" w:lineRule="auto"/>
        <w:ind w:firstLine="720"/>
        <w:rPr>
          <w:rFonts w:ascii="Baskerville" w:eastAsia="MS PMincho" w:hAnsi="Baskerville" w:cs="Arabic Typesetting"/>
        </w:rPr>
      </w:pPr>
      <w:r w:rsidRPr="007B25AE">
        <w:rPr>
          <w:rFonts w:ascii="Baskerville" w:eastAsia="MS PMincho" w:hAnsi="Baskerville" w:cs="Arabic Typesetting"/>
        </w:rPr>
        <w:t>C</w:t>
      </w:r>
      <w:r w:rsidR="00174D36" w:rsidRPr="007B25AE">
        <w:rPr>
          <w:rFonts w:ascii="Baskerville" w:eastAsia="MS PMincho" w:hAnsi="Baskerville" w:cs="Arabic Typesetting"/>
        </w:rPr>
        <w:t>oming out of</w:t>
      </w:r>
      <w:r w:rsidR="007936F7" w:rsidRPr="007B25AE">
        <w:rPr>
          <w:rFonts w:ascii="Baskerville" w:eastAsia="MS PMincho" w:hAnsi="Baskerville" w:cs="Arabic Typesetting"/>
        </w:rPr>
        <w:t xml:space="preserve"> the large</w:t>
      </w:r>
      <w:r w:rsidR="004F2C4E" w:rsidRPr="007B25AE">
        <w:rPr>
          <w:rFonts w:ascii="Baskerville" w:eastAsia="MS PMincho" w:hAnsi="Baskerville" w:cs="Arabic Typesetting"/>
        </w:rPr>
        <w:t>r</w:t>
      </w:r>
      <w:r w:rsidR="007936F7" w:rsidRPr="007B25AE">
        <w:rPr>
          <w:rFonts w:ascii="Baskerville" w:eastAsia="MS PMincho" w:hAnsi="Baskerville" w:cs="Arabic Typesetting"/>
        </w:rPr>
        <w:t xml:space="preserve"> body of research</w:t>
      </w:r>
      <w:r w:rsidR="00174D36" w:rsidRPr="007B25AE">
        <w:rPr>
          <w:rFonts w:ascii="Baskerville" w:eastAsia="MS PMincho" w:hAnsi="Baskerville" w:cs="Arabic Typesetting"/>
        </w:rPr>
        <w:t xml:space="preserve"> consulted by</w:t>
      </w:r>
      <w:r w:rsidR="007936F7" w:rsidRPr="007B25AE">
        <w:rPr>
          <w:rFonts w:ascii="Baskerville" w:eastAsia="MS PMincho" w:hAnsi="Baskerville" w:cs="Arabic Typesetting"/>
        </w:rPr>
        <w:t xml:space="preserve"> </w:t>
      </w:r>
      <w:proofErr w:type="spellStart"/>
      <w:r w:rsidR="007936F7" w:rsidRPr="007B25AE">
        <w:rPr>
          <w:rFonts w:ascii="Baskerville" w:eastAsia="MS PMincho" w:hAnsi="Baskerville" w:cs="Arabic Typesetting"/>
        </w:rPr>
        <w:t>Ogundimu</w:t>
      </w:r>
      <w:proofErr w:type="spellEnd"/>
      <w:r w:rsidR="00174D36" w:rsidRPr="007B25AE">
        <w:rPr>
          <w:rFonts w:ascii="Baskerville" w:eastAsia="MS PMincho" w:hAnsi="Baskerville" w:cs="Arabic Typesetting"/>
        </w:rPr>
        <w:t xml:space="preserve">, </w:t>
      </w:r>
      <w:r w:rsidR="004F2C4E" w:rsidRPr="007B25AE">
        <w:rPr>
          <w:rFonts w:ascii="Baskerville" w:eastAsia="MS PMincho" w:hAnsi="Baskerville" w:cs="Arabic Typesetting"/>
        </w:rPr>
        <w:t xml:space="preserve">a </w:t>
      </w:r>
      <w:r w:rsidR="007936F7" w:rsidRPr="007B25AE">
        <w:rPr>
          <w:rFonts w:ascii="Baskerville" w:eastAsia="MS PMincho" w:hAnsi="Baskerville" w:cs="Arabic Typesetting"/>
        </w:rPr>
        <w:t xml:space="preserve">significant </w:t>
      </w:r>
      <w:r w:rsidR="007936F7" w:rsidRPr="007B25AE">
        <w:rPr>
          <w:rFonts w:ascii="Baskerville" w:eastAsia="MS PMincho" w:hAnsi="Baskerville" w:cs="Arabic Typesetting"/>
          <w:color w:val="FF0000"/>
        </w:rPr>
        <w:t>gap</w:t>
      </w:r>
      <w:r w:rsidR="007936F7" w:rsidRPr="007B25AE">
        <w:rPr>
          <w:rFonts w:ascii="Baskerville" w:eastAsia="MS PMincho" w:hAnsi="Baskerville" w:cs="Arabic Typesetting"/>
        </w:rPr>
        <w:t xml:space="preserve"> that</w:t>
      </w:r>
      <w:r w:rsidR="007936F7" w:rsidRPr="007B25AE">
        <w:rPr>
          <w:rFonts w:ascii="Baskerville" w:eastAsia="MS PMincho" w:hAnsi="Baskerville" w:cs="Arabic Typesetting"/>
          <w:color w:val="000000" w:themeColor="text1"/>
        </w:rPr>
        <w:t xml:space="preserve"> </w:t>
      </w:r>
      <w:r w:rsidR="004F2C4E" w:rsidRPr="007B25AE">
        <w:rPr>
          <w:rFonts w:ascii="Baskerville" w:eastAsia="MS PMincho" w:hAnsi="Baskerville" w:cs="Arabic Typesetting"/>
          <w:color w:val="000000" w:themeColor="text1"/>
        </w:rPr>
        <w:t>justifies</w:t>
      </w:r>
      <w:r w:rsidR="004F2C4E" w:rsidRPr="007B25AE">
        <w:rPr>
          <w:rFonts w:ascii="Baskerville" w:eastAsia="MS PMincho" w:hAnsi="Baskerville" w:cs="Arabic Typesetting"/>
        </w:rPr>
        <w:t xml:space="preserve"> </w:t>
      </w:r>
      <w:r w:rsidR="00412213" w:rsidRPr="007B25AE">
        <w:rPr>
          <w:rFonts w:ascii="Baskerville" w:eastAsia="MS PMincho" w:hAnsi="Baskerville" w:cs="Arabic Typesetting"/>
        </w:rPr>
        <w:t>the</w:t>
      </w:r>
      <w:r w:rsidR="00412213" w:rsidRPr="007B25AE">
        <w:rPr>
          <w:rFonts w:ascii="Baskerville" w:eastAsia="MS PMincho" w:hAnsi="Baskerville" w:cs="Arabic Typesetting"/>
          <w:color w:val="FF0000"/>
        </w:rPr>
        <w:t xml:space="preserve"> </w:t>
      </w:r>
      <w:r w:rsidR="00412213" w:rsidRPr="007B25AE">
        <w:rPr>
          <w:rFonts w:ascii="Baskerville" w:eastAsia="MS PMincho" w:hAnsi="Baskerville" w:cs="Arabic Typesetting"/>
        </w:rPr>
        <w:t>for t</w:t>
      </w:r>
      <w:r w:rsidR="004F2C4E" w:rsidRPr="007B25AE">
        <w:rPr>
          <w:rFonts w:ascii="Baskerville" w:eastAsia="MS PMincho" w:hAnsi="Baskerville" w:cs="Arabic Typesetting"/>
        </w:rPr>
        <w:t>his</w:t>
      </w:r>
      <w:r w:rsidR="007936F7" w:rsidRPr="007B25AE">
        <w:rPr>
          <w:rFonts w:ascii="Baskerville" w:eastAsia="MS PMincho" w:hAnsi="Baskerville" w:cs="Arabic Typesetting"/>
        </w:rPr>
        <w:t xml:space="preserve"> research</w:t>
      </w:r>
      <w:r w:rsidR="004F2C4E" w:rsidRPr="007B25AE">
        <w:rPr>
          <w:rFonts w:ascii="Baskerville" w:eastAsia="MS PMincho" w:hAnsi="Baskerville" w:cs="Arabic Typesetting"/>
        </w:rPr>
        <w:t xml:space="preserve"> </w:t>
      </w:r>
      <w:r w:rsidR="00412213" w:rsidRPr="007B25AE">
        <w:rPr>
          <w:rFonts w:ascii="Baskerville" w:eastAsia="MS PMincho" w:hAnsi="Baskerville" w:cs="Arabic Typesetting"/>
        </w:rPr>
        <w:t>(</w:t>
      </w:r>
      <w:r w:rsidR="00412213" w:rsidRPr="007B25AE">
        <w:rPr>
          <w:rFonts w:ascii="Baskerville" w:eastAsia="MS PMincho" w:hAnsi="Baskerville" w:cs="Arabic Typesetting"/>
          <w:color w:val="FF0000"/>
        </w:rPr>
        <w:t>the</w:t>
      </w:r>
      <w:r w:rsidR="00412213" w:rsidRPr="007B25AE">
        <w:rPr>
          <w:rFonts w:ascii="Baskerville" w:eastAsia="MS PMincho" w:hAnsi="Baskerville" w:cs="Arabic Typesetting"/>
        </w:rPr>
        <w:t xml:space="preserve"> </w:t>
      </w:r>
      <w:r w:rsidR="00412213" w:rsidRPr="007B25AE">
        <w:rPr>
          <w:rFonts w:ascii="Baskerville" w:eastAsia="MS PMincho" w:hAnsi="Baskerville" w:cs="Arabic Typesetting"/>
          <w:color w:val="FF0000"/>
        </w:rPr>
        <w:t>rationale)</w:t>
      </w:r>
      <w:r w:rsidR="00412213" w:rsidRPr="007B25AE">
        <w:rPr>
          <w:rFonts w:ascii="Baskerville" w:eastAsia="MS PMincho" w:hAnsi="Baskerville" w:cs="Arabic Typesetting"/>
        </w:rPr>
        <w:t xml:space="preserve"> </w:t>
      </w:r>
      <w:r w:rsidR="004F2C4E" w:rsidRPr="007B25AE">
        <w:rPr>
          <w:rFonts w:ascii="Baskerville" w:eastAsia="MS PMincho" w:hAnsi="Baskerville" w:cs="Arabic Typesetting"/>
        </w:rPr>
        <w:t>was identified</w:t>
      </w:r>
      <w:r w:rsidR="007936F7" w:rsidRPr="007B25AE">
        <w:rPr>
          <w:rFonts w:ascii="Baskerville" w:eastAsia="MS PMincho" w:hAnsi="Baskerville" w:cs="Arabic Typesetting"/>
        </w:rPr>
        <w:t xml:space="preserve">.  </w:t>
      </w:r>
      <w:r w:rsidR="007E7684" w:rsidRPr="007B25AE">
        <w:rPr>
          <w:rFonts w:ascii="Baskerville" w:eastAsia="MS PMincho" w:hAnsi="Baskerville" w:cs="Arabic Typesetting"/>
        </w:rPr>
        <w:t>I</w:t>
      </w:r>
      <w:r w:rsidRPr="007B25AE">
        <w:rPr>
          <w:rFonts w:ascii="Baskerville" w:eastAsia="MS PMincho" w:hAnsi="Baskerville" w:cs="Arabic Typesetting"/>
        </w:rPr>
        <w:t xml:space="preserve">n </w:t>
      </w:r>
      <w:r w:rsidR="00165ACB" w:rsidRPr="007B25AE">
        <w:rPr>
          <w:rFonts w:ascii="Baskerville" w:eastAsia="MS PMincho" w:hAnsi="Baskerville" w:cs="Arabic Typesetting"/>
        </w:rPr>
        <w:t>respect to</w:t>
      </w:r>
      <w:r w:rsidR="007E7684" w:rsidRPr="007B25AE">
        <w:rPr>
          <w:rFonts w:ascii="Baskerville" w:eastAsia="MS PMincho" w:hAnsi="Baskerville" w:cs="Arabic Typesetting"/>
        </w:rPr>
        <w:t xml:space="preserve"> </w:t>
      </w:r>
      <w:r w:rsidRPr="007B25AE">
        <w:rPr>
          <w:rFonts w:ascii="Baskerville" w:eastAsia="MS PMincho" w:hAnsi="Baskerville" w:cs="Arabic Typesetting"/>
        </w:rPr>
        <w:t>this</w:t>
      </w:r>
      <w:r w:rsidRPr="007B25AE">
        <w:rPr>
          <w:rFonts w:ascii="Baskerville" w:eastAsia="MS PMincho" w:hAnsi="Baskerville" w:cs="Arabic Typesetting"/>
          <w:color w:val="FF0000"/>
        </w:rPr>
        <w:t xml:space="preserve"> gap</w:t>
      </w:r>
      <w:r w:rsidR="007E7684" w:rsidRPr="007B25AE">
        <w:rPr>
          <w:rFonts w:ascii="Baskerville" w:eastAsia="MS PMincho" w:hAnsi="Baskerville" w:cs="Arabic Typesetting"/>
        </w:rPr>
        <w:t>,</w:t>
      </w:r>
      <w:r w:rsidRPr="007B25AE">
        <w:rPr>
          <w:rFonts w:ascii="Baskerville" w:eastAsia="MS PMincho" w:hAnsi="Baskerville" w:cs="Arabic Typesetting"/>
        </w:rPr>
        <w:t xml:space="preserve"> he states</w:t>
      </w:r>
      <w:r w:rsidR="007E7684" w:rsidRPr="007B25AE">
        <w:rPr>
          <w:rFonts w:ascii="Baskerville" w:eastAsia="MS PMincho" w:hAnsi="Baskerville" w:cs="Arabic Typesetting"/>
        </w:rPr>
        <w:t xml:space="preserve"> that</w:t>
      </w:r>
      <w:r w:rsidRPr="007B25AE">
        <w:rPr>
          <w:rFonts w:ascii="Baskerville" w:eastAsia="MS PMincho" w:hAnsi="Baskerville" w:cs="Arabic Typesetting"/>
        </w:rPr>
        <w:t xml:space="preserve"> “teacher quit-transfer rate appears to be a function of the hiring practice,” and as such, </w:t>
      </w:r>
      <w:r w:rsidR="00412213" w:rsidRPr="007B25AE">
        <w:rPr>
          <w:rFonts w:ascii="Baskerville" w:eastAsia="MS PMincho" w:hAnsi="Baskerville" w:cs="Arabic Typesetting"/>
        </w:rPr>
        <w:t xml:space="preserve">he expected that </w:t>
      </w:r>
      <w:r w:rsidR="007E7684" w:rsidRPr="007B25AE">
        <w:rPr>
          <w:rFonts w:ascii="Baskerville" w:eastAsia="MS PMincho" w:hAnsi="Baskerville" w:cs="Arabic Typesetting"/>
        </w:rPr>
        <w:t>an</w:t>
      </w:r>
      <w:r w:rsidRPr="007B25AE">
        <w:rPr>
          <w:rFonts w:ascii="Baskerville" w:eastAsia="MS PMincho" w:hAnsi="Baskerville" w:cs="Arabic Typesetting"/>
        </w:rPr>
        <w:t xml:space="preserve"> inevitable domino effect </w:t>
      </w:r>
      <w:r w:rsidR="00412213" w:rsidRPr="007B25AE">
        <w:rPr>
          <w:rFonts w:ascii="Baskerville" w:eastAsia="MS PMincho" w:hAnsi="Baskerville" w:cs="Arabic Typesetting"/>
        </w:rPr>
        <w:t>should</w:t>
      </w:r>
      <w:r w:rsidRPr="007B25AE">
        <w:rPr>
          <w:rFonts w:ascii="Baskerville" w:eastAsia="MS PMincho" w:hAnsi="Baskerville" w:cs="Arabic Typesetting"/>
        </w:rPr>
        <w:t xml:space="preserve"> carr</w:t>
      </w:r>
      <w:r w:rsidR="00165ACB" w:rsidRPr="007B25AE">
        <w:rPr>
          <w:rFonts w:ascii="Baskerville" w:eastAsia="MS PMincho" w:hAnsi="Baskerville" w:cs="Arabic Typesetting"/>
        </w:rPr>
        <w:t>y</w:t>
      </w:r>
      <w:r w:rsidRPr="007B25AE">
        <w:rPr>
          <w:rFonts w:ascii="Baskerville" w:eastAsia="MS PMincho" w:hAnsi="Baskerville" w:cs="Arabic Typesetting"/>
        </w:rPr>
        <w:t xml:space="preserve"> over into student</w:t>
      </w:r>
      <w:r w:rsidR="00165ACB" w:rsidRPr="007B25AE">
        <w:rPr>
          <w:rFonts w:ascii="Baskerville" w:eastAsia="MS PMincho" w:hAnsi="Baskerville" w:cs="Arabic Typesetting"/>
        </w:rPr>
        <w:t>s’</w:t>
      </w:r>
      <w:r w:rsidRPr="007B25AE">
        <w:rPr>
          <w:rFonts w:ascii="Baskerville" w:eastAsia="MS PMincho" w:hAnsi="Baskerville" w:cs="Arabic Typesetting"/>
        </w:rPr>
        <w:t xml:space="preserve"> success</w:t>
      </w:r>
      <w:r w:rsidR="00165ACB" w:rsidRPr="007B25AE">
        <w:rPr>
          <w:rFonts w:ascii="Baskerville" w:eastAsia="MS PMincho" w:hAnsi="Baskerville" w:cs="Arabic Typesetting"/>
        </w:rPr>
        <w:t xml:space="preserve"> or failure</w:t>
      </w:r>
      <w:r w:rsidRPr="007B25AE">
        <w:rPr>
          <w:rFonts w:ascii="Baskerville" w:eastAsia="MS PMincho" w:hAnsi="Baskerville" w:cs="Arabic Typesetting"/>
        </w:rPr>
        <w:t>.</w:t>
      </w:r>
      <w:r w:rsidR="007E7684" w:rsidRPr="007B25AE">
        <w:rPr>
          <w:rFonts w:ascii="Baskerville" w:eastAsia="MS PMincho" w:hAnsi="Baskerville" w:cs="Arabic Typesetting"/>
          <w:color w:val="FF0000"/>
        </w:rPr>
        <w:t xml:space="preserve"> </w:t>
      </w:r>
      <w:r w:rsidR="00912822" w:rsidRPr="007B25AE">
        <w:rPr>
          <w:rFonts w:ascii="Baskerville" w:eastAsia="MS PMincho" w:hAnsi="Baskerville" w:cs="Arabic Typesetting"/>
          <w:color w:val="000000" w:themeColor="text1"/>
        </w:rPr>
        <w:t xml:space="preserve"> Also,</w:t>
      </w:r>
      <w:r w:rsidR="007E7684" w:rsidRPr="007B25AE">
        <w:rPr>
          <w:rFonts w:ascii="Baskerville" w:eastAsia="MS PMincho" w:hAnsi="Baskerville" w:cs="Arabic Typesetting"/>
        </w:rPr>
        <w:t xml:space="preserve"> by </w:t>
      </w:r>
      <w:r w:rsidR="00912822" w:rsidRPr="007B25AE">
        <w:rPr>
          <w:rFonts w:ascii="Baskerville" w:eastAsia="MS PMincho" w:hAnsi="Baskerville" w:cs="Arabic Typesetting"/>
        </w:rPr>
        <w:t>narrow</w:t>
      </w:r>
      <w:r w:rsidR="007E7684" w:rsidRPr="007B25AE">
        <w:rPr>
          <w:rFonts w:ascii="Baskerville" w:eastAsia="MS PMincho" w:hAnsi="Baskerville" w:cs="Arabic Typesetting"/>
        </w:rPr>
        <w:t xml:space="preserve">ing </w:t>
      </w:r>
      <w:r w:rsidR="00912822" w:rsidRPr="007B25AE">
        <w:rPr>
          <w:rFonts w:ascii="Baskerville" w:eastAsia="MS PMincho" w:hAnsi="Baskerville" w:cs="Arabic Typesetting"/>
        </w:rPr>
        <w:t xml:space="preserve">down </w:t>
      </w:r>
      <w:r w:rsidR="00F90659" w:rsidRPr="007B25AE">
        <w:rPr>
          <w:rFonts w:ascii="Baskerville" w:eastAsia="MS PMincho" w:hAnsi="Baskerville" w:cs="Arabic Typesetting"/>
        </w:rPr>
        <w:t xml:space="preserve">his </w:t>
      </w:r>
      <w:r w:rsidR="00165ACB" w:rsidRPr="007B25AE">
        <w:rPr>
          <w:rFonts w:ascii="Baskerville" w:eastAsia="MS PMincho" w:hAnsi="Baskerville" w:cs="Arabic Typesetting"/>
        </w:rPr>
        <w:t xml:space="preserve">target </w:t>
      </w:r>
      <w:r w:rsidR="00F90659" w:rsidRPr="007B25AE">
        <w:rPr>
          <w:rFonts w:ascii="Baskerville" w:eastAsia="MS PMincho" w:hAnsi="Baskerville" w:cs="Arabic Typesetting"/>
        </w:rPr>
        <w:t>population</w:t>
      </w:r>
      <w:r w:rsidR="007E7684" w:rsidRPr="007B25AE">
        <w:rPr>
          <w:rFonts w:ascii="Baskerville" w:eastAsia="MS PMincho" w:hAnsi="Baskerville" w:cs="Arabic Typesetting"/>
        </w:rPr>
        <w:t xml:space="preserve"> </w:t>
      </w:r>
      <w:r w:rsidR="00F90659" w:rsidRPr="007B25AE">
        <w:rPr>
          <w:rFonts w:ascii="Baskerville" w:eastAsia="MS PMincho" w:hAnsi="Baskerville" w:cs="Arabic Typesetting"/>
        </w:rPr>
        <w:t>to the PTF and TF teachers of the City of New York</w:t>
      </w:r>
      <w:r w:rsidR="00B370AC" w:rsidRPr="007B25AE">
        <w:rPr>
          <w:rFonts w:ascii="Baskerville" w:eastAsia="MS PMincho" w:hAnsi="Baskerville" w:cs="Arabic Typesetting"/>
        </w:rPr>
        <w:t xml:space="preserve">, </w:t>
      </w:r>
      <w:proofErr w:type="spellStart"/>
      <w:r w:rsidR="00165ACB" w:rsidRPr="007B25AE">
        <w:rPr>
          <w:rFonts w:ascii="Baskerville" w:eastAsia="MS PMincho" w:hAnsi="Baskerville" w:cs="Arabic Typesetting"/>
        </w:rPr>
        <w:t>Ogundimu</w:t>
      </w:r>
      <w:proofErr w:type="spellEnd"/>
      <w:r w:rsidR="00B370AC" w:rsidRPr="007B25AE">
        <w:rPr>
          <w:rFonts w:ascii="Baskerville" w:eastAsia="MS PMincho" w:hAnsi="Baskerville" w:cs="Arabic Typesetting"/>
        </w:rPr>
        <w:t xml:space="preserve"> has imposed a</w:t>
      </w:r>
      <w:r w:rsidR="00003C93" w:rsidRPr="007B25AE">
        <w:rPr>
          <w:rFonts w:ascii="Baskerville" w:eastAsia="MS PMincho" w:hAnsi="Baskerville" w:cs="Arabic Typesetting"/>
        </w:rPr>
        <w:t>n important</w:t>
      </w:r>
      <w:r w:rsidR="00B370AC" w:rsidRPr="007B25AE">
        <w:rPr>
          <w:rFonts w:ascii="Baskerville" w:eastAsia="MS PMincho" w:hAnsi="Baskerville" w:cs="Arabic Typesetting"/>
        </w:rPr>
        <w:t xml:space="preserve"> limit</w:t>
      </w:r>
      <w:r w:rsidR="00165ACB" w:rsidRPr="007B25AE">
        <w:rPr>
          <w:rFonts w:ascii="Baskerville" w:eastAsia="MS PMincho" w:hAnsi="Baskerville" w:cs="Arabic Typesetting"/>
        </w:rPr>
        <w:t xml:space="preserve"> on the breadth of his dissertation in Chapter II</w:t>
      </w:r>
      <w:r w:rsidR="00F90659" w:rsidRPr="007B25AE">
        <w:rPr>
          <w:rFonts w:ascii="Baskerville" w:eastAsia="MS PMincho" w:hAnsi="Baskerville" w:cs="Arabic Typesetting"/>
        </w:rPr>
        <w:t>.</w:t>
      </w:r>
    </w:p>
    <w:p w14:paraId="408B5D1C" w14:textId="1C7886B5" w:rsidR="00B73916" w:rsidRPr="007B25AE" w:rsidRDefault="00B73916" w:rsidP="00B73916">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An important point of note is that I had taught with </w:t>
      </w:r>
      <w:r w:rsidR="00C50B15" w:rsidRPr="007B25AE">
        <w:rPr>
          <w:rFonts w:ascii="Baskerville" w:eastAsia="MS PMincho" w:hAnsi="Baskerville" w:cs="Arabic Typesetting"/>
        </w:rPr>
        <w:t xml:space="preserve">Charles </w:t>
      </w:r>
      <w:proofErr w:type="spellStart"/>
      <w:r w:rsidRPr="007B25AE">
        <w:rPr>
          <w:rFonts w:ascii="Baskerville" w:eastAsia="MS PMincho" w:hAnsi="Baskerville" w:cs="Arabic Typesetting"/>
        </w:rPr>
        <w:t>Ogundimu</w:t>
      </w:r>
      <w:proofErr w:type="spellEnd"/>
      <w:r w:rsidRPr="007B25AE">
        <w:rPr>
          <w:rFonts w:ascii="Baskerville" w:eastAsia="MS PMincho" w:hAnsi="Baskerville" w:cs="Arabic Typesetting"/>
        </w:rPr>
        <w:t xml:space="preserve"> in the same academic-vocational high school, in the South Bronx, for approximately eight years. He came to the school during the mid-nineteen nineties, working under a business licence before acquiring his mathematics licence as well, </w:t>
      </w:r>
      <w:r w:rsidR="005C2453" w:rsidRPr="007B25AE">
        <w:rPr>
          <w:rFonts w:ascii="Baskerville" w:eastAsia="MS PMincho" w:hAnsi="Baskerville" w:cs="Arabic Typesetting"/>
        </w:rPr>
        <w:t xml:space="preserve">and making the </w:t>
      </w:r>
      <w:r w:rsidRPr="007B25AE">
        <w:rPr>
          <w:rFonts w:ascii="Baskerville" w:eastAsia="MS PMincho" w:hAnsi="Baskerville" w:cs="Arabic Typesetting"/>
        </w:rPr>
        <w:t xml:space="preserve">switch </w:t>
      </w:r>
      <w:r w:rsidR="005C2453" w:rsidRPr="007B25AE">
        <w:rPr>
          <w:rFonts w:ascii="Baskerville" w:eastAsia="MS PMincho" w:hAnsi="Baskerville" w:cs="Arabic Typesetting"/>
        </w:rPr>
        <w:t>in</w:t>
      </w:r>
      <w:r w:rsidRPr="007B25AE">
        <w:rPr>
          <w:rFonts w:ascii="Baskerville" w:eastAsia="MS PMincho" w:hAnsi="Baskerville" w:cs="Arabic Typesetting"/>
        </w:rPr>
        <w:t xml:space="preserve">to </w:t>
      </w:r>
      <w:r w:rsidR="00C50B15" w:rsidRPr="007B25AE">
        <w:rPr>
          <w:rFonts w:ascii="Baskerville" w:eastAsia="MS PMincho" w:hAnsi="Baskerville" w:cs="Arabic Typesetting"/>
        </w:rPr>
        <w:t>our</w:t>
      </w:r>
      <w:r w:rsidRPr="007B25AE">
        <w:rPr>
          <w:rFonts w:ascii="Baskerville" w:eastAsia="MS PMincho" w:hAnsi="Baskerville" w:cs="Arabic Typesetting"/>
        </w:rPr>
        <w:t xml:space="preserve"> Math-Science Department. </w:t>
      </w:r>
    </w:p>
    <w:p w14:paraId="3D7FDA2E" w14:textId="5D9534EF" w:rsidR="00B73916" w:rsidRPr="007B25AE" w:rsidRDefault="00B73916" w:rsidP="00B73916">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After four years or so, Charles took an assistant principal position at a competing trade high school. Three years later, he switched to </w:t>
      </w:r>
      <w:r w:rsidR="00EF4D54" w:rsidRPr="007B25AE">
        <w:rPr>
          <w:rFonts w:ascii="Baskerville" w:eastAsia="MS PMincho" w:hAnsi="Baskerville" w:cs="Arabic Typesetting"/>
        </w:rPr>
        <w:t>the</w:t>
      </w:r>
      <w:r w:rsidRPr="007B25AE">
        <w:rPr>
          <w:rFonts w:ascii="Baskerville" w:eastAsia="MS PMincho" w:hAnsi="Baskerville" w:cs="Arabic Typesetting"/>
        </w:rPr>
        <w:t xml:space="preserve"> position of principal at a high school in Queens, New York City where he did some truly innovative things. He eventually took early retirement</w:t>
      </w:r>
      <w:r w:rsidR="00C50B15" w:rsidRPr="007B25AE">
        <w:rPr>
          <w:rFonts w:ascii="Baskerville" w:eastAsia="MS PMincho" w:hAnsi="Baskerville" w:cs="Arabic Typesetting"/>
        </w:rPr>
        <w:t>,</w:t>
      </w:r>
      <w:r w:rsidRPr="007B25AE">
        <w:rPr>
          <w:rFonts w:ascii="Baskerville" w:eastAsia="MS PMincho" w:hAnsi="Baskerville" w:cs="Arabic Typesetting"/>
        </w:rPr>
        <w:t xml:space="preserve"> </w:t>
      </w:r>
      <w:r w:rsidR="00EF4D54" w:rsidRPr="007B25AE">
        <w:rPr>
          <w:rFonts w:ascii="Baskerville" w:eastAsia="MS PMincho" w:hAnsi="Baskerville" w:cs="Arabic Typesetting"/>
        </w:rPr>
        <w:t xml:space="preserve">four or five years ago, </w:t>
      </w:r>
      <w:r w:rsidRPr="007B25AE">
        <w:rPr>
          <w:rFonts w:ascii="Baskerville" w:eastAsia="MS PMincho" w:hAnsi="Baskerville" w:cs="Arabic Typesetting"/>
        </w:rPr>
        <w:t xml:space="preserve">and has since been teaching at Pace University in New York City. </w:t>
      </w:r>
    </w:p>
    <w:p w14:paraId="4B34B833" w14:textId="61F6DB62" w:rsidR="00B73916" w:rsidRPr="007B25AE" w:rsidRDefault="00B73916" w:rsidP="00C03EC8">
      <w:pPr>
        <w:spacing w:line="360" w:lineRule="auto"/>
        <w:ind w:firstLine="720"/>
        <w:rPr>
          <w:rFonts w:ascii="Baskerville" w:eastAsia="MS PMincho" w:hAnsi="Baskerville" w:cs="Arabic Typesetting"/>
        </w:rPr>
      </w:pPr>
      <w:r w:rsidRPr="007B25AE">
        <w:rPr>
          <w:rFonts w:ascii="Baskerville" w:eastAsia="MS PMincho" w:hAnsi="Baskerville" w:cs="Arabic Typesetting"/>
        </w:rPr>
        <w:t>So, there is no surprise</w:t>
      </w:r>
      <w:r w:rsidR="00C50B15" w:rsidRPr="007B25AE">
        <w:rPr>
          <w:rFonts w:ascii="Baskerville" w:eastAsia="MS PMincho" w:hAnsi="Baskerville" w:cs="Arabic Typesetting"/>
        </w:rPr>
        <w:t xml:space="preserve"> for me as I watch</w:t>
      </w:r>
      <w:r w:rsidRPr="007B25AE">
        <w:rPr>
          <w:rFonts w:ascii="Baskerville" w:eastAsia="MS PMincho" w:hAnsi="Baskerville" w:cs="Arabic Typesetting"/>
        </w:rPr>
        <w:t xml:space="preserve"> the direction Charles had taken in his Literature Review, and hence, in his dissertation. There, one gets to see </w:t>
      </w:r>
      <w:r w:rsidR="005C2453" w:rsidRPr="007B25AE">
        <w:rPr>
          <w:rFonts w:ascii="Baskerville" w:eastAsia="MS PMincho" w:hAnsi="Baskerville" w:cs="Arabic Typesetting"/>
        </w:rPr>
        <w:t xml:space="preserve">up </w:t>
      </w:r>
      <w:r w:rsidRPr="007B25AE">
        <w:rPr>
          <w:rFonts w:ascii="Baskerville" w:eastAsia="MS PMincho" w:hAnsi="Baskerville" w:cs="Arabic Typesetting"/>
        </w:rPr>
        <w:t xml:space="preserve">close </w:t>
      </w:r>
      <w:r w:rsidR="005C2453" w:rsidRPr="007B25AE">
        <w:rPr>
          <w:rFonts w:ascii="Baskerville" w:eastAsia="MS PMincho" w:hAnsi="Baskerville" w:cs="Arabic Typesetting"/>
        </w:rPr>
        <w:t>Charles</w:t>
      </w:r>
      <w:r w:rsidR="001D26E5" w:rsidRPr="007B25AE">
        <w:rPr>
          <w:rFonts w:ascii="Baskerville" w:eastAsia="MS PMincho" w:hAnsi="Baskerville" w:cs="Arabic Typesetting"/>
        </w:rPr>
        <w:t xml:space="preserve"> </w:t>
      </w:r>
      <w:proofErr w:type="spellStart"/>
      <w:r w:rsidR="001D26E5" w:rsidRPr="007B25AE">
        <w:rPr>
          <w:rFonts w:ascii="Baskerville" w:eastAsia="MS PMincho" w:hAnsi="Baskerville" w:cs="Arabic Typesetting"/>
        </w:rPr>
        <w:t>Ogundimu’s</w:t>
      </w:r>
      <w:proofErr w:type="spellEnd"/>
      <w:r w:rsidR="005C2453" w:rsidRPr="007B25AE">
        <w:rPr>
          <w:rFonts w:ascii="Baskerville" w:eastAsia="MS PMincho" w:hAnsi="Baskerville" w:cs="Arabic Typesetting"/>
        </w:rPr>
        <w:t xml:space="preserve"> professional </w:t>
      </w:r>
      <w:r w:rsidRPr="007B25AE">
        <w:rPr>
          <w:rFonts w:ascii="Baskerville" w:eastAsia="MS PMincho" w:hAnsi="Baskerville" w:cs="Arabic Typesetting"/>
        </w:rPr>
        <w:t xml:space="preserve">growth </w:t>
      </w:r>
      <w:r w:rsidR="005C2453" w:rsidRPr="007B25AE">
        <w:rPr>
          <w:rFonts w:ascii="Baskerville" w:eastAsia="MS PMincho" w:hAnsi="Baskerville" w:cs="Arabic Typesetting"/>
        </w:rPr>
        <w:t xml:space="preserve">and transformation </w:t>
      </w:r>
      <w:r w:rsidRPr="007B25AE">
        <w:rPr>
          <w:rFonts w:ascii="Baskerville" w:eastAsia="MS PMincho" w:hAnsi="Baskerville" w:cs="Arabic Typesetting"/>
        </w:rPr>
        <w:t xml:space="preserve">from </w:t>
      </w:r>
      <w:r w:rsidR="005C2453" w:rsidRPr="007B25AE">
        <w:rPr>
          <w:rFonts w:ascii="Baskerville" w:eastAsia="MS PMincho" w:hAnsi="Baskerville" w:cs="Arabic Typesetting"/>
        </w:rPr>
        <w:t>a</w:t>
      </w:r>
      <w:r w:rsidRPr="007B25AE">
        <w:rPr>
          <w:rFonts w:ascii="Baskerville" w:eastAsia="MS PMincho" w:hAnsi="Baskerville" w:cs="Arabic Typesetting"/>
        </w:rPr>
        <w:t xml:space="preserve"> business education background in context </w:t>
      </w:r>
      <w:r w:rsidR="00C03EC8" w:rsidRPr="007B25AE">
        <w:rPr>
          <w:rFonts w:ascii="Baskerville" w:eastAsia="MS PMincho" w:hAnsi="Baskerville" w:cs="Arabic Typesetting"/>
        </w:rPr>
        <w:t>with</w:t>
      </w:r>
      <w:r w:rsidRPr="007B25AE">
        <w:rPr>
          <w:rFonts w:ascii="Baskerville" w:eastAsia="MS PMincho" w:hAnsi="Baskerville" w:cs="Arabic Typesetting"/>
        </w:rPr>
        <w:t xml:space="preserve"> the cauldron of research that has bubbled up</w:t>
      </w:r>
      <w:r w:rsidR="00BA7885" w:rsidRPr="007B25AE">
        <w:rPr>
          <w:rFonts w:ascii="Baskerville" w:eastAsia="MS PMincho" w:hAnsi="Baskerville" w:cs="Arabic Typesetting"/>
        </w:rPr>
        <w:t xml:space="preserve"> </w:t>
      </w:r>
      <w:r w:rsidRPr="007B25AE">
        <w:rPr>
          <w:rFonts w:ascii="Baskerville" w:eastAsia="MS PMincho" w:hAnsi="Baskerville" w:cs="Arabic Typesetting"/>
        </w:rPr>
        <w:t>and boiling over</w:t>
      </w:r>
      <w:r w:rsidR="00BA7885" w:rsidRPr="007B25AE">
        <w:rPr>
          <w:rFonts w:ascii="Baskerville" w:eastAsia="MS PMincho" w:hAnsi="Baskerville" w:cs="Arabic Typesetting"/>
        </w:rPr>
        <w:t xml:space="preserve"> into </w:t>
      </w:r>
      <w:r w:rsidR="001D26E5" w:rsidRPr="007B25AE">
        <w:rPr>
          <w:rFonts w:ascii="Baskerville" w:eastAsia="MS PMincho" w:hAnsi="Baskerville" w:cs="Arabic Typesetting"/>
        </w:rPr>
        <w:t>an important piece of research</w:t>
      </w:r>
      <w:r w:rsidRPr="007B25AE">
        <w:rPr>
          <w:rFonts w:ascii="Baskerville" w:eastAsia="MS PMincho" w:hAnsi="Baskerville" w:cs="Arabic Typesetting"/>
        </w:rPr>
        <w:t xml:space="preserve">.  From </w:t>
      </w:r>
      <w:r w:rsidR="005C2453" w:rsidRPr="007B25AE">
        <w:rPr>
          <w:rFonts w:ascii="Baskerville" w:eastAsia="MS PMincho" w:hAnsi="Baskerville" w:cs="Arabic Typesetting"/>
        </w:rPr>
        <w:t>the</w:t>
      </w:r>
      <w:r w:rsidRPr="007B25AE">
        <w:rPr>
          <w:rFonts w:ascii="Baskerville" w:eastAsia="MS PMincho" w:hAnsi="Baskerville" w:cs="Arabic Typesetting"/>
        </w:rPr>
        <w:t xml:space="preserve"> vantage point</w:t>
      </w:r>
      <w:r w:rsidR="00BA7885" w:rsidRPr="007B25AE">
        <w:rPr>
          <w:rFonts w:ascii="Baskerville" w:eastAsia="MS PMincho" w:hAnsi="Baskerville" w:cs="Arabic Typesetting"/>
        </w:rPr>
        <w:t xml:space="preserve"> of my metaphorical</w:t>
      </w:r>
      <w:r w:rsidRPr="007B25AE">
        <w:rPr>
          <w:rFonts w:ascii="Baskerville" w:eastAsia="MS PMincho" w:hAnsi="Baskerville" w:cs="Arabic Typesetting"/>
        </w:rPr>
        <w:t xml:space="preserve"> front row</w:t>
      </w:r>
      <w:r w:rsidR="00BA7885" w:rsidRPr="007B25AE">
        <w:rPr>
          <w:rFonts w:ascii="Baskerville" w:eastAsia="MS PMincho" w:hAnsi="Baskerville" w:cs="Arabic Typesetting"/>
        </w:rPr>
        <w:t xml:space="preserve"> seat</w:t>
      </w:r>
      <w:r w:rsidRPr="007B25AE">
        <w:rPr>
          <w:rFonts w:ascii="Baskerville" w:eastAsia="MS PMincho" w:hAnsi="Baskerville" w:cs="Arabic Typesetting"/>
        </w:rPr>
        <w:t xml:space="preserve">, </w:t>
      </w:r>
      <w:r w:rsidR="00C03EC8" w:rsidRPr="007B25AE">
        <w:rPr>
          <w:rFonts w:ascii="Baskerville" w:eastAsia="MS PMincho" w:hAnsi="Baskerville" w:cs="Arabic Typesetting"/>
        </w:rPr>
        <w:t>with</w:t>
      </w:r>
      <w:r w:rsidRPr="007B25AE">
        <w:rPr>
          <w:rFonts w:ascii="Baskerville" w:eastAsia="MS PMincho" w:hAnsi="Baskerville" w:cs="Arabic Typesetting"/>
        </w:rPr>
        <w:t xml:space="preserve">in earshot of the revelatory conversation between title and thesis </w:t>
      </w:r>
      <w:r w:rsidR="0096328F" w:rsidRPr="007B25AE">
        <w:rPr>
          <w:rFonts w:ascii="Baskerville" w:eastAsia="MS PMincho" w:hAnsi="Baskerville" w:cs="Arabic Typesetting"/>
        </w:rPr>
        <w:t>in</w:t>
      </w:r>
      <w:r w:rsidRPr="007B25AE">
        <w:rPr>
          <w:rFonts w:ascii="Baskerville" w:eastAsia="MS PMincho" w:hAnsi="Baskerville" w:cs="Arabic Typesetting"/>
        </w:rPr>
        <w:t xml:space="preserve"> </w:t>
      </w:r>
      <w:proofErr w:type="spellStart"/>
      <w:r w:rsidR="00BA7885" w:rsidRPr="007B25AE">
        <w:rPr>
          <w:rFonts w:ascii="Baskerville" w:eastAsia="MS PMincho" w:hAnsi="Baskerville" w:cs="Arabic Typesetting"/>
        </w:rPr>
        <w:t>Ogundimu’s</w:t>
      </w:r>
      <w:proofErr w:type="spellEnd"/>
      <w:r w:rsidRPr="007B25AE">
        <w:rPr>
          <w:rFonts w:ascii="Baskerville" w:eastAsia="MS PMincho" w:hAnsi="Baskerville" w:cs="Arabic Typesetting"/>
        </w:rPr>
        <w:t xml:space="preserve"> dissertation</w:t>
      </w:r>
      <w:r w:rsidR="00C03EC8" w:rsidRPr="007B25AE">
        <w:rPr>
          <w:rFonts w:ascii="Baskerville" w:eastAsia="MS PMincho" w:hAnsi="Baskerville" w:cs="Arabic Typesetting"/>
        </w:rPr>
        <w:t>,</w:t>
      </w:r>
      <w:r w:rsidRPr="007B25AE">
        <w:rPr>
          <w:rFonts w:ascii="Baskerville" w:eastAsia="MS PMincho" w:hAnsi="Baskerville" w:cs="Arabic Typesetting"/>
        </w:rPr>
        <w:t xml:space="preserve"> I </w:t>
      </w:r>
      <w:proofErr w:type="gramStart"/>
      <w:r w:rsidRPr="007B25AE">
        <w:rPr>
          <w:rFonts w:ascii="Baskerville" w:eastAsia="MS PMincho" w:hAnsi="Baskerville" w:cs="Arabic Typesetting"/>
        </w:rPr>
        <w:t>am able to</w:t>
      </w:r>
      <w:proofErr w:type="gramEnd"/>
      <w:r w:rsidRPr="007B25AE">
        <w:rPr>
          <w:rFonts w:ascii="Baskerville" w:eastAsia="MS PMincho" w:hAnsi="Baskerville" w:cs="Arabic Typesetting"/>
        </w:rPr>
        <w:t xml:space="preserve"> appreciate bet</w:t>
      </w:r>
      <w:r w:rsidR="00C03EC8" w:rsidRPr="007B25AE">
        <w:rPr>
          <w:rFonts w:ascii="Baskerville" w:eastAsia="MS PMincho" w:hAnsi="Baskerville" w:cs="Arabic Typesetting"/>
        </w:rPr>
        <w:t>ter than most</w:t>
      </w:r>
      <w:r w:rsidRPr="007B25AE">
        <w:rPr>
          <w:rFonts w:ascii="Baskerville" w:eastAsia="MS PMincho" w:hAnsi="Baskerville" w:cs="Arabic Typesetting"/>
        </w:rPr>
        <w:t xml:space="preserve"> </w:t>
      </w:r>
      <w:r w:rsidR="00BA7885" w:rsidRPr="007B25AE">
        <w:rPr>
          <w:rFonts w:ascii="Baskerville" w:eastAsia="MS PMincho" w:hAnsi="Baskerville" w:cs="Arabic Typesetting"/>
        </w:rPr>
        <w:t xml:space="preserve">of his reader </w:t>
      </w:r>
      <w:r w:rsidRPr="007B25AE">
        <w:rPr>
          <w:rFonts w:ascii="Baskerville" w:eastAsia="MS PMincho" w:hAnsi="Baskerville" w:cs="Arabic Typesetting"/>
        </w:rPr>
        <w:t xml:space="preserve">from whence Charles </w:t>
      </w:r>
      <w:r w:rsidR="00C03EC8" w:rsidRPr="007B25AE">
        <w:rPr>
          <w:rFonts w:ascii="Baskerville" w:eastAsia="MS PMincho" w:hAnsi="Baskerville" w:cs="Arabic Typesetting"/>
        </w:rPr>
        <w:t xml:space="preserve">had come </w:t>
      </w:r>
      <w:r w:rsidRPr="007B25AE">
        <w:rPr>
          <w:rFonts w:ascii="Baskerville" w:eastAsia="MS PMincho" w:hAnsi="Baskerville" w:cs="Arabic Typesetting"/>
        </w:rPr>
        <w:t xml:space="preserve">with his fitting sensitivity to the macroeconomic </w:t>
      </w:r>
      <w:r w:rsidR="0096328F" w:rsidRPr="007B25AE">
        <w:rPr>
          <w:rFonts w:ascii="Baskerville" w:eastAsia="MS PMincho" w:hAnsi="Baskerville" w:cs="Arabic Typesetting"/>
        </w:rPr>
        <w:t>angle</w:t>
      </w:r>
      <w:r w:rsidRPr="007B25AE">
        <w:rPr>
          <w:rFonts w:ascii="Baskerville" w:eastAsia="MS PMincho" w:hAnsi="Baskerville" w:cs="Arabic Typesetting"/>
        </w:rPr>
        <w:t xml:space="preserve"> of management in his Literature Review as it pertains to </w:t>
      </w:r>
      <w:r w:rsidR="0096328F" w:rsidRPr="007B25AE">
        <w:rPr>
          <w:rFonts w:ascii="Baskerville" w:eastAsia="MS PMincho" w:hAnsi="Baskerville" w:cs="Arabic Typesetting"/>
        </w:rPr>
        <w:t xml:space="preserve">the labor factor side of production, where </w:t>
      </w:r>
      <w:r w:rsidRPr="007B25AE">
        <w:rPr>
          <w:rFonts w:ascii="Baskerville" w:eastAsia="MS PMincho" w:hAnsi="Baskerville" w:cs="Arabic Typesetting"/>
        </w:rPr>
        <w:t>education</w:t>
      </w:r>
      <w:r w:rsidR="0096328F" w:rsidRPr="007B25AE">
        <w:rPr>
          <w:rFonts w:ascii="Baskerville" w:eastAsia="MS PMincho" w:hAnsi="Baskerville" w:cs="Arabic Typesetting"/>
        </w:rPr>
        <w:t xml:space="preserve"> is the commodity</w:t>
      </w:r>
      <w:r w:rsidRPr="007B25AE">
        <w:rPr>
          <w:rFonts w:ascii="Baskerville" w:eastAsia="MS PMincho" w:hAnsi="Baskerville" w:cs="Arabic Typesetting"/>
        </w:rPr>
        <w:t xml:space="preserve">.  </w:t>
      </w:r>
    </w:p>
    <w:p w14:paraId="369EFAF8" w14:textId="564B1DE9" w:rsidR="00CA0E10" w:rsidRPr="007B25AE" w:rsidRDefault="00F640E4" w:rsidP="00390C17">
      <w:pPr>
        <w:spacing w:line="360" w:lineRule="auto"/>
        <w:rPr>
          <w:rFonts w:ascii="Baskerville" w:eastAsia="MS PMincho" w:hAnsi="Baskerville" w:cs="Arabic Typesetting"/>
        </w:rPr>
      </w:pPr>
      <w:r w:rsidRPr="009951CB">
        <w:rPr>
          <w:rFonts w:ascii="Baskerville" w:eastAsia="MS PMincho" w:hAnsi="Baskerville" w:cs="Arabic Typesetting"/>
          <w:b/>
          <w:bCs/>
        </w:rPr>
        <w:t>7</w:t>
      </w:r>
      <w:r w:rsidR="00F22A87" w:rsidRPr="007B25AE">
        <w:rPr>
          <w:rFonts w:ascii="Baskerville" w:eastAsia="MS PMincho" w:hAnsi="Baskerville" w:cs="Arabic Typesetting"/>
        </w:rPr>
        <w:t xml:space="preserve">. </w:t>
      </w:r>
      <w:r w:rsidR="00390C17" w:rsidRPr="007B25AE">
        <w:rPr>
          <w:rFonts w:ascii="Baskerville" w:eastAsia="MS PMincho" w:hAnsi="Baskerville" w:cs="Arabic Typesetting"/>
          <w:b/>
          <w:bCs/>
        </w:rPr>
        <w:t>Reflection on Personal Dissertation Idea</w:t>
      </w:r>
      <w:r w:rsidR="00390C17" w:rsidRPr="007B25AE">
        <w:rPr>
          <w:rFonts w:ascii="Baskerville" w:eastAsia="MS PMincho" w:hAnsi="Baskerville" w:cs="Arabic Typesetting"/>
        </w:rPr>
        <w:t xml:space="preserve">. </w:t>
      </w:r>
      <w:r w:rsidR="00275305" w:rsidRPr="007B25AE">
        <w:rPr>
          <w:rFonts w:ascii="Baskerville" w:eastAsia="MS PMincho" w:hAnsi="Baskerville" w:cs="Arabic Typesetting"/>
        </w:rPr>
        <w:t xml:space="preserve">Although </w:t>
      </w:r>
      <w:r w:rsidR="0055466B" w:rsidRPr="007B25AE">
        <w:rPr>
          <w:rFonts w:ascii="Baskerville" w:eastAsia="MS PMincho" w:hAnsi="Baskerville" w:cs="Arabic Typesetting"/>
        </w:rPr>
        <w:t>it may seem that research which has any meaningful</w:t>
      </w:r>
      <w:r w:rsidR="0055466B" w:rsidRPr="007B25AE">
        <w:rPr>
          <w:rFonts w:ascii="Baskerville" w:eastAsia="MS PMincho" w:hAnsi="Baskerville" w:cs="Arabic Typesetting"/>
          <w:color w:val="FF0000"/>
        </w:rPr>
        <w:t xml:space="preserve"> purpose</w:t>
      </w:r>
      <w:r w:rsidR="00A66489" w:rsidRPr="007B25AE">
        <w:rPr>
          <w:rFonts w:ascii="Baskerville" w:eastAsia="MS PMincho" w:hAnsi="Baskerville" w:cs="Arabic Typesetting"/>
          <w:color w:val="FF0000"/>
        </w:rPr>
        <w:t xml:space="preserve"> </w:t>
      </w:r>
      <w:r w:rsidR="00A66489" w:rsidRPr="007B25AE">
        <w:rPr>
          <w:rFonts w:ascii="Baskerville" w:eastAsia="MS PMincho" w:hAnsi="Baskerville" w:cs="Arabic Typesetting"/>
        </w:rPr>
        <w:t xml:space="preserve">or </w:t>
      </w:r>
      <w:r w:rsidR="00A66489" w:rsidRPr="007B25AE">
        <w:rPr>
          <w:rFonts w:ascii="Baskerville" w:eastAsia="MS PMincho" w:hAnsi="Baskerville" w:cs="Arabic Typesetting"/>
          <w:color w:val="FF0000"/>
        </w:rPr>
        <w:t>significance</w:t>
      </w:r>
      <w:r w:rsidR="00A66489" w:rsidRPr="007B25AE">
        <w:rPr>
          <w:rFonts w:ascii="Baskerville" w:eastAsia="MS PMincho" w:hAnsi="Baskerville" w:cs="Arabic Typesetting"/>
        </w:rPr>
        <w:t xml:space="preserve"> </w:t>
      </w:r>
      <w:r w:rsidR="00D83D45" w:rsidRPr="007B25AE">
        <w:rPr>
          <w:rFonts w:ascii="Baskerville" w:eastAsia="MS PMincho" w:hAnsi="Baskerville" w:cs="Arabic Typesetting"/>
        </w:rPr>
        <w:t xml:space="preserve">always </w:t>
      </w:r>
      <w:r w:rsidR="00BF71B2" w:rsidRPr="007B25AE">
        <w:rPr>
          <w:rFonts w:ascii="Baskerville" w:eastAsia="MS PMincho" w:hAnsi="Baskerville" w:cs="Arabic Typesetting"/>
        </w:rPr>
        <w:t xml:space="preserve">begins with a research question, it does not. If the research question is the fount out of </w:t>
      </w:r>
      <w:r w:rsidR="00142A4F" w:rsidRPr="007B25AE">
        <w:rPr>
          <w:rFonts w:ascii="Baskerville" w:eastAsia="MS PMincho" w:hAnsi="Baskerville" w:cs="Arabic Typesetting"/>
        </w:rPr>
        <w:t xml:space="preserve">which springs </w:t>
      </w:r>
      <w:r w:rsidR="00275305" w:rsidRPr="007B25AE">
        <w:rPr>
          <w:rFonts w:ascii="Baskerville" w:eastAsia="MS PMincho" w:hAnsi="Baskerville" w:cs="Arabic Typesetting"/>
        </w:rPr>
        <w:t xml:space="preserve">the </w:t>
      </w:r>
      <w:r w:rsidR="00275305" w:rsidRPr="007B25AE">
        <w:rPr>
          <w:rFonts w:ascii="Baskerville" w:eastAsia="MS PMincho" w:hAnsi="Baskerville" w:cs="Arabic Typesetting"/>
          <w:color w:val="FF0000"/>
        </w:rPr>
        <w:t>hypothesis</w:t>
      </w:r>
      <w:r w:rsidR="00D83D45" w:rsidRPr="007B25AE">
        <w:rPr>
          <w:rFonts w:ascii="Baskerville" w:eastAsia="MS PMincho" w:hAnsi="Baskerville" w:cs="Arabic Typesetting"/>
        </w:rPr>
        <w:t>—the theory—</w:t>
      </w:r>
      <w:r w:rsidR="00142A4F" w:rsidRPr="007B25AE">
        <w:rPr>
          <w:rFonts w:ascii="Baskerville" w:eastAsia="MS PMincho" w:hAnsi="Baskerville" w:cs="Arabic Typesetting"/>
        </w:rPr>
        <w:t xml:space="preserve"> then, wh</w:t>
      </w:r>
      <w:r w:rsidR="00D83D45" w:rsidRPr="007B25AE">
        <w:rPr>
          <w:rFonts w:ascii="Baskerville" w:eastAsia="MS PMincho" w:hAnsi="Baskerville" w:cs="Arabic Typesetting"/>
        </w:rPr>
        <w:t>at is it that gives rise to</w:t>
      </w:r>
      <w:r w:rsidR="00142A4F" w:rsidRPr="007B25AE">
        <w:rPr>
          <w:rFonts w:ascii="Baskerville" w:eastAsia="MS PMincho" w:hAnsi="Baskerville" w:cs="Arabic Typesetting"/>
        </w:rPr>
        <w:t xml:space="preserve"> the research question?</w:t>
      </w:r>
      <w:r w:rsidR="00275305" w:rsidRPr="007B25AE">
        <w:rPr>
          <w:rFonts w:ascii="Baskerville" w:eastAsia="MS PMincho" w:hAnsi="Baskerville" w:cs="Arabic Typesetting"/>
        </w:rPr>
        <w:t xml:space="preserve"> </w:t>
      </w:r>
      <w:r w:rsidR="00142A4F" w:rsidRPr="007B25AE">
        <w:rPr>
          <w:rFonts w:ascii="Baskerville" w:eastAsia="MS PMincho" w:hAnsi="Baskerville" w:cs="Arabic Typesetting"/>
        </w:rPr>
        <w:t xml:space="preserve"> </w:t>
      </w:r>
      <w:r w:rsidR="002B1715" w:rsidRPr="007B25AE">
        <w:rPr>
          <w:rFonts w:ascii="Baskerville" w:eastAsia="MS PMincho" w:hAnsi="Baskerville" w:cs="Arabic Typesetting"/>
        </w:rPr>
        <w:t xml:space="preserve">Oftentimes, the seed out of which springs the research question </w:t>
      </w:r>
      <w:r w:rsidR="006C6BAF" w:rsidRPr="007B25AE">
        <w:rPr>
          <w:rFonts w:ascii="Baskerville" w:eastAsia="MS PMincho" w:hAnsi="Baskerville" w:cs="Arabic Typesetting"/>
        </w:rPr>
        <w:t>may be</w:t>
      </w:r>
      <w:r w:rsidR="002B1715" w:rsidRPr="007B25AE">
        <w:rPr>
          <w:rFonts w:ascii="Baskerville" w:eastAsia="MS PMincho" w:hAnsi="Baskerville" w:cs="Arabic Typesetting"/>
        </w:rPr>
        <w:t xml:space="preserve"> some pressing issue or </w:t>
      </w:r>
      <w:r w:rsidR="002B1715" w:rsidRPr="007B25AE">
        <w:rPr>
          <w:rFonts w:ascii="Baskerville" w:eastAsia="MS PMincho" w:hAnsi="Baskerville" w:cs="Arabic Typesetting"/>
          <w:color w:val="FF0000"/>
        </w:rPr>
        <w:t>problem</w:t>
      </w:r>
      <w:r w:rsidR="002B1715" w:rsidRPr="007B25AE">
        <w:rPr>
          <w:rFonts w:ascii="Baskerville" w:eastAsia="MS PMincho" w:hAnsi="Baskerville" w:cs="Arabic Typesetting"/>
        </w:rPr>
        <w:t xml:space="preserve"> of concern </w:t>
      </w:r>
      <w:r w:rsidR="006C6BAF" w:rsidRPr="007B25AE">
        <w:rPr>
          <w:rFonts w:ascii="Baskerville" w:eastAsia="MS PMincho" w:hAnsi="Baskerville" w:cs="Arabic Typesetting"/>
        </w:rPr>
        <w:t xml:space="preserve">that </w:t>
      </w:r>
      <w:r w:rsidR="002B1715" w:rsidRPr="007B25AE">
        <w:rPr>
          <w:rFonts w:ascii="Baskerville" w:eastAsia="MS PMincho" w:hAnsi="Baskerville" w:cs="Arabic Typesetting"/>
        </w:rPr>
        <w:t xml:space="preserve">the researcher has been </w:t>
      </w:r>
      <w:r w:rsidR="003D54B0" w:rsidRPr="007B25AE">
        <w:rPr>
          <w:rFonts w:ascii="Baskerville" w:eastAsia="MS PMincho" w:hAnsi="Baskerville" w:cs="Arabic Typesetting"/>
        </w:rPr>
        <w:t>toss</w:t>
      </w:r>
      <w:r w:rsidR="002B1715" w:rsidRPr="007B25AE">
        <w:rPr>
          <w:rFonts w:ascii="Baskerville" w:eastAsia="MS PMincho" w:hAnsi="Baskerville" w:cs="Arabic Typesetting"/>
        </w:rPr>
        <w:t xml:space="preserve">ing </w:t>
      </w:r>
      <w:r w:rsidR="008F5141" w:rsidRPr="007B25AE">
        <w:rPr>
          <w:rFonts w:ascii="Baskerville" w:eastAsia="MS PMincho" w:hAnsi="Baskerville" w:cs="Arabic Typesetting"/>
        </w:rPr>
        <w:t>around in his head</w:t>
      </w:r>
      <w:r w:rsidR="002B1715" w:rsidRPr="007B25AE">
        <w:rPr>
          <w:rFonts w:ascii="Baskerville" w:eastAsia="MS PMincho" w:hAnsi="Baskerville" w:cs="Arabic Typesetting"/>
        </w:rPr>
        <w:t xml:space="preserve"> </w:t>
      </w:r>
      <w:r w:rsidR="003D54B0" w:rsidRPr="007B25AE">
        <w:rPr>
          <w:rFonts w:ascii="Baskerville" w:eastAsia="MS PMincho" w:hAnsi="Baskerville" w:cs="Arabic Typesetting"/>
        </w:rPr>
        <w:t>at work</w:t>
      </w:r>
      <w:r w:rsidR="002B1715" w:rsidRPr="007B25AE">
        <w:rPr>
          <w:rFonts w:ascii="Baskerville" w:eastAsia="MS PMincho" w:hAnsi="Baskerville" w:cs="Arabic Typesetting"/>
        </w:rPr>
        <w:t xml:space="preserve">, </w:t>
      </w:r>
      <w:r w:rsidR="008F5141" w:rsidRPr="007B25AE">
        <w:rPr>
          <w:rFonts w:ascii="Baskerville" w:eastAsia="MS PMincho" w:hAnsi="Baskerville" w:cs="Arabic Typesetting"/>
        </w:rPr>
        <w:t xml:space="preserve">or </w:t>
      </w:r>
      <w:r w:rsidR="006C6BAF" w:rsidRPr="007B25AE">
        <w:rPr>
          <w:rFonts w:ascii="Baskerville" w:eastAsia="MS PMincho" w:hAnsi="Baskerville" w:cs="Arabic Typesetting"/>
        </w:rPr>
        <w:t xml:space="preserve">in </w:t>
      </w:r>
      <w:r w:rsidR="002B1715" w:rsidRPr="007B25AE">
        <w:rPr>
          <w:rFonts w:ascii="Baskerville" w:eastAsia="MS PMincho" w:hAnsi="Baskerville" w:cs="Arabic Typesetting"/>
        </w:rPr>
        <w:t xml:space="preserve">his discipline, or in </w:t>
      </w:r>
      <w:r w:rsidR="003D54B0" w:rsidRPr="007B25AE">
        <w:rPr>
          <w:rFonts w:ascii="Baskerville" w:eastAsia="MS PMincho" w:hAnsi="Baskerville" w:cs="Arabic Typesetting"/>
        </w:rPr>
        <w:t xml:space="preserve">his </w:t>
      </w:r>
      <w:r w:rsidR="002B1715" w:rsidRPr="007B25AE">
        <w:rPr>
          <w:rFonts w:ascii="Baskerville" w:eastAsia="MS PMincho" w:hAnsi="Baskerville" w:cs="Arabic Typesetting"/>
        </w:rPr>
        <w:t>life.</w:t>
      </w:r>
    </w:p>
    <w:p w14:paraId="205B4F82" w14:textId="7A43039B" w:rsidR="0045490F" w:rsidRPr="007B25AE" w:rsidRDefault="00CA0E10" w:rsidP="00CA0E10">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Even though it is possible that a cardiologist might choose to do research on a problem that appears to exist in the structural engineering of multi-storied buildings, it is more likely </w:t>
      </w:r>
      <w:r w:rsidR="0096328F" w:rsidRPr="007B25AE">
        <w:rPr>
          <w:rFonts w:ascii="Baskerville" w:eastAsia="MS PMincho" w:hAnsi="Baskerville" w:cs="Arabic Typesetting"/>
        </w:rPr>
        <w:t xml:space="preserve">than not </w:t>
      </w:r>
      <w:r w:rsidRPr="007B25AE">
        <w:rPr>
          <w:rFonts w:ascii="Baskerville" w:eastAsia="MS PMincho" w:hAnsi="Baskerville" w:cs="Arabic Typesetting"/>
        </w:rPr>
        <w:t xml:space="preserve">that the person who chooses to do research in this area would be someone </w:t>
      </w:r>
      <w:r w:rsidR="0096328F" w:rsidRPr="007B25AE">
        <w:rPr>
          <w:rFonts w:ascii="Baskerville" w:eastAsia="MS PMincho" w:hAnsi="Baskerville" w:cs="Arabic Typesetting"/>
        </w:rPr>
        <w:t xml:space="preserve">with </w:t>
      </w:r>
      <w:r w:rsidRPr="007B25AE">
        <w:rPr>
          <w:rFonts w:ascii="Baskerville" w:eastAsia="MS PMincho" w:hAnsi="Baskerville" w:cs="Arabic Typesetting"/>
        </w:rPr>
        <w:t>interest</w:t>
      </w:r>
      <w:r w:rsidR="0096328F" w:rsidRPr="007B25AE">
        <w:rPr>
          <w:rFonts w:ascii="Baskerville" w:eastAsia="MS PMincho" w:hAnsi="Baskerville" w:cs="Arabic Typesetting"/>
        </w:rPr>
        <w:t xml:space="preserve"> </w:t>
      </w:r>
      <w:proofErr w:type="gramStart"/>
      <w:r w:rsidR="0096328F" w:rsidRPr="007B25AE">
        <w:rPr>
          <w:rFonts w:ascii="Baskerville" w:eastAsia="MS PMincho" w:hAnsi="Baskerville" w:cs="Arabic Typesetting"/>
        </w:rPr>
        <w:t>in,</w:t>
      </w:r>
      <w:r w:rsidRPr="007B25AE">
        <w:rPr>
          <w:rFonts w:ascii="Baskerville" w:eastAsia="MS PMincho" w:hAnsi="Baskerville" w:cs="Arabic Typesetting"/>
        </w:rPr>
        <w:t xml:space="preserve"> or</w:t>
      </w:r>
      <w:proofErr w:type="gramEnd"/>
      <w:r w:rsidRPr="007B25AE">
        <w:rPr>
          <w:rFonts w:ascii="Baskerville" w:eastAsia="MS PMincho" w:hAnsi="Baskerville" w:cs="Arabic Typesetting"/>
        </w:rPr>
        <w:t xml:space="preserve"> </w:t>
      </w:r>
      <w:r w:rsidR="0096328F" w:rsidRPr="007B25AE">
        <w:rPr>
          <w:rFonts w:ascii="Baskerville" w:eastAsia="MS PMincho" w:hAnsi="Baskerville" w:cs="Arabic Typesetting"/>
        </w:rPr>
        <w:t>having some involvement</w:t>
      </w:r>
      <w:r w:rsidRPr="007B25AE">
        <w:rPr>
          <w:rFonts w:ascii="Baskerville" w:eastAsia="MS PMincho" w:hAnsi="Baskerville" w:cs="Arabic Typesetting"/>
        </w:rPr>
        <w:t xml:space="preserve"> in the field. The </w:t>
      </w:r>
      <w:proofErr w:type="spellStart"/>
      <w:r w:rsidRPr="007B25AE">
        <w:rPr>
          <w:rFonts w:ascii="Baskerville" w:eastAsia="MS PMincho" w:hAnsi="Baskerville" w:cs="Arabic Typesetting"/>
        </w:rPr>
        <w:t>Ogundimu</w:t>
      </w:r>
      <w:proofErr w:type="spellEnd"/>
      <w:r w:rsidRPr="007B25AE">
        <w:rPr>
          <w:rFonts w:ascii="Baskerville" w:eastAsia="MS PMincho" w:hAnsi="Baskerville" w:cs="Arabic Typesetting"/>
        </w:rPr>
        <w:t xml:space="preserve"> thesis </w:t>
      </w:r>
      <w:r w:rsidR="003F218C" w:rsidRPr="007B25AE">
        <w:rPr>
          <w:rFonts w:ascii="Baskerville" w:eastAsia="MS PMincho" w:hAnsi="Baskerville" w:cs="Arabic Typesetting"/>
        </w:rPr>
        <w:t xml:space="preserve">statement </w:t>
      </w:r>
      <w:r w:rsidRPr="007B25AE">
        <w:rPr>
          <w:rFonts w:ascii="Baskerville" w:eastAsia="MS PMincho" w:hAnsi="Baskerville" w:cs="Arabic Typesetting"/>
        </w:rPr>
        <w:t>appears to be the very first sentence under the heading, “Purpose” (p. 7). There he writes, “The purpose of my dissertation is to critically examine and compare the retention of beginning teachers from the [None Teaching Fellows Program] in NYC [Teaching Fellows] (TFs) with the retention of teachers who entered teaching in New York City through the traditional route” (</w:t>
      </w:r>
      <w:proofErr w:type="spellStart"/>
      <w:r w:rsidRPr="007B25AE">
        <w:rPr>
          <w:rFonts w:ascii="Baskerville" w:eastAsia="MS PMincho" w:hAnsi="Baskerville" w:cs="Arabic Typesetting"/>
        </w:rPr>
        <w:t>Ogundimu</w:t>
      </w:r>
      <w:proofErr w:type="spellEnd"/>
      <w:r w:rsidRPr="007B25AE">
        <w:rPr>
          <w:rFonts w:ascii="Baskerville" w:eastAsia="MS PMincho" w:hAnsi="Baskerville" w:cs="Arabic Typesetting"/>
        </w:rPr>
        <w:t xml:space="preserve">, 2014, p. 7).  </w:t>
      </w:r>
    </w:p>
    <w:p w14:paraId="51FE65F6" w14:textId="689866C7" w:rsidR="00FB33CB" w:rsidRPr="007B25AE" w:rsidRDefault="003B28D8" w:rsidP="00CA5F3D">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 </w:t>
      </w:r>
      <w:r w:rsidR="00D83D45" w:rsidRPr="007B25AE">
        <w:rPr>
          <w:rFonts w:ascii="Baskerville" w:eastAsia="MS PMincho" w:hAnsi="Baskerville" w:cs="Arabic Typesetting"/>
        </w:rPr>
        <w:t>Looking at</w:t>
      </w:r>
      <w:r w:rsidRPr="007B25AE">
        <w:rPr>
          <w:rFonts w:ascii="Baskerville" w:eastAsia="MS PMincho" w:hAnsi="Baskerville" w:cs="Arabic Typesetting"/>
        </w:rPr>
        <w:t xml:space="preserve"> the </w:t>
      </w:r>
      <w:proofErr w:type="spellStart"/>
      <w:r w:rsidR="0045490F" w:rsidRPr="007B25AE">
        <w:rPr>
          <w:rFonts w:ascii="Baskerville" w:eastAsia="MS PMincho" w:hAnsi="Baskerville" w:cs="Arabic Typesetting"/>
        </w:rPr>
        <w:t>Ogundimu</w:t>
      </w:r>
      <w:proofErr w:type="spellEnd"/>
      <w:r w:rsidR="0045490F" w:rsidRPr="007B25AE">
        <w:rPr>
          <w:rFonts w:ascii="Baskerville" w:eastAsia="MS PMincho" w:hAnsi="Baskerville" w:cs="Arabic Typesetting"/>
        </w:rPr>
        <w:t xml:space="preserve"> </w:t>
      </w:r>
      <w:r w:rsidR="00190A9A" w:rsidRPr="007B25AE">
        <w:rPr>
          <w:rFonts w:ascii="Baskerville" w:eastAsia="MS PMincho" w:hAnsi="Baskerville" w:cs="Arabic Typesetting"/>
        </w:rPr>
        <w:t xml:space="preserve">primary </w:t>
      </w:r>
      <w:r w:rsidR="007566E2" w:rsidRPr="007B25AE">
        <w:rPr>
          <w:rFonts w:ascii="Baskerville" w:eastAsia="MS PMincho" w:hAnsi="Baskerville" w:cs="Arabic Typesetting"/>
        </w:rPr>
        <w:t xml:space="preserve">research </w:t>
      </w:r>
      <w:r w:rsidR="00190A9A" w:rsidRPr="007B25AE">
        <w:rPr>
          <w:rFonts w:ascii="Baskerville" w:eastAsia="MS PMincho" w:hAnsi="Baskerville" w:cs="Arabic Typesetting"/>
        </w:rPr>
        <w:t>hypothesis</w:t>
      </w:r>
      <w:r w:rsidRPr="007B25AE">
        <w:rPr>
          <w:rFonts w:ascii="Baskerville" w:eastAsia="MS PMincho" w:hAnsi="Baskerville" w:cs="Arabic Typesetting"/>
        </w:rPr>
        <w:t xml:space="preserve">, </w:t>
      </w:r>
      <w:r w:rsidR="00CA0E10" w:rsidRPr="007B25AE">
        <w:rPr>
          <w:rFonts w:ascii="Baskerville" w:eastAsia="MS PMincho" w:hAnsi="Baskerville" w:cs="Arabic Typesetting"/>
        </w:rPr>
        <w:t>one see</w:t>
      </w:r>
      <w:r w:rsidR="00921CB8" w:rsidRPr="007B25AE">
        <w:rPr>
          <w:rFonts w:ascii="Baskerville" w:eastAsia="MS PMincho" w:hAnsi="Baskerville" w:cs="Arabic Typesetting"/>
        </w:rPr>
        <w:t>s</w:t>
      </w:r>
      <w:r w:rsidR="00CA0E10" w:rsidRPr="007B25AE">
        <w:rPr>
          <w:rFonts w:ascii="Baskerville" w:eastAsia="MS PMincho" w:hAnsi="Baskerville" w:cs="Arabic Typesetting"/>
        </w:rPr>
        <w:t xml:space="preserve"> how perfectly </w:t>
      </w:r>
      <w:r w:rsidR="003F218C" w:rsidRPr="007B25AE">
        <w:rPr>
          <w:rFonts w:ascii="Baskerville" w:eastAsia="MS PMincho" w:hAnsi="Baskerville" w:cs="Arabic Typesetting"/>
        </w:rPr>
        <w:t>nes</w:t>
      </w:r>
      <w:r w:rsidR="00B1116A" w:rsidRPr="007B25AE">
        <w:rPr>
          <w:rFonts w:ascii="Baskerville" w:eastAsia="MS PMincho" w:hAnsi="Baskerville" w:cs="Arabic Typesetting"/>
        </w:rPr>
        <w:t>t</w:t>
      </w:r>
      <w:r w:rsidR="00D011E2" w:rsidRPr="007B25AE">
        <w:rPr>
          <w:rFonts w:ascii="Baskerville" w:eastAsia="MS PMincho" w:hAnsi="Baskerville" w:cs="Arabic Typesetting"/>
        </w:rPr>
        <w:t>ed</w:t>
      </w:r>
      <w:r w:rsidR="00CA0E10" w:rsidRPr="007B25AE">
        <w:rPr>
          <w:rFonts w:ascii="Baskerville" w:eastAsia="MS PMincho" w:hAnsi="Baskerville" w:cs="Arabic Typesetting"/>
        </w:rPr>
        <w:t xml:space="preserve"> </w:t>
      </w:r>
      <w:r w:rsidR="003F218C" w:rsidRPr="007B25AE">
        <w:rPr>
          <w:rFonts w:ascii="Baskerville" w:eastAsia="MS PMincho" w:hAnsi="Baskerville" w:cs="Arabic Typesetting"/>
        </w:rPr>
        <w:t>the</w:t>
      </w:r>
      <w:r w:rsidR="00CA0E10" w:rsidRPr="007B25AE">
        <w:rPr>
          <w:rFonts w:ascii="Baskerville" w:eastAsia="MS PMincho" w:hAnsi="Baskerville" w:cs="Arabic Typesetting"/>
        </w:rPr>
        <w:t xml:space="preserve"> </w:t>
      </w:r>
      <w:r w:rsidR="00921CB8" w:rsidRPr="007B25AE">
        <w:rPr>
          <w:rFonts w:ascii="Baskerville" w:eastAsia="MS PMincho" w:hAnsi="Baskerville" w:cs="Arabic Typesetting"/>
        </w:rPr>
        <w:t>“</w:t>
      </w:r>
      <w:r w:rsidR="00CA0E10" w:rsidRPr="007B25AE">
        <w:rPr>
          <w:rFonts w:ascii="Baskerville" w:eastAsia="MS PMincho" w:hAnsi="Baskerville" w:cs="Arabic Typesetting"/>
        </w:rPr>
        <w:t>problem statement</w:t>
      </w:r>
      <w:r w:rsidR="00921CB8" w:rsidRPr="007B25AE">
        <w:rPr>
          <w:rFonts w:ascii="Baskerville" w:eastAsia="MS PMincho" w:hAnsi="Baskerville" w:cs="Arabic Typesetting"/>
        </w:rPr>
        <w:t>”</w:t>
      </w:r>
      <w:r w:rsidR="00CA0E10" w:rsidRPr="007B25AE">
        <w:rPr>
          <w:rFonts w:ascii="Baskerville" w:eastAsia="MS PMincho" w:hAnsi="Baskerville" w:cs="Arabic Typesetting"/>
        </w:rPr>
        <w:t xml:space="preserve"> </w:t>
      </w:r>
      <w:r w:rsidR="003F218C" w:rsidRPr="007B25AE">
        <w:rPr>
          <w:rFonts w:ascii="Baskerville" w:eastAsia="MS PMincho" w:hAnsi="Baskerville" w:cs="Arabic Typesetting"/>
        </w:rPr>
        <w:t xml:space="preserve">is </w:t>
      </w:r>
      <w:r w:rsidR="00511D6F" w:rsidRPr="007B25AE">
        <w:rPr>
          <w:rFonts w:ascii="Baskerville" w:eastAsia="MS PMincho" w:hAnsi="Baskerville" w:cs="Arabic Typesetting"/>
        </w:rPr>
        <w:t>in</w:t>
      </w:r>
      <w:r w:rsidR="00CA0E10" w:rsidRPr="007B25AE">
        <w:rPr>
          <w:rFonts w:ascii="Baskerville" w:eastAsia="MS PMincho" w:hAnsi="Baskerville" w:cs="Arabic Typesetting"/>
        </w:rPr>
        <w:t xml:space="preserve"> </w:t>
      </w:r>
      <w:r w:rsidR="007566E2" w:rsidRPr="007B25AE">
        <w:rPr>
          <w:rFonts w:ascii="Baskerville" w:eastAsia="MS PMincho" w:hAnsi="Baskerville" w:cs="Arabic Typesetting"/>
        </w:rPr>
        <w:t>both</w:t>
      </w:r>
      <w:r w:rsidRPr="007B25AE">
        <w:rPr>
          <w:rFonts w:ascii="Baskerville" w:eastAsia="MS PMincho" w:hAnsi="Baskerville" w:cs="Arabic Typesetting"/>
        </w:rPr>
        <w:t xml:space="preserve"> his</w:t>
      </w:r>
      <w:r w:rsidR="00AF6C4A" w:rsidRPr="007B25AE">
        <w:rPr>
          <w:rFonts w:ascii="Baskerville" w:eastAsia="MS PMincho" w:hAnsi="Baskerville" w:cs="Arabic Typesetting"/>
        </w:rPr>
        <w:t xml:space="preserve"> discipline</w:t>
      </w:r>
      <w:r w:rsidRPr="007B25AE">
        <w:rPr>
          <w:rFonts w:ascii="Baskerville" w:eastAsia="MS PMincho" w:hAnsi="Baskerville" w:cs="Arabic Typesetting"/>
        </w:rPr>
        <w:t xml:space="preserve"> </w:t>
      </w:r>
      <w:r w:rsidR="003F218C" w:rsidRPr="007B25AE">
        <w:rPr>
          <w:rFonts w:ascii="Baskerville" w:eastAsia="MS PMincho" w:hAnsi="Baskerville" w:cs="Arabic Typesetting"/>
        </w:rPr>
        <w:t>as an educat</w:t>
      </w:r>
      <w:r w:rsidR="00511D6F" w:rsidRPr="007B25AE">
        <w:rPr>
          <w:rFonts w:ascii="Baskerville" w:eastAsia="MS PMincho" w:hAnsi="Baskerville" w:cs="Arabic Typesetting"/>
        </w:rPr>
        <w:t xml:space="preserve">or </w:t>
      </w:r>
      <w:r w:rsidRPr="007B25AE">
        <w:rPr>
          <w:rFonts w:ascii="Baskerville" w:eastAsia="MS PMincho" w:hAnsi="Baskerville" w:cs="Arabic Typesetting"/>
        </w:rPr>
        <w:t xml:space="preserve">and </w:t>
      </w:r>
      <w:r w:rsidR="00511D6F" w:rsidRPr="007B25AE">
        <w:rPr>
          <w:rFonts w:ascii="Baskerville" w:eastAsia="MS PMincho" w:hAnsi="Baskerville" w:cs="Arabic Typesetting"/>
        </w:rPr>
        <w:t xml:space="preserve">his </w:t>
      </w:r>
      <w:r w:rsidRPr="007B25AE">
        <w:rPr>
          <w:rFonts w:ascii="Baskerville" w:eastAsia="MS PMincho" w:hAnsi="Baskerville" w:cs="Arabic Typesetting"/>
        </w:rPr>
        <w:t>work background</w:t>
      </w:r>
      <w:r w:rsidR="00511D6F" w:rsidRPr="007B25AE">
        <w:rPr>
          <w:rFonts w:ascii="Baskerville" w:eastAsia="MS PMincho" w:hAnsi="Baskerville" w:cs="Arabic Typesetting"/>
        </w:rPr>
        <w:t xml:space="preserve"> as a school administrator</w:t>
      </w:r>
      <w:r w:rsidR="00CA0E10" w:rsidRPr="007B25AE">
        <w:rPr>
          <w:rFonts w:ascii="Baskerville" w:eastAsia="MS PMincho" w:hAnsi="Baskerville" w:cs="Arabic Typesetting"/>
        </w:rPr>
        <w:t>.</w:t>
      </w:r>
      <w:r w:rsidRPr="007B25AE">
        <w:rPr>
          <w:rFonts w:ascii="Baskerville" w:eastAsia="MS PMincho" w:hAnsi="Baskerville" w:cs="Arabic Typesetting"/>
        </w:rPr>
        <w:t xml:space="preserve"> </w:t>
      </w:r>
      <w:r w:rsidR="00921CB8" w:rsidRPr="007B25AE">
        <w:rPr>
          <w:rFonts w:ascii="Baskerville" w:eastAsia="MS PMincho" w:hAnsi="Baskerville" w:cs="Arabic Typesetting"/>
        </w:rPr>
        <w:t xml:space="preserve"> </w:t>
      </w:r>
      <w:r w:rsidR="00FD4E28" w:rsidRPr="007B25AE">
        <w:rPr>
          <w:rFonts w:ascii="Baskerville" w:eastAsia="MS PMincho" w:hAnsi="Baskerville" w:cs="Arabic Typesetting"/>
        </w:rPr>
        <w:t xml:space="preserve">From the earliest </w:t>
      </w:r>
      <w:r w:rsidR="007F2718" w:rsidRPr="007B25AE">
        <w:rPr>
          <w:rFonts w:ascii="Baskerville" w:eastAsia="MS PMincho" w:hAnsi="Baskerville" w:cs="Arabic Typesetting"/>
        </w:rPr>
        <w:t xml:space="preserve">pages of </w:t>
      </w:r>
      <w:r w:rsidR="00511D6F" w:rsidRPr="007B25AE">
        <w:rPr>
          <w:rFonts w:ascii="Baskerville" w:eastAsia="MS PMincho" w:hAnsi="Baskerville" w:cs="Arabic Typesetting"/>
        </w:rPr>
        <w:t>his</w:t>
      </w:r>
      <w:r w:rsidR="00293B57" w:rsidRPr="007B25AE">
        <w:rPr>
          <w:rFonts w:ascii="Baskerville" w:eastAsia="MS PMincho" w:hAnsi="Baskerville" w:cs="Arabic Typesetting"/>
        </w:rPr>
        <w:t xml:space="preserve"> research</w:t>
      </w:r>
      <w:r w:rsidR="009A3AEC" w:rsidRPr="007B25AE">
        <w:rPr>
          <w:rFonts w:ascii="Baskerville" w:eastAsia="MS PMincho" w:hAnsi="Baskerville" w:cs="Arabic Typesetting"/>
        </w:rPr>
        <w:t>, the</w:t>
      </w:r>
      <w:r w:rsidR="00FD4E28" w:rsidRPr="007B25AE">
        <w:rPr>
          <w:rFonts w:ascii="Baskerville" w:eastAsia="MS PMincho" w:hAnsi="Baskerville" w:cs="Arabic Typesetting"/>
        </w:rPr>
        <w:t xml:space="preserve"> reader</w:t>
      </w:r>
      <w:r w:rsidR="00293B57" w:rsidRPr="007B25AE">
        <w:rPr>
          <w:rFonts w:ascii="Baskerville" w:eastAsia="MS PMincho" w:hAnsi="Baskerville" w:cs="Arabic Typesetting"/>
        </w:rPr>
        <w:t xml:space="preserve"> </w:t>
      </w:r>
      <w:r w:rsidR="00FD4E28" w:rsidRPr="007B25AE">
        <w:rPr>
          <w:rFonts w:ascii="Baskerville" w:eastAsia="MS PMincho" w:hAnsi="Baskerville" w:cs="Arabic Typesetting"/>
        </w:rPr>
        <w:t>is</w:t>
      </w:r>
      <w:r w:rsidR="00B1116A" w:rsidRPr="007B25AE">
        <w:rPr>
          <w:rFonts w:ascii="Baskerville" w:eastAsia="MS PMincho" w:hAnsi="Baskerville" w:cs="Arabic Typesetting"/>
        </w:rPr>
        <w:t xml:space="preserve"> gradual </w:t>
      </w:r>
      <w:r w:rsidR="00FD4E28" w:rsidRPr="007B25AE">
        <w:rPr>
          <w:rFonts w:ascii="Baskerville" w:eastAsia="MS PMincho" w:hAnsi="Baskerville" w:cs="Arabic Typesetting"/>
        </w:rPr>
        <w:t>brought</w:t>
      </w:r>
      <w:r w:rsidR="00D367B0" w:rsidRPr="007B25AE">
        <w:rPr>
          <w:rFonts w:ascii="Baskerville" w:eastAsia="MS PMincho" w:hAnsi="Baskerville" w:cs="Arabic Typesetting"/>
        </w:rPr>
        <w:t xml:space="preserve"> </w:t>
      </w:r>
      <w:r w:rsidR="00511D6F" w:rsidRPr="007B25AE">
        <w:rPr>
          <w:rFonts w:ascii="Baskerville" w:eastAsia="MS PMincho" w:hAnsi="Baskerville" w:cs="Arabic Typesetting"/>
        </w:rPr>
        <w:t>in</w:t>
      </w:r>
      <w:r w:rsidR="00D367B0" w:rsidRPr="007B25AE">
        <w:rPr>
          <w:rFonts w:ascii="Baskerville" w:eastAsia="MS PMincho" w:hAnsi="Baskerville" w:cs="Arabic Typesetting"/>
        </w:rPr>
        <w:t xml:space="preserve">to </w:t>
      </w:r>
      <w:r w:rsidR="009A3AEC" w:rsidRPr="007B25AE">
        <w:rPr>
          <w:rFonts w:ascii="Baskerville" w:eastAsia="MS PMincho" w:hAnsi="Baskerville" w:cs="Arabic Typesetting"/>
        </w:rPr>
        <w:t>the</w:t>
      </w:r>
      <w:r w:rsidR="00D83D45" w:rsidRPr="007B25AE">
        <w:rPr>
          <w:rFonts w:ascii="Baskerville" w:eastAsia="MS PMincho" w:hAnsi="Baskerville" w:cs="Arabic Typesetting"/>
        </w:rPr>
        <w:t xml:space="preserve"> realization</w:t>
      </w:r>
      <w:r w:rsidR="00921CB8" w:rsidRPr="007B25AE">
        <w:rPr>
          <w:rFonts w:ascii="Baskerville" w:eastAsia="MS PMincho" w:hAnsi="Baskerville" w:cs="Arabic Typesetting"/>
        </w:rPr>
        <w:t xml:space="preserve"> </w:t>
      </w:r>
      <w:r w:rsidR="007566E2" w:rsidRPr="007B25AE">
        <w:rPr>
          <w:rFonts w:ascii="Baskerville" w:eastAsia="MS PMincho" w:hAnsi="Baskerville" w:cs="Arabic Typesetting"/>
        </w:rPr>
        <w:t xml:space="preserve">that the quit-transfer </w:t>
      </w:r>
      <w:r w:rsidR="00FD4E28" w:rsidRPr="007B25AE">
        <w:rPr>
          <w:rFonts w:ascii="Baskerville" w:eastAsia="MS PMincho" w:hAnsi="Baskerville" w:cs="Arabic Typesetting"/>
        </w:rPr>
        <w:t xml:space="preserve">issue </w:t>
      </w:r>
      <w:r w:rsidR="00511D6F" w:rsidRPr="007B25AE">
        <w:rPr>
          <w:rFonts w:ascii="Baskerville" w:eastAsia="MS PMincho" w:hAnsi="Baskerville" w:cs="Arabic Typesetting"/>
        </w:rPr>
        <w:t>with</w:t>
      </w:r>
      <w:r w:rsidR="007F2718" w:rsidRPr="007B25AE">
        <w:rPr>
          <w:rFonts w:ascii="Baskerville" w:eastAsia="MS PMincho" w:hAnsi="Baskerville" w:cs="Arabic Typesetting"/>
        </w:rPr>
        <w:t xml:space="preserve"> teachers </w:t>
      </w:r>
      <w:r w:rsidR="00FD4E28" w:rsidRPr="007B25AE">
        <w:rPr>
          <w:rFonts w:ascii="Baskerville" w:eastAsia="MS PMincho" w:hAnsi="Baskerville" w:cs="Arabic Typesetting"/>
        </w:rPr>
        <w:t xml:space="preserve">was a </w:t>
      </w:r>
      <w:r w:rsidR="00190A9A" w:rsidRPr="007B25AE">
        <w:rPr>
          <w:rFonts w:ascii="Baskerville" w:eastAsia="MS PMincho" w:hAnsi="Baskerville" w:cs="Arabic Typesetting"/>
        </w:rPr>
        <w:t>problem</w:t>
      </w:r>
      <w:r w:rsidR="0094607A" w:rsidRPr="007B25AE">
        <w:rPr>
          <w:rFonts w:ascii="Baskerville" w:eastAsia="MS PMincho" w:hAnsi="Baskerville" w:cs="Arabic Typesetting"/>
        </w:rPr>
        <w:t xml:space="preserve"> </w:t>
      </w:r>
      <w:r w:rsidR="00190A9A" w:rsidRPr="007B25AE">
        <w:rPr>
          <w:rFonts w:ascii="Baskerville" w:eastAsia="MS PMincho" w:hAnsi="Baskerville" w:cs="Arabic Typesetting"/>
        </w:rPr>
        <w:t>of</w:t>
      </w:r>
      <w:r w:rsidR="00FD4E28" w:rsidRPr="007B25AE">
        <w:rPr>
          <w:rFonts w:ascii="Baskerville" w:eastAsia="MS PMincho" w:hAnsi="Baskerville" w:cs="Arabic Typesetting"/>
        </w:rPr>
        <w:t xml:space="preserve"> </w:t>
      </w:r>
      <w:r w:rsidR="009A3AEC" w:rsidRPr="007B25AE">
        <w:rPr>
          <w:rFonts w:ascii="Baskerville" w:eastAsia="MS PMincho" w:hAnsi="Baskerville" w:cs="Arabic Typesetting"/>
        </w:rPr>
        <w:t>ongoing</w:t>
      </w:r>
      <w:r w:rsidR="00CA0E10" w:rsidRPr="007B25AE">
        <w:rPr>
          <w:rFonts w:ascii="Baskerville" w:eastAsia="MS PMincho" w:hAnsi="Baskerville" w:cs="Arabic Typesetting"/>
        </w:rPr>
        <w:t xml:space="preserve"> </w:t>
      </w:r>
      <w:r w:rsidR="00190A9A" w:rsidRPr="007B25AE">
        <w:rPr>
          <w:rFonts w:ascii="Baskerville" w:eastAsia="MS PMincho" w:hAnsi="Baskerville" w:cs="Arabic Typesetting"/>
        </w:rPr>
        <w:t xml:space="preserve">concern </w:t>
      </w:r>
      <w:r w:rsidR="00CA0E10" w:rsidRPr="007B25AE">
        <w:rPr>
          <w:rFonts w:ascii="Baskerville" w:eastAsia="MS PMincho" w:hAnsi="Baskerville" w:cs="Arabic Typesetting"/>
        </w:rPr>
        <w:t>to</w:t>
      </w:r>
      <w:r w:rsidR="0055210D" w:rsidRPr="007B25AE">
        <w:rPr>
          <w:rFonts w:ascii="Baskerville" w:eastAsia="MS PMincho" w:hAnsi="Baskerville" w:cs="Arabic Typesetting"/>
        </w:rPr>
        <w:t xml:space="preserve"> </w:t>
      </w:r>
      <w:r w:rsidR="0094607A" w:rsidRPr="007B25AE">
        <w:rPr>
          <w:rFonts w:ascii="Baskerville" w:eastAsia="MS PMincho" w:hAnsi="Baskerville" w:cs="Arabic Typesetting"/>
        </w:rPr>
        <w:t xml:space="preserve">him </w:t>
      </w:r>
      <w:r w:rsidR="00FD4E28" w:rsidRPr="007B25AE">
        <w:rPr>
          <w:rFonts w:ascii="Baskerville" w:eastAsia="MS PMincho" w:hAnsi="Baskerville" w:cs="Arabic Typesetting"/>
        </w:rPr>
        <w:t xml:space="preserve">in his position </w:t>
      </w:r>
      <w:r w:rsidR="00511D6F" w:rsidRPr="007B25AE">
        <w:rPr>
          <w:rFonts w:ascii="Baskerville" w:eastAsia="MS PMincho" w:hAnsi="Baskerville" w:cs="Arabic Typesetting"/>
        </w:rPr>
        <w:t>as</w:t>
      </w:r>
      <w:r w:rsidR="0094607A" w:rsidRPr="007B25AE">
        <w:rPr>
          <w:rFonts w:ascii="Baskerville" w:eastAsia="MS PMincho" w:hAnsi="Baskerville" w:cs="Arabic Typesetting"/>
        </w:rPr>
        <w:t xml:space="preserve"> </w:t>
      </w:r>
      <w:r w:rsidR="00190A9A" w:rsidRPr="007B25AE">
        <w:rPr>
          <w:rFonts w:ascii="Baskerville" w:eastAsia="MS PMincho" w:hAnsi="Baskerville" w:cs="Arabic Typesetting"/>
        </w:rPr>
        <w:t>school administrato</w:t>
      </w:r>
      <w:r w:rsidR="0055210D" w:rsidRPr="007B25AE">
        <w:rPr>
          <w:rFonts w:ascii="Baskerville" w:eastAsia="MS PMincho" w:hAnsi="Baskerville" w:cs="Arabic Typesetting"/>
        </w:rPr>
        <w:t>r</w:t>
      </w:r>
      <w:r w:rsidR="00190A9A" w:rsidRPr="007B25AE">
        <w:rPr>
          <w:rFonts w:ascii="Baskerville" w:eastAsia="MS PMincho" w:hAnsi="Baskerville" w:cs="Arabic Typesetting"/>
        </w:rPr>
        <w:t xml:space="preserve">. </w:t>
      </w:r>
      <w:r w:rsidR="007A56ED" w:rsidRPr="007B25AE">
        <w:rPr>
          <w:rFonts w:ascii="Baskerville" w:eastAsia="MS PMincho" w:hAnsi="Baskerville" w:cs="Arabic Typesetting"/>
        </w:rPr>
        <w:t xml:space="preserve"> H</w:t>
      </w:r>
      <w:r w:rsidR="0055210D" w:rsidRPr="007B25AE">
        <w:rPr>
          <w:rFonts w:ascii="Baskerville" w:eastAsia="MS PMincho" w:hAnsi="Baskerville" w:cs="Arabic Typesetting"/>
        </w:rPr>
        <w:t xml:space="preserve">is background in business </w:t>
      </w:r>
      <w:r w:rsidR="00B1116A" w:rsidRPr="007B25AE">
        <w:rPr>
          <w:rFonts w:ascii="Baskerville" w:eastAsia="MS PMincho" w:hAnsi="Baskerville" w:cs="Arabic Typesetting"/>
        </w:rPr>
        <w:t xml:space="preserve">education </w:t>
      </w:r>
      <w:r w:rsidR="007F2718" w:rsidRPr="007B25AE">
        <w:rPr>
          <w:rFonts w:ascii="Baskerville" w:eastAsia="MS PMincho" w:hAnsi="Baskerville" w:cs="Arabic Typesetting"/>
        </w:rPr>
        <w:t xml:space="preserve">appeared </w:t>
      </w:r>
      <w:r w:rsidR="007A56ED" w:rsidRPr="007B25AE">
        <w:rPr>
          <w:rFonts w:ascii="Baskerville" w:eastAsia="MS PMincho" w:hAnsi="Baskerville" w:cs="Arabic Typesetting"/>
        </w:rPr>
        <w:t xml:space="preserve">also to have been </w:t>
      </w:r>
      <w:r w:rsidR="00D011E2" w:rsidRPr="007B25AE">
        <w:rPr>
          <w:rFonts w:ascii="Baskerville" w:eastAsia="MS PMincho" w:hAnsi="Baskerville" w:cs="Arabic Typesetting"/>
        </w:rPr>
        <w:t>on</w:t>
      </w:r>
      <w:r w:rsidR="00B1116A" w:rsidRPr="007B25AE">
        <w:rPr>
          <w:rFonts w:ascii="Baskerville" w:eastAsia="MS PMincho" w:hAnsi="Baskerville" w:cs="Arabic Typesetting"/>
        </w:rPr>
        <w:t>e</w:t>
      </w:r>
      <w:r w:rsidR="00D011E2" w:rsidRPr="007B25AE">
        <w:rPr>
          <w:rFonts w:ascii="Baskerville" w:eastAsia="MS PMincho" w:hAnsi="Baskerville" w:cs="Arabic Typesetting"/>
        </w:rPr>
        <w:t xml:space="preserve"> of the main</w:t>
      </w:r>
      <w:r w:rsidR="00B545CA" w:rsidRPr="007B25AE">
        <w:rPr>
          <w:rFonts w:ascii="Baskerville" w:eastAsia="MS PMincho" w:hAnsi="Baskerville" w:cs="Arabic Typesetting"/>
        </w:rPr>
        <w:t xml:space="preserve"> </w:t>
      </w:r>
      <w:r w:rsidR="0094607A" w:rsidRPr="007B25AE">
        <w:rPr>
          <w:rFonts w:ascii="Baskerville" w:eastAsia="MS PMincho" w:hAnsi="Baskerville" w:cs="Arabic Typesetting"/>
        </w:rPr>
        <w:t xml:space="preserve">stabilizing </w:t>
      </w:r>
      <w:r w:rsidR="00B1116A" w:rsidRPr="007B25AE">
        <w:rPr>
          <w:rFonts w:ascii="Baskerville" w:eastAsia="MS PMincho" w:hAnsi="Baskerville" w:cs="Arabic Typesetting"/>
        </w:rPr>
        <w:t>prop</w:t>
      </w:r>
      <w:r w:rsidR="00FD4E28" w:rsidRPr="007B25AE">
        <w:rPr>
          <w:rFonts w:ascii="Baskerville" w:eastAsia="MS PMincho" w:hAnsi="Baskerville" w:cs="Arabic Typesetting"/>
        </w:rPr>
        <w:t>s</w:t>
      </w:r>
      <w:r w:rsidR="0094607A" w:rsidRPr="007B25AE">
        <w:rPr>
          <w:rFonts w:ascii="Baskerville" w:eastAsia="MS PMincho" w:hAnsi="Baskerville" w:cs="Arabic Typesetting"/>
        </w:rPr>
        <w:t xml:space="preserve"> behind his emerging theory that </w:t>
      </w:r>
      <w:r w:rsidR="00D011E2" w:rsidRPr="007B25AE">
        <w:rPr>
          <w:rFonts w:ascii="Baskerville" w:eastAsia="MS PMincho" w:hAnsi="Baskerville" w:cs="Arabic Typesetting"/>
        </w:rPr>
        <w:t xml:space="preserve">one </w:t>
      </w:r>
      <w:r w:rsidR="007A56ED" w:rsidRPr="007B25AE">
        <w:rPr>
          <w:rFonts w:ascii="Baskerville" w:eastAsia="MS PMincho" w:hAnsi="Baskerville" w:cs="Arabic Typesetting"/>
        </w:rPr>
        <w:t>of the probable</w:t>
      </w:r>
      <w:r w:rsidR="00D011E2" w:rsidRPr="007B25AE">
        <w:rPr>
          <w:rFonts w:ascii="Baskerville" w:eastAsia="MS PMincho" w:hAnsi="Baskerville" w:cs="Arabic Typesetting"/>
        </w:rPr>
        <w:t xml:space="preserve"> cause</w:t>
      </w:r>
      <w:r w:rsidR="007A56ED" w:rsidRPr="007B25AE">
        <w:rPr>
          <w:rFonts w:ascii="Baskerville" w:eastAsia="MS PMincho" w:hAnsi="Baskerville" w:cs="Arabic Typesetting"/>
        </w:rPr>
        <w:t>s</w:t>
      </w:r>
      <w:r w:rsidR="00D011E2" w:rsidRPr="007B25AE">
        <w:rPr>
          <w:rFonts w:ascii="Baskerville" w:eastAsia="MS PMincho" w:hAnsi="Baskerville" w:cs="Arabic Typesetting"/>
        </w:rPr>
        <w:t xml:space="preserve"> of the problem may</w:t>
      </w:r>
      <w:r w:rsidR="000151BE" w:rsidRPr="007B25AE">
        <w:rPr>
          <w:rFonts w:ascii="Baskerville" w:eastAsia="MS PMincho" w:hAnsi="Baskerville" w:cs="Arabic Typesetting"/>
        </w:rPr>
        <w:t xml:space="preserve"> </w:t>
      </w:r>
      <w:r w:rsidR="007A56ED" w:rsidRPr="007B25AE">
        <w:rPr>
          <w:rFonts w:ascii="Baskerville" w:eastAsia="MS PMincho" w:hAnsi="Baskerville" w:cs="Arabic Typesetting"/>
        </w:rPr>
        <w:t xml:space="preserve">well </w:t>
      </w:r>
      <w:r w:rsidR="000151BE" w:rsidRPr="007B25AE">
        <w:rPr>
          <w:rFonts w:ascii="Baskerville" w:eastAsia="MS PMincho" w:hAnsi="Baskerville" w:cs="Arabic Typesetting"/>
        </w:rPr>
        <w:t xml:space="preserve">have </w:t>
      </w:r>
      <w:r w:rsidR="007A56ED" w:rsidRPr="007B25AE">
        <w:rPr>
          <w:rFonts w:ascii="Baskerville" w:eastAsia="MS PMincho" w:hAnsi="Baskerville" w:cs="Arabic Typesetting"/>
        </w:rPr>
        <w:t xml:space="preserve">something </w:t>
      </w:r>
      <w:r w:rsidR="000151BE" w:rsidRPr="007B25AE">
        <w:rPr>
          <w:rFonts w:ascii="Baskerville" w:eastAsia="MS PMincho" w:hAnsi="Baskerville" w:cs="Arabic Typesetting"/>
        </w:rPr>
        <w:t>to do with</w:t>
      </w:r>
      <w:r w:rsidR="00D011E2" w:rsidRPr="007B25AE">
        <w:rPr>
          <w:rFonts w:ascii="Baskerville" w:eastAsia="MS PMincho" w:hAnsi="Baskerville" w:cs="Arabic Typesetting"/>
        </w:rPr>
        <w:t xml:space="preserve"> the teacher’s mode of entry into the profession</w:t>
      </w:r>
      <w:r w:rsidR="00B545CA" w:rsidRPr="007B25AE">
        <w:rPr>
          <w:rFonts w:ascii="Baskerville" w:eastAsia="MS PMincho" w:hAnsi="Baskerville" w:cs="Arabic Typesetting"/>
        </w:rPr>
        <w:t xml:space="preserve">. </w:t>
      </w:r>
      <w:r w:rsidR="009A3AEC" w:rsidRPr="007B25AE">
        <w:rPr>
          <w:rFonts w:ascii="Baskerville" w:eastAsia="MS PMincho" w:hAnsi="Baskerville" w:cs="Arabic Typesetting"/>
        </w:rPr>
        <w:t>And</w:t>
      </w:r>
      <w:r w:rsidR="007F2718" w:rsidRPr="007B25AE">
        <w:rPr>
          <w:rFonts w:ascii="Baskerville" w:eastAsia="MS PMincho" w:hAnsi="Baskerville" w:cs="Arabic Typesetting"/>
        </w:rPr>
        <w:t>,</w:t>
      </w:r>
      <w:r w:rsidR="009A3AEC" w:rsidRPr="007B25AE">
        <w:rPr>
          <w:rFonts w:ascii="Baskerville" w:eastAsia="MS PMincho" w:hAnsi="Baskerville" w:cs="Arabic Typesetting"/>
        </w:rPr>
        <w:t xml:space="preserve"> from </w:t>
      </w:r>
      <w:r w:rsidR="007A56ED" w:rsidRPr="007B25AE">
        <w:rPr>
          <w:rFonts w:ascii="Baskerville" w:eastAsia="MS PMincho" w:hAnsi="Baskerville" w:cs="Arabic Typesetting"/>
        </w:rPr>
        <w:t>within that framework</w:t>
      </w:r>
      <w:r w:rsidR="009A3AEC" w:rsidRPr="007B25AE">
        <w:rPr>
          <w:rFonts w:ascii="Baskerville" w:eastAsia="MS PMincho" w:hAnsi="Baskerville" w:cs="Arabic Typesetting"/>
        </w:rPr>
        <w:t>, h</w:t>
      </w:r>
      <w:r w:rsidR="00B545CA" w:rsidRPr="007B25AE">
        <w:rPr>
          <w:rFonts w:ascii="Baskerville" w:eastAsia="MS PMincho" w:hAnsi="Baskerville" w:cs="Arabic Typesetting"/>
        </w:rPr>
        <w:t>is</w:t>
      </w:r>
      <w:r w:rsidR="0094607A" w:rsidRPr="007B25AE">
        <w:rPr>
          <w:rFonts w:ascii="Baskerville" w:eastAsia="MS PMincho" w:hAnsi="Baskerville" w:cs="Arabic Typesetting"/>
        </w:rPr>
        <w:t xml:space="preserve"> </w:t>
      </w:r>
      <w:r w:rsidR="00B545CA" w:rsidRPr="007B25AE">
        <w:rPr>
          <w:rFonts w:ascii="Baskerville" w:eastAsia="MS PMincho" w:hAnsi="Baskerville" w:cs="Arabic Typesetting"/>
        </w:rPr>
        <w:t xml:space="preserve">research </w:t>
      </w:r>
      <w:r w:rsidR="007A56ED" w:rsidRPr="007B25AE">
        <w:rPr>
          <w:rFonts w:ascii="Baskerville" w:eastAsia="MS PMincho" w:hAnsi="Baskerville" w:cs="Arabic Typesetting"/>
        </w:rPr>
        <w:t xml:space="preserve">would gradually </w:t>
      </w:r>
      <w:r w:rsidR="00AC7130" w:rsidRPr="007B25AE">
        <w:rPr>
          <w:rFonts w:ascii="Baskerville" w:eastAsia="MS PMincho" w:hAnsi="Baskerville" w:cs="Arabic Typesetting"/>
        </w:rPr>
        <w:t>bring out</w:t>
      </w:r>
      <w:r w:rsidR="009A3AEC" w:rsidRPr="007B25AE">
        <w:rPr>
          <w:rFonts w:ascii="Baskerville" w:eastAsia="MS PMincho" w:hAnsi="Baskerville" w:cs="Arabic Typesetting"/>
        </w:rPr>
        <w:t xml:space="preserve"> </w:t>
      </w:r>
      <w:r w:rsidR="009A3AEC" w:rsidRPr="007B25AE">
        <w:rPr>
          <w:rFonts w:ascii="Baskerville" w:eastAsia="MS PMincho" w:hAnsi="Baskerville" w:cs="Arabic Typesetting"/>
          <w:color w:val="FF0000"/>
        </w:rPr>
        <w:t>purpose</w:t>
      </w:r>
      <w:r w:rsidR="007A56ED" w:rsidRPr="007B25AE">
        <w:rPr>
          <w:rFonts w:ascii="Baskerville" w:eastAsia="MS PMincho" w:hAnsi="Baskerville" w:cs="Arabic Typesetting"/>
        </w:rPr>
        <w:t xml:space="preserve"> and </w:t>
      </w:r>
      <w:r w:rsidR="007A56ED" w:rsidRPr="007B25AE">
        <w:rPr>
          <w:rFonts w:ascii="Baskerville" w:eastAsia="MS PMincho" w:hAnsi="Baskerville" w:cs="Arabic Typesetting"/>
          <w:color w:val="FF0000"/>
        </w:rPr>
        <w:t>rationale</w:t>
      </w:r>
      <w:r w:rsidR="007A56ED" w:rsidRPr="007B25AE">
        <w:rPr>
          <w:rFonts w:ascii="Baskerville" w:eastAsia="MS PMincho" w:hAnsi="Baskerville" w:cs="Arabic Typesetting"/>
        </w:rPr>
        <w:t xml:space="preserve"> </w:t>
      </w:r>
      <w:r w:rsidR="007F2718" w:rsidRPr="007B25AE">
        <w:rPr>
          <w:rFonts w:ascii="Baskerville" w:eastAsia="MS PMincho" w:hAnsi="Baskerville" w:cs="Arabic Typesetting"/>
        </w:rPr>
        <w:t xml:space="preserve">as it </w:t>
      </w:r>
      <w:r w:rsidR="00D011E2" w:rsidRPr="007B25AE">
        <w:rPr>
          <w:rFonts w:ascii="Baskerville" w:eastAsia="MS PMincho" w:hAnsi="Baskerville" w:cs="Arabic Typesetting"/>
        </w:rPr>
        <w:t>communicat</w:t>
      </w:r>
      <w:r w:rsidR="007F2718" w:rsidRPr="007B25AE">
        <w:rPr>
          <w:rFonts w:ascii="Baskerville" w:eastAsia="MS PMincho" w:hAnsi="Baskerville" w:cs="Arabic Typesetting"/>
        </w:rPr>
        <w:t>ed</w:t>
      </w:r>
      <w:r w:rsidR="00D011E2" w:rsidRPr="007B25AE">
        <w:rPr>
          <w:rFonts w:ascii="Baskerville" w:eastAsia="MS PMincho" w:hAnsi="Baskerville" w:cs="Arabic Typesetting"/>
        </w:rPr>
        <w:t xml:space="preserve"> in a </w:t>
      </w:r>
      <w:r w:rsidR="009A3AEC" w:rsidRPr="007B25AE">
        <w:rPr>
          <w:rFonts w:ascii="Baskerville" w:eastAsia="MS PMincho" w:hAnsi="Baskerville" w:cs="Arabic Typesetting"/>
        </w:rPr>
        <w:t>voice</w:t>
      </w:r>
      <w:r w:rsidR="00921CB8" w:rsidRPr="007B25AE">
        <w:rPr>
          <w:rFonts w:ascii="Baskerville" w:eastAsia="MS PMincho" w:hAnsi="Baskerville" w:cs="Arabic Typesetting"/>
        </w:rPr>
        <w:t xml:space="preserve"> </w:t>
      </w:r>
      <w:r w:rsidR="00D011E2" w:rsidRPr="007B25AE">
        <w:rPr>
          <w:rFonts w:ascii="Baskerville" w:eastAsia="MS PMincho" w:hAnsi="Baskerville" w:cs="Arabic Typesetting"/>
        </w:rPr>
        <w:t xml:space="preserve">that </w:t>
      </w:r>
      <w:r w:rsidR="007F2718" w:rsidRPr="007B25AE">
        <w:rPr>
          <w:rFonts w:ascii="Baskerville" w:eastAsia="MS PMincho" w:hAnsi="Baskerville" w:cs="Arabic Typesetting"/>
        </w:rPr>
        <w:t xml:space="preserve">showed a </w:t>
      </w:r>
      <w:r w:rsidR="00247B5A" w:rsidRPr="007B25AE">
        <w:rPr>
          <w:rFonts w:ascii="Baskerville" w:eastAsia="MS PMincho" w:hAnsi="Baskerville" w:cs="Arabic Typesetting"/>
        </w:rPr>
        <w:t>cultivated</w:t>
      </w:r>
      <w:r w:rsidR="007F2718" w:rsidRPr="007B25AE">
        <w:rPr>
          <w:rFonts w:ascii="Baskerville" w:eastAsia="MS PMincho" w:hAnsi="Baskerville" w:cs="Arabic Typesetting"/>
        </w:rPr>
        <w:t xml:space="preserve"> facility with</w:t>
      </w:r>
      <w:r w:rsidR="00D011E2" w:rsidRPr="007B25AE">
        <w:rPr>
          <w:rFonts w:ascii="Baskerville" w:eastAsia="MS PMincho" w:hAnsi="Baskerville" w:cs="Arabic Typesetting"/>
        </w:rPr>
        <w:t xml:space="preserve"> </w:t>
      </w:r>
      <w:r w:rsidR="00B545CA" w:rsidRPr="007B25AE">
        <w:rPr>
          <w:rFonts w:ascii="Baskerville" w:eastAsia="MS PMincho" w:hAnsi="Baskerville" w:cs="Arabic Typesetting"/>
        </w:rPr>
        <w:t>the language of economics</w:t>
      </w:r>
      <w:r w:rsidR="00921CB8" w:rsidRPr="007B25AE">
        <w:rPr>
          <w:rFonts w:ascii="Baskerville" w:eastAsia="MS PMincho" w:hAnsi="Baskerville" w:cs="Arabic Typesetting"/>
        </w:rPr>
        <w:t xml:space="preserve">. </w:t>
      </w:r>
      <w:r w:rsidR="000151BE" w:rsidRPr="007B25AE">
        <w:rPr>
          <w:rFonts w:ascii="Baskerville" w:eastAsia="MS PMincho" w:hAnsi="Baskerville" w:cs="Arabic Typesetting"/>
        </w:rPr>
        <w:t xml:space="preserve">For, his was a language that constantly </w:t>
      </w:r>
      <w:proofErr w:type="gramStart"/>
      <w:r w:rsidR="000151BE" w:rsidRPr="007B25AE">
        <w:rPr>
          <w:rFonts w:ascii="Baskerville" w:eastAsia="MS PMincho" w:hAnsi="Baskerville" w:cs="Arabic Typesetting"/>
        </w:rPr>
        <w:t xml:space="preserve">made </w:t>
      </w:r>
      <w:r w:rsidR="00B545CA" w:rsidRPr="007B25AE">
        <w:rPr>
          <w:rFonts w:ascii="Baskerville" w:eastAsia="MS PMincho" w:hAnsi="Baskerville" w:cs="Arabic Typesetting"/>
        </w:rPr>
        <w:t>reference</w:t>
      </w:r>
      <w:proofErr w:type="gramEnd"/>
      <w:r w:rsidR="00B545CA" w:rsidRPr="007B25AE">
        <w:rPr>
          <w:rFonts w:ascii="Baskerville" w:eastAsia="MS PMincho" w:hAnsi="Baskerville" w:cs="Arabic Typesetting"/>
        </w:rPr>
        <w:t xml:space="preserve"> to</w:t>
      </w:r>
      <w:r w:rsidR="0055210D" w:rsidRPr="007B25AE">
        <w:rPr>
          <w:rFonts w:ascii="Baskerville" w:eastAsia="MS PMincho" w:hAnsi="Baskerville" w:cs="Arabic Typesetting"/>
        </w:rPr>
        <w:t xml:space="preserve"> the interdependence</w:t>
      </w:r>
      <w:r w:rsidR="00B545CA" w:rsidRPr="007B25AE">
        <w:rPr>
          <w:rFonts w:ascii="Baskerville" w:eastAsia="MS PMincho" w:hAnsi="Baskerville" w:cs="Arabic Typesetting"/>
        </w:rPr>
        <w:t xml:space="preserve"> of</w:t>
      </w:r>
      <w:r w:rsidR="0055210D" w:rsidRPr="007B25AE">
        <w:rPr>
          <w:rFonts w:ascii="Baskerville" w:eastAsia="MS PMincho" w:hAnsi="Baskerville" w:cs="Arabic Typesetting"/>
        </w:rPr>
        <w:t xml:space="preserve"> two of the three factors of production (labor and capital</w:t>
      </w:r>
      <w:r w:rsidR="00B545CA" w:rsidRPr="007B25AE">
        <w:rPr>
          <w:rFonts w:ascii="Baskerville" w:eastAsia="MS PMincho" w:hAnsi="Baskerville" w:cs="Arabic Typesetting"/>
        </w:rPr>
        <w:t xml:space="preserve">) and </w:t>
      </w:r>
      <w:r w:rsidR="000151BE" w:rsidRPr="007B25AE">
        <w:rPr>
          <w:rFonts w:ascii="Baskerville" w:eastAsia="MS PMincho" w:hAnsi="Baskerville" w:cs="Arabic Typesetting"/>
        </w:rPr>
        <w:t>how</w:t>
      </w:r>
      <w:r w:rsidR="00B545CA" w:rsidRPr="007B25AE">
        <w:rPr>
          <w:rFonts w:ascii="Baskerville" w:eastAsia="MS PMincho" w:hAnsi="Baskerville" w:cs="Arabic Typesetting"/>
        </w:rPr>
        <w:t xml:space="preserve"> the interplay between the supply</w:t>
      </w:r>
      <w:r w:rsidR="004B04DC" w:rsidRPr="007B25AE">
        <w:rPr>
          <w:rFonts w:ascii="Baskerville" w:eastAsia="MS PMincho" w:hAnsi="Baskerville" w:cs="Arabic Typesetting"/>
        </w:rPr>
        <w:t>-demand</w:t>
      </w:r>
      <w:r w:rsidR="00B545CA" w:rsidRPr="007B25AE">
        <w:rPr>
          <w:rFonts w:ascii="Baskerville" w:eastAsia="MS PMincho" w:hAnsi="Baskerville" w:cs="Arabic Typesetting"/>
        </w:rPr>
        <w:t xml:space="preserve"> curve</w:t>
      </w:r>
      <w:r w:rsidR="00293B57" w:rsidRPr="007B25AE">
        <w:rPr>
          <w:rFonts w:ascii="Baskerville" w:eastAsia="MS PMincho" w:hAnsi="Baskerville" w:cs="Arabic Typesetting"/>
        </w:rPr>
        <w:t xml:space="preserve"> </w:t>
      </w:r>
      <w:r w:rsidR="00B545CA" w:rsidRPr="007B25AE">
        <w:rPr>
          <w:rFonts w:ascii="Baskerville" w:eastAsia="MS PMincho" w:hAnsi="Baskerville" w:cs="Arabic Typesetting"/>
        </w:rPr>
        <w:t>impact</w:t>
      </w:r>
      <w:r w:rsidR="00AC7130" w:rsidRPr="007B25AE">
        <w:rPr>
          <w:rFonts w:ascii="Baskerville" w:eastAsia="MS PMincho" w:hAnsi="Baskerville" w:cs="Arabic Typesetting"/>
        </w:rPr>
        <w:t>s</w:t>
      </w:r>
      <w:r w:rsidR="00B545CA" w:rsidRPr="007B25AE">
        <w:rPr>
          <w:rFonts w:ascii="Baskerville" w:eastAsia="MS PMincho" w:hAnsi="Baskerville" w:cs="Arabic Typesetting"/>
        </w:rPr>
        <w:t xml:space="preserve"> </w:t>
      </w:r>
      <w:r w:rsidR="00D367B0" w:rsidRPr="007B25AE">
        <w:rPr>
          <w:rFonts w:ascii="Baskerville" w:eastAsia="MS PMincho" w:hAnsi="Baskerville" w:cs="Arabic Typesetting"/>
        </w:rPr>
        <w:t xml:space="preserve">the </w:t>
      </w:r>
      <w:r w:rsidR="00B545CA" w:rsidRPr="007B25AE">
        <w:rPr>
          <w:rFonts w:ascii="Baskerville" w:eastAsia="MS PMincho" w:hAnsi="Baskerville" w:cs="Arabic Typesetting"/>
        </w:rPr>
        <w:t xml:space="preserve">teacher turnover rate. </w:t>
      </w:r>
      <w:r w:rsidR="0055210D" w:rsidRPr="007B25AE">
        <w:rPr>
          <w:rFonts w:ascii="Baskerville" w:eastAsia="MS PMincho" w:hAnsi="Baskerville" w:cs="Arabic Typesetting"/>
        </w:rPr>
        <w:t xml:space="preserve"> </w:t>
      </w:r>
      <w:r w:rsidR="005F01B7" w:rsidRPr="007B25AE">
        <w:rPr>
          <w:rFonts w:ascii="Baskerville" w:eastAsia="MS PMincho" w:hAnsi="Baskerville" w:cs="Arabic Typesetting"/>
        </w:rPr>
        <w:t xml:space="preserve">Evidently, </w:t>
      </w:r>
      <w:r w:rsidR="00AF6C4A" w:rsidRPr="007B25AE">
        <w:rPr>
          <w:rFonts w:ascii="Baskerville" w:eastAsia="MS PMincho" w:hAnsi="Baskerville" w:cs="Arabic Typesetting"/>
        </w:rPr>
        <w:t>work</w:t>
      </w:r>
      <w:r w:rsidR="005F01B7" w:rsidRPr="007B25AE">
        <w:rPr>
          <w:rFonts w:ascii="Baskerville" w:eastAsia="MS PMincho" w:hAnsi="Baskerville" w:cs="Arabic Typesetting"/>
        </w:rPr>
        <w:t>ing</w:t>
      </w:r>
      <w:r w:rsidR="00AF6C4A" w:rsidRPr="007B25AE">
        <w:rPr>
          <w:rFonts w:ascii="Baskerville" w:eastAsia="MS PMincho" w:hAnsi="Baskerville" w:cs="Arabic Typesetting"/>
        </w:rPr>
        <w:t xml:space="preserve"> as </w:t>
      </w:r>
      <w:r w:rsidR="00293B57" w:rsidRPr="007B25AE">
        <w:rPr>
          <w:rFonts w:ascii="Baskerville" w:eastAsia="MS PMincho" w:hAnsi="Baskerville" w:cs="Arabic Typesetting"/>
        </w:rPr>
        <w:t xml:space="preserve">an </w:t>
      </w:r>
      <w:r w:rsidR="00AF6C4A" w:rsidRPr="007B25AE">
        <w:rPr>
          <w:rFonts w:ascii="Baskerville" w:eastAsia="MS PMincho" w:hAnsi="Baskerville" w:cs="Arabic Typesetting"/>
        </w:rPr>
        <w:t xml:space="preserve">assistant principal and principal, </w:t>
      </w:r>
      <w:proofErr w:type="spellStart"/>
      <w:r w:rsidR="00CA0E10" w:rsidRPr="007B25AE">
        <w:rPr>
          <w:rFonts w:ascii="Baskerville" w:eastAsia="MS PMincho" w:hAnsi="Baskerville" w:cs="Arabic Typesetting"/>
        </w:rPr>
        <w:t>Ogundimu</w:t>
      </w:r>
      <w:proofErr w:type="spellEnd"/>
      <w:r w:rsidR="003E4987" w:rsidRPr="007B25AE">
        <w:rPr>
          <w:rFonts w:ascii="Baskerville" w:eastAsia="MS PMincho" w:hAnsi="Baskerville" w:cs="Arabic Typesetting"/>
        </w:rPr>
        <w:t xml:space="preserve"> </w:t>
      </w:r>
      <w:r w:rsidR="00AF6C4A" w:rsidRPr="007B25AE">
        <w:rPr>
          <w:rFonts w:ascii="Baskerville" w:eastAsia="MS PMincho" w:hAnsi="Baskerville" w:cs="Arabic Typesetting"/>
        </w:rPr>
        <w:t xml:space="preserve">had to have confronted the </w:t>
      </w:r>
      <w:r w:rsidR="003E4987" w:rsidRPr="007B25AE">
        <w:rPr>
          <w:rFonts w:ascii="Baskerville" w:eastAsia="MS PMincho" w:hAnsi="Baskerville" w:cs="Arabic Typesetting"/>
        </w:rPr>
        <w:t xml:space="preserve">nagging </w:t>
      </w:r>
      <w:r w:rsidR="00AF6C4A" w:rsidRPr="007B25AE">
        <w:rPr>
          <w:rFonts w:ascii="Baskerville" w:eastAsia="MS PMincho" w:hAnsi="Baskerville" w:cs="Arabic Typesetting"/>
          <w:color w:val="FF0000"/>
        </w:rPr>
        <w:t>problem</w:t>
      </w:r>
      <w:r w:rsidR="00AF6C4A" w:rsidRPr="007B25AE">
        <w:rPr>
          <w:rFonts w:ascii="Baskerville" w:eastAsia="MS PMincho" w:hAnsi="Baskerville" w:cs="Arabic Typesetting"/>
        </w:rPr>
        <w:t xml:space="preserve"> </w:t>
      </w:r>
      <w:r w:rsidR="003E4987" w:rsidRPr="007B25AE">
        <w:rPr>
          <w:rFonts w:ascii="Baskerville" w:eastAsia="MS PMincho" w:hAnsi="Baskerville" w:cs="Arabic Typesetting"/>
        </w:rPr>
        <w:t>of teacher turnover</w:t>
      </w:r>
      <w:r w:rsidR="005F01B7" w:rsidRPr="007B25AE">
        <w:rPr>
          <w:rFonts w:ascii="Baskerville" w:eastAsia="MS PMincho" w:hAnsi="Baskerville" w:cs="Arabic Typesetting"/>
        </w:rPr>
        <w:t>. That was obviously a sufficient driver t</w:t>
      </w:r>
      <w:r w:rsidR="00AC7130" w:rsidRPr="007B25AE">
        <w:rPr>
          <w:rFonts w:ascii="Baskerville" w:eastAsia="MS PMincho" w:hAnsi="Baskerville" w:cs="Arabic Typesetting"/>
        </w:rPr>
        <w:t>hat</w:t>
      </w:r>
      <w:r w:rsidR="005F01B7" w:rsidRPr="007B25AE">
        <w:rPr>
          <w:rFonts w:ascii="Baskerville" w:eastAsia="MS PMincho" w:hAnsi="Baskerville" w:cs="Arabic Typesetting"/>
        </w:rPr>
        <w:t xml:space="preserve"> </w:t>
      </w:r>
      <w:proofErr w:type="gramStart"/>
      <w:r w:rsidR="005F01B7" w:rsidRPr="007B25AE">
        <w:rPr>
          <w:rFonts w:ascii="Baskerville" w:eastAsia="MS PMincho" w:hAnsi="Baskerville" w:cs="Arabic Typesetting"/>
        </w:rPr>
        <w:t>lead</w:t>
      </w:r>
      <w:proofErr w:type="gramEnd"/>
      <w:r w:rsidR="005F01B7" w:rsidRPr="007B25AE">
        <w:rPr>
          <w:rFonts w:ascii="Baskerville" w:eastAsia="MS PMincho" w:hAnsi="Baskerville" w:cs="Arabic Typesetting"/>
        </w:rPr>
        <w:t xml:space="preserve"> into </w:t>
      </w:r>
      <w:r w:rsidR="00D367B0" w:rsidRPr="007B25AE">
        <w:rPr>
          <w:rFonts w:ascii="Baskerville" w:eastAsia="MS PMincho" w:hAnsi="Baskerville" w:cs="Arabic Typesetting"/>
        </w:rPr>
        <w:t>“</w:t>
      </w:r>
      <w:r w:rsidR="005F01B7" w:rsidRPr="007B25AE">
        <w:rPr>
          <w:rFonts w:ascii="Baskerville" w:eastAsia="MS PMincho" w:hAnsi="Baskerville" w:cs="Arabic Typesetting"/>
        </w:rPr>
        <w:t>probable causes</w:t>
      </w:r>
      <w:r w:rsidR="00D367B0" w:rsidRPr="007B25AE">
        <w:rPr>
          <w:rFonts w:ascii="Baskerville" w:eastAsia="MS PMincho" w:hAnsi="Baskerville" w:cs="Arabic Typesetting"/>
        </w:rPr>
        <w:t>”</w:t>
      </w:r>
      <w:r w:rsidR="008A7447" w:rsidRPr="007B25AE">
        <w:rPr>
          <w:rFonts w:ascii="Baskerville" w:eastAsia="MS PMincho" w:hAnsi="Baskerville" w:cs="Arabic Typesetting"/>
        </w:rPr>
        <w:t xml:space="preserve"> (the question</w:t>
      </w:r>
      <w:r w:rsidR="00293B57" w:rsidRPr="007B25AE">
        <w:rPr>
          <w:rFonts w:ascii="Baskerville" w:eastAsia="MS PMincho" w:hAnsi="Baskerville" w:cs="Arabic Typesetting"/>
        </w:rPr>
        <w:t>(s)</w:t>
      </w:r>
      <w:r w:rsidR="008A7447" w:rsidRPr="007B25AE">
        <w:rPr>
          <w:rFonts w:ascii="Baskerville" w:eastAsia="MS PMincho" w:hAnsi="Baskerville" w:cs="Arabic Typesetting"/>
        </w:rPr>
        <w:t xml:space="preserve"> generating a primary hypothesis),</w:t>
      </w:r>
      <w:r w:rsidR="005F01B7" w:rsidRPr="007B25AE">
        <w:rPr>
          <w:rFonts w:ascii="Baskerville" w:eastAsia="MS PMincho" w:hAnsi="Baskerville" w:cs="Arabic Typesetting"/>
        </w:rPr>
        <w:t xml:space="preserve"> </w:t>
      </w:r>
      <w:r w:rsidR="00ED0286" w:rsidRPr="007B25AE">
        <w:rPr>
          <w:rFonts w:ascii="Baskerville" w:eastAsia="MS PMincho" w:hAnsi="Baskerville" w:cs="Arabic Typesetting"/>
        </w:rPr>
        <w:t xml:space="preserve">and the questions of </w:t>
      </w:r>
      <w:r w:rsidR="005F01B7" w:rsidRPr="007B25AE">
        <w:rPr>
          <w:rFonts w:ascii="Baskerville" w:eastAsia="MS PMincho" w:hAnsi="Baskerville" w:cs="Arabic Typesetting"/>
        </w:rPr>
        <w:t xml:space="preserve">what possible ways might </w:t>
      </w:r>
      <w:r w:rsidR="00ED0286" w:rsidRPr="007B25AE">
        <w:rPr>
          <w:rFonts w:ascii="Baskerville" w:eastAsia="MS PMincho" w:hAnsi="Baskerville" w:cs="Arabic Typesetting"/>
        </w:rPr>
        <w:t xml:space="preserve">there </w:t>
      </w:r>
      <w:r w:rsidR="005F01B7" w:rsidRPr="007B25AE">
        <w:rPr>
          <w:rFonts w:ascii="Baskerville" w:eastAsia="MS PMincho" w:hAnsi="Baskerville" w:cs="Arabic Typesetting"/>
        </w:rPr>
        <w:t>be to tamp it down</w:t>
      </w:r>
      <w:r w:rsidR="00876BBC" w:rsidRPr="007B25AE">
        <w:rPr>
          <w:rFonts w:ascii="Baskerville" w:eastAsia="MS PMincho" w:hAnsi="Baskerville" w:cs="Arabic Typesetting"/>
        </w:rPr>
        <w:t xml:space="preserve"> (the treatment)</w:t>
      </w:r>
      <w:r w:rsidR="008A7447" w:rsidRPr="007B25AE">
        <w:rPr>
          <w:rFonts w:ascii="Baskerville" w:eastAsia="MS PMincho" w:hAnsi="Baskerville" w:cs="Arabic Typesetting"/>
        </w:rPr>
        <w:t>, and why (the rationale)</w:t>
      </w:r>
      <w:r w:rsidR="00ED0286" w:rsidRPr="007B25AE">
        <w:rPr>
          <w:rFonts w:ascii="Baskerville" w:eastAsia="MS PMincho" w:hAnsi="Baskerville" w:cs="Arabic Typesetting"/>
        </w:rPr>
        <w:t>?</w:t>
      </w:r>
      <w:r w:rsidR="005F01B7" w:rsidRPr="007B25AE">
        <w:rPr>
          <w:rFonts w:ascii="Baskerville" w:eastAsia="MS PMincho" w:hAnsi="Baskerville" w:cs="Arabic Typesetting"/>
        </w:rPr>
        <w:t xml:space="preserve"> </w:t>
      </w:r>
    </w:p>
    <w:p w14:paraId="640B1E04" w14:textId="22CC3A9D" w:rsidR="00FE5B6C" w:rsidRPr="007B25AE" w:rsidRDefault="00D367B0" w:rsidP="00CF1866">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So, as the </w:t>
      </w:r>
      <w:r w:rsidR="00ED0286" w:rsidRPr="007B25AE">
        <w:rPr>
          <w:rFonts w:ascii="Baskerville" w:eastAsia="MS PMincho" w:hAnsi="Baskerville" w:cs="Arabic Typesetting"/>
        </w:rPr>
        <w:t>“</w:t>
      </w:r>
      <w:r w:rsidRPr="007B25AE">
        <w:rPr>
          <w:rFonts w:ascii="Baskerville" w:eastAsia="MS PMincho" w:hAnsi="Baskerville" w:cs="Arabic Typesetting"/>
        </w:rPr>
        <w:t>problem statement</w:t>
      </w:r>
      <w:r w:rsidR="00ED0286" w:rsidRPr="007B25AE">
        <w:rPr>
          <w:rFonts w:ascii="Baskerville" w:eastAsia="MS PMincho" w:hAnsi="Baskerville" w:cs="Arabic Typesetting"/>
        </w:rPr>
        <w:t>”</w:t>
      </w:r>
      <w:r w:rsidRPr="007B25AE">
        <w:rPr>
          <w:rFonts w:ascii="Baskerville" w:eastAsia="MS PMincho" w:hAnsi="Baskerville" w:cs="Arabic Typesetting"/>
        </w:rPr>
        <w:t xml:space="preserve"> emerges from </w:t>
      </w:r>
      <w:r w:rsidR="001652CE" w:rsidRPr="007B25AE">
        <w:rPr>
          <w:rFonts w:ascii="Baskerville" w:eastAsia="MS PMincho" w:hAnsi="Baskerville" w:cs="Arabic Typesetting"/>
        </w:rPr>
        <w:t xml:space="preserve">the </w:t>
      </w:r>
      <w:r w:rsidR="00CD6C98" w:rsidRPr="007B25AE">
        <w:rPr>
          <w:rFonts w:ascii="Baskerville" w:eastAsia="MS PMincho" w:hAnsi="Baskerville" w:cs="Arabic Typesetting"/>
        </w:rPr>
        <w:t xml:space="preserve">situational concerns within </w:t>
      </w:r>
      <w:r w:rsidRPr="007B25AE">
        <w:rPr>
          <w:rFonts w:ascii="Baskerville" w:eastAsia="MS PMincho" w:hAnsi="Baskerville" w:cs="Arabic Typesetting"/>
        </w:rPr>
        <w:t>the would-be researcher</w:t>
      </w:r>
      <w:r w:rsidR="00CD6C98" w:rsidRPr="007B25AE">
        <w:rPr>
          <w:rFonts w:ascii="Baskerville" w:eastAsia="MS PMincho" w:hAnsi="Baskerville" w:cs="Arabic Typesetting"/>
        </w:rPr>
        <w:t>’</w:t>
      </w:r>
      <w:r w:rsidRPr="007B25AE">
        <w:rPr>
          <w:rFonts w:ascii="Baskerville" w:eastAsia="MS PMincho" w:hAnsi="Baskerville" w:cs="Arabic Typesetting"/>
        </w:rPr>
        <w:t>s</w:t>
      </w:r>
      <w:r w:rsidR="00CD6C98" w:rsidRPr="007B25AE">
        <w:rPr>
          <w:rFonts w:ascii="Baskerville" w:eastAsia="MS PMincho" w:hAnsi="Baskerville" w:cs="Arabic Typesetting"/>
        </w:rPr>
        <w:t xml:space="preserve"> training and</w:t>
      </w:r>
      <w:r w:rsidR="00C45652" w:rsidRPr="007B25AE">
        <w:rPr>
          <w:rFonts w:ascii="Baskerville" w:eastAsia="MS PMincho" w:hAnsi="Baskerville" w:cs="Arabic Typesetting"/>
        </w:rPr>
        <w:t>,</w:t>
      </w:r>
      <w:r w:rsidR="00CD6C98" w:rsidRPr="007B25AE">
        <w:rPr>
          <w:rFonts w:ascii="Baskerville" w:eastAsia="MS PMincho" w:hAnsi="Baskerville" w:cs="Arabic Typesetting"/>
        </w:rPr>
        <w:t xml:space="preserve"> </w:t>
      </w:r>
      <w:r w:rsidR="00925151" w:rsidRPr="007B25AE">
        <w:rPr>
          <w:rFonts w:ascii="Baskerville" w:eastAsia="MS PMincho" w:hAnsi="Baskerville" w:cs="Arabic Typesetting"/>
        </w:rPr>
        <w:t>or</w:t>
      </w:r>
      <w:r w:rsidR="00C45652" w:rsidRPr="007B25AE">
        <w:rPr>
          <w:rFonts w:ascii="Baskerville" w:eastAsia="MS PMincho" w:hAnsi="Baskerville" w:cs="Arabic Typesetting"/>
        </w:rPr>
        <w:t>,</w:t>
      </w:r>
      <w:r w:rsidR="00925151" w:rsidRPr="007B25AE">
        <w:rPr>
          <w:rFonts w:ascii="Baskerville" w:eastAsia="MS PMincho" w:hAnsi="Baskerville" w:cs="Arabic Typesetting"/>
        </w:rPr>
        <w:t xml:space="preserve"> </w:t>
      </w:r>
      <w:r w:rsidR="00FC6A8B" w:rsidRPr="007B25AE">
        <w:rPr>
          <w:rFonts w:ascii="Baskerville" w:eastAsia="MS PMincho" w:hAnsi="Baskerville" w:cs="Arabic Typesetting"/>
        </w:rPr>
        <w:t>on</w:t>
      </w:r>
      <w:r w:rsidR="006D0AFE" w:rsidRPr="007B25AE">
        <w:rPr>
          <w:rFonts w:ascii="Baskerville" w:eastAsia="MS PMincho" w:hAnsi="Baskerville" w:cs="Arabic Typesetting"/>
        </w:rPr>
        <w:t>-</w:t>
      </w:r>
      <w:r w:rsidR="00FC6A8B" w:rsidRPr="007B25AE">
        <w:rPr>
          <w:rFonts w:ascii="Baskerville" w:eastAsia="MS PMincho" w:hAnsi="Baskerville" w:cs="Arabic Typesetting"/>
        </w:rPr>
        <w:t>the</w:t>
      </w:r>
      <w:r w:rsidR="006D0AFE" w:rsidRPr="007B25AE">
        <w:rPr>
          <w:rFonts w:ascii="Baskerville" w:eastAsia="MS PMincho" w:hAnsi="Baskerville" w:cs="Arabic Typesetting"/>
        </w:rPr>
        <w:t>-</w:t>
      </w:r>
      <w:r w:rsidR="00FC6A8B" w:rsidRPr="007B25AE">
        <w:rPr>
          <w:rFonts w:ascii="Baskerville" w:eastAsia="MS PMincho" w:hAnsi="Baskerville" w:cs="Arabic Typesetting"/>
        </w:rPr>
        <w:t>job issues</w:t>
      </w:r>
      <w:r w:rsidR="00CD6C98" w:rsidRPr="007B25AE">
        <w:rPr>
          <w:rFonts w:ascii="Baskerville" w:eastAsia="MS PMincho" w:hAnsi="Baskerville" w:cs="Arabic Typesetting"/>
        </w:rPr>
        <w:t xml:space="preserve">, </w:t>
      </w:r>
      <w:r w:rsidR="00ED0286" w:rsidRPr="007B25AE">
        <w:rPr>
          <w:rFonts w:ascii="Baskerville" w:eastAsia="MS PMincho" w:hAnsi="Baskerville" w:cs="Arabic Typesetting"/>
        </w:rPr>
        <w:t>pav</w:t>
      </w:r>
      <w:r w:rsidR="001652CE" w:rsidRPr="007B25AE">
        <w:rPr>
          <w:rFonts w:ascii="Baskerville" w:eastAsia="MS PMincho" w:hAnsi="Baskerville" w:cs="Arabic Typesetting"/>
        </w:rPr>
        <w:t>ing</w:t>
      </w:r>
      <w:r w:rsidR="00ED0286" w:rsidRPr="007B25AE">
        <w:rPr>
          <w:rFonts w:ascii="Baskerville" w:eastAsia="MS PMincho" w:hAnsi="Baskerville" w:cs="Arabic Typesetting"/>
        </w:rPr>
        <w:t xml:space="preserve"> the way for </w:t>
      </w:r>
      <w:r w:rsidR="00925151" w:rsidRPr="007B25AE">
        <w:rPr>
          <w:rFonts w:ascii="Baskerville" w:eastAsia="MS PMincho" w:hAnsi="Baskerville" w:cs="Arabic Typesetting"/>
        </w:rPr>
        <w:t>the</w:t>
      </w:r>
      <w:r w:rsidR="00ED0286" w:rsidRPr="007B25AE">
        <w:rPr>
          <w:rFonts w:ascii="Baskerville" w:eastAsia="MS PMincho" w:hAnsi="Baskerville" w:cs="Arabic Typesetting"/>
        </w:rPr>
        <w:t xml:space="preserve"> </w:t>
      </w:r>
      <w:r w:rsidR="001652CE" w:rsidRPr="007B25AE">
        <w:rPr>
          <w:rFonts w:ascii="Baskerville" w:eastAsia="MS PMincho" w:hAnsi="Baskerville" w:cs="Arabic Typesetting"/>
        </w:rPr>
        <w:t xml:space="preserve">emergence of the </w:t>
      </w:r>
      <w:r w:rsidR="00DE0EE8" w:rsidRPr="007B25AE">
        <w:rPr>
          <w:rFonts w:ascii="Baskerville" w:eastAsia="MS PMincho" w:hAnsi="Baskerville" w:cs="Arabic Typesetting"/>
          <w:color w:val="FF0000"/>
        </w:rPr>
        <w:t>purpose</w:t>
      </w:r>
      <w:r w:rsidR="00ED0286" w:rsidRPr="007B25AE">
        <w:rPr>
          <w:rFonts w:ascii="Baskerville" w:eastAsia="MS PMincho" w:hAnsi="Baskerville" w:cs="Arabic Typesetting"/>
        </w:rPr>
        <w:t xml:space="preserve">, </w:t>
      </w:r>
      <w:r w:rsidR="00CD6C98" w:rsidRPr="007B25AE">
        <w:rPr>
          <w:rFonts w:ascii="Baskerville" w:eastAsia="MS PMincho" w:hAnsi="Baskerville" w:cs="Arabic Typesetting"/>
        </w:rPr>
        <w:t>t</w:t>
      </w:r>
      <w:r w:rsidR="007C49B9" w:rsidRPr="007B25AE">
        <w:rPr>
          <w:rFonts w:ascii="Baskerville" w:eastAsia="MS PMincho" w:hAnsi="Baskerville" w:cs="Arabic Typesetting"/>
        </w:rPr>
        <w:t>he first</w:t>
      </w:r>
      <w:r w:rsidR="00CD6C98" w:rsidRPr="007B25AE">
        <w:rPr>
          <w:rFonts w:ascii="Baskerville" w:eastAsia="MS PMincho" w:hAnsi="Baskerville" w:cs="Arabic Typesetting"/>
        </w:rPr>
        <w:t xml:space="preserve"> </w:t>
      </w:r>
      <w:r w:rsidR="007C49B9" w:rsidRPr="007B25AE">
        <w:rPr>
          <w:rFonts w:ascii="Baskerville" w:eastAsia="MS PMincho" w:hAnsi="Baskerville" w:cs="Arabic Typesetting"/>
        </w:rPr>
        <w:t>question</w:t>
      </w:r>
      <w:r w:rsidR="00CD6C98" w:rsidRPr="007B25AE">
        <w:rPr>
          <w:rFonts w:ascii="Baskerville" w:eastAsia="MS PMincho" w:hAnsi="Baskerville" w:cs="Arabic Typesetting"/>
        </w:rPr>
        <w:t xml:space="preserve"> t</w:t>
      </w:r>
      <w:r w:rsidR="00145095" w:rsidRPr="007B25AE">
        <w:rPr>
          <w:rFonts w:ascii="Baskerville" w:eastAsia="MS PMincho" w:hAnsi="Baskerville" w:cs="Arabic Typesetting"/>
        </w:rPr>
        <w:t>hat</w:t>
      </w:r>
      <w:r w:rsidR="00CD6C98" w:rsidRPr="007B25AE">
        <w:rPr>
          <w:rFonts w:ascii="Baskerville" w:eastAsia="MS PMincho" w:hAnsi="Baskerville" w:cs="Arabic Typesetting"/>
        </w:rPr>
        <w:t xml:space="preserve"> arise</w:t>
      </w:r>
      <w:r w:rsidR="001652CE" w:rsidRPr="007B25AE">
        <w:rPr>
          <w:rFonts w:ascii="Baskerville" w:eastAsia="MS PMincho" w:hAnsi="Baskerville" w:cs="Arabic Typesetting"/>
        </w:rPr>
        <w:t>s</w:t>
      </w:r>
      <w:r w:rsidR="007C49B9" w:rsidRPr="007B25AE">
        <w:rPr>
          <w:rFonts w:ascii="Baskerville" w:eastAsia="MS PMincho" w:hAnsi="Baskerville" w:cs="Arabic Typesetting"/>
        </w:rPr>
        <w:t xml:space="preserve"> </w:t>
      </w:r>
      <w:r w:rsidR="00700DB7" w:rsidRPr="007B25AE">
        <w:rPr>
          <w:rFonts w:ascii="Baskerville" w:eastAsia="MS PMincho" w:hAnsi="Baskerville" w:cs="Arabic Typesetting"/>
        </w:rPr>
        <w:t>should</w:t>
      </w:r>
      <w:r w:rsidR="007C49B9" w:rsidRPr="007B25AE">
        <w:rPr>
          <w:rFonts w:ascii="Baskerville" w:eastAsia="MS PMincho" w:hAnsi="Baskerville" w:cs="Arabic Typesetting"/>
        </w:rPr>
        <w:t xml:space="preserve"> be, “Have any experts been looking at</w:t>
      </w:r>
      <w:r w:rsidR="00145095" w:rsidRPr="007B25AE">
        <w:rPr>
          <w:rFonts w:ascii="Baskerville" w:eastAsia="MS PMincho" w:hAnsi="Baskerville" w:cs="Arabic Typesetting"/>
        </w:rPr>
        <w:t xml:space="preserve"> th</w:t>
      </w:r>
      <w:r w:rsidR="0050617C" w:rsidRPr="007B25AE">
        <w:rPr>
          <w:rFonts w:ascii="Baskerville" w:eastAsia="MS PMincho" w:hAnsi="Baskerville" w:cs="Arabic Typesetting"/>
        </w:rPr>
        <w:t>is</w:t>
      </w:r>
      <w:r w:rsidR="001652CE" w:rsidRPr="007B25AE">
        <w:rPr>
          <w:rFonts w:ascii="Baskerville" w:eastAsia="MS PMincho" w:hAnsi="Baskerville" w:cs="Arabic Typesetting"/>
        </w:rPr>
        <w:t xml:space="preserve"> </w:t>
      </w:r>
      <w:r w:rsidR="007C49B9" w:rsidRPr="007B25AE">
        <w:rPr>
          <w:rFonts w:ascii="Baskerville" w:eastAsia="MS PMincho" w:hAnsi="Baskerville" w:cs="Arabic Typesetting"/>
        </w:rPr>
        <w:t>problem</w:t>
      </w:r>
      <w:r w:rsidR="0050617C" w:rsidRPr="007B25AE">
        <w:rPr>
          <w:rFonts w:ascii="Baskerville" w:eastAsia="MS PMincho" w:hAnsi="Baskerville" w:cs="Arabic Typesetting"/>
        </w:rPr>
        <w:t xml:space="preserve"> with a critical eye</w:t>
      </w:r>
      <w:r w:rsidR="007C49B9" w:rsidRPr="007B25AE">
        <w:rPr>
          <w:rFonts w:ascii="Baskerville" w:eastAsia="MS PMincho" w:hAnsi="Baskerville" w:cs="Arabic Typesetting"/>
        </w:rPr>
        <w:t>?”</w:t>
      </w:r>
      <w:r w:rsidR="006D0AFE" w:rsidRPr="007B25AE">
        <w:rPr>
          <w:rFonts w:ascii="Baskerville" w:eastAsia="MS PMincho" w:hAnsi="Baskerville" w:cs="Arabic Typesetting"/>
        </w:rPr>
        <w:t xml:space="preserve"> </w:t>
      </w:r>
      <w:r w:rsidR="00A77CD4" w:rsidRPr="007B25AE">
        <w:rPr>
          <w:rFonts w:ascii="Baskerville" w:eastAsia="MS PMincho" w:hAnsi="Baskerville" w:cs="Arabic Typesetting"/>
        </w:rPr>
        <w:t>Immediately upon</w:t>
      </w:r>
      <w:r w:rsidR="00925151" w:rsidRPr="007B25AE">
        <w:rPr>
          <w:rFonts w:ascii="Baskerville" w:eastAsia="MS PMincho" w:hAnsi="Baskerville" w:cs="Arabic Typesetting"/>
        </w:rPr>
        <w:t xml:space="preserve"> </w:t>
      </w:r>
      <w:r w:rsidR="006D0AFE" w:rsidRPr="007B25AE">
        <w:rPr>
          <w:rFonts w:ascii="Baskerville" w:eastAsia="MS PMincho" w:hAnsi="Baskerville" w:cs="Arabic Typesetting"/>
        </w:rPr>
        <w:t xml:space="preserve">the researcher’s answer to this question </w:t>
      </w:r>
      <w:r w:rsidR="001652CE" w:rsidRPr="007B25AE">
        <w:rPr>
          <w:rFonts w:ascii="Baskerville" w:eastAsia="MS PMincho" w:hAnsi="Baskerville" w:cs="Arabic Typesetting"/>
        </w:rPr>
        <w:t xml:space="preserve">there </w:t>
      </w:r>
      <w:r w:rsidR="00925151" w:rsidRPr="007B25AE">
        <w:rPr>
          <w:rFonts w:ascii="Baskerville" w:eastAsia="MS PMincho" w:hAnsi="Baskerville" w:cs="Arabic Typesetting"/>
        </w:rPr>
        <w:t xml:space="preserve">should </w:t>
      </w:r>
      <w:r w:rsidR="001652CE" w:rsidRPr="007B25AE">
        <w:rPr>
          <w:rFonts w:ascii="Baskerville" w:eastAsia="MS PMincho" w:hAnsi="Baskerville" w:cs="Arabic Typesetting"/>
        </w:rPr>
        <w:t>appear an</w:t>
      </w:r>
      <w:r w:rsidR="00607C48" w:rsidRPr="007B25AE">
        <w:rPr>
          <w:rFonts w:ascii="Baskerville" w:eastAsia="MS PMincho" w:hAnsi="Baskerville" w:cs="Arabic Typesetting"/>
        </w:rPr>
        <w:t xml:space="preserve"> </w:t>
      </w:r>
      <w:r w:rsidR="006D0AFE" w:rsidRPr="007B25AE">
        <w:rPr>
          <w:rFonts w:ascii="Baskerville" w:eastAsia="MS PMincho" w:hAnsi="Baskerville" w:cs="Arabic Typesetting"/>
        </w:rPr>
        <w:t>imperative</w:t>
      </w:r>
      <w:r w:rsidR="00925151" w:rsidRPr="007B25AE">
        <w:rPr>
          <w:rFonts w:ascii="Baskerville" w:eastAsia="MS PMincho" w:hAnsi="Baskerville" w:cs="Arabic Typesetting"/>
        </w:rPr>
        <w:t>, urging</w:t>
      </w:r>
      <w:r w:rsidR="006D0AFE" w:rsidRPr="007B25AE">
        <w:rPr>
          <w:rFonts w:ascii="Baskerville" w:eastAsia="MS PMincho" w:hAnsi="Baskerville" w:cs="Arabic Typesetting"/>
        </w:rPr>
        <w:t xml:space="preserve"> </w:t>
      </w:r>
      <w:r w:rsidR="00700DB7" w:rsidRPr="007B25AE">
        <w:rPr>
          <w:rFonts w:ascii="Baskerville" w:eastAsia="MS PMincho" w:hAnsi="Baskerville" w:cs="Arabic Typesetting"/>
        </w:rPr>
        <w:t xml:space="preserve">him </w:t>
      </w:r>
      <w:r w:rsidR="00A77CD4" w:rsidRPr="007B25AE">
        <w:rPr>
          <w:rFonts w:ascii="Baskerville" w:eastAsia="MS PMincho" w:hAnsi="Baskerville" w:cs="Arabic Typesetting"/>
        </w:rPr>
        <w:t xml:space="preserve">or her </w:t>
      </w:r>
      <w:r w:rsidR="006D0AFE" w:rsidRPr="007B25AE">
        <w:rPr>
          <w:rFonts w:ascii="Baskerville" w:eastAsia="MS PMincho" w:hAnsi="Baskerville" w:cs="Arabic Typesetting"/>
        </w:rPr>
        <w:t>to</w:t>
      </w:r>
      <w:r w:rsidR="005563EF" w:rsidRPr="007B25AE">
        <w:rPr>
          <w:rFonts w:ascii="Baskerville" w:eastAsia="MS PMincho" w:hAnsi="Baskerville" w:cs="Arabic Typesetting"/>
        </w:rPr>
        <w:t xml:space="preserve"> locate and</w:t>
      </w:r>
      <w:r w:rsidR="006D0AFE" w:rsidRPr="007B25AE">
        <w:rPr>
          <w:rFonts w:ascii="Baskerville" w:eastAsia="MS PMincho" w:hAnsi="Baskerville" w:cs="Arabic Typesetting"/>
        </w:rPr>
        <w:t xml:space="preserve"> investigate </w:t>
      </w:r>
      <w:proofErr w:type="gramStart"/>
      <w:r w:rsidR="00925151" w:rsidRPr="007B25AE">
        <w:rPr>
          <w:rFonts w:ascii="Baskerville" w:eastAsia="MS PMincho" w:hAnsi="Baskerville" w:cs="Arabic Typesetting"/>
        </w:rPr>
        <w:t xml:space="preserve">whether </w:t>
      </w:r>
      <w:r w:rsidR="00DE0EE8" w:rsidRPr="007B25AE">
        <w:rPr>
          <w:rFonts w:ascii="Baskerville" w:eastAsia="MS PMincho" w:hAnsi="Baskerville" w:cs="Arabic Typesetting"/>
        </w:rPr>
        <w:t>or not</w:t>
      </w:r>
      <w:proofErr w:type="gramEnd"/>
      <w:r w:rsidR="00DE0EE8" w:rsidRPr="007B25AE">
        <w:rPr>
          <w:rFonts w:ascii="Baskerville" w:eastAsia="MS PMincho" w:hAnsi="Baskerville" w:cs="Arabic Typesetting"/>
        </w:rPr>
        <w:t xml:space="preserve"> </w:t>
      </w:r>
      <w:r w:rsidR="00607C48" w:rsidRPr="007B25AE">
        <w:rPr>
          <w:rFonts w:ascii="Baskerville" w:eastAsia="MS PMincho" w:hAnsi="Baskerville" w:cs="Arabic Typesetting"/>
        </w:rPr>
        <w:t>there is</w:t>
      </w:r>
      <w:r w:rsidR="001652CE" w:rsidRPr="007B25AE">
        <w:rPr>
          <w:rFonts w:ascii="Baskerville" w:eastAsia="MS PMincho" w:hAnsi="Baskerville" w:cs="Arabic Typesetting"/>
        </w:rPr>
        <w:t xml:space="preserve"> </w:t>
      </w:r>
      <w:r w:rsidR="00DE0EE8" w:rsidRPr="007B25AE">
        <w:rPr>
          <w:rFonts w:ascii="Baskerville" w:eastAsia="MS PMincho" w:hAnsi="Baskerville" w:cs="Arabic Typesetting"/>
        </w:rPr>
        <w:t>a</w:t>
      </w:r>
      <w:r w:rsidR="001652CE" w:rsidRPr="007B25AE">
        <w:rPr>
          <w:rFonts w:ascii="Baskerville" w:eastAsia="MS PMincho" w:hAnsi="Baskerville" w:cs="Arabic Typesetting"/>
        </w:rPr>
        <w:t xml:space="preserve"> </w:t>
      </w:r>
      <w:r w:rsidR="004B04DC" w:rsidRPr="007B25AE">
        <w:rPr>
          <w:rFonts w:ascii="Baskerville" w:eastAsia="MS PMincho" w:hAnsi="Baskerville" w:cs="Arabic Typesetting"/>
        </w:rPr>
        <w:t xml:space="preserve">sufficiently </w:t>
      </w:r>
      <w:r w:rsidR="00E65248" w:rsidRPr="007B25AE">
        <w:rPr>
          <w:rFonts w:ascii="Baskerville" w:eastAsia="MS PMincho" w:hAnsi="Baskerville" w:cs="Arabic Typesetting"/>
        </w:rPr>
        <w:t xml:space="preserve">large </w:t>
      </w:r>
      <w:r w:rsidR="00925151" w:rsidRPr="007B25AE">
        <w:rPr>
          <w:rFonts w:ascii="Baskerville" w:eastAsia="MS PMincho" w:hAnsi="Baskerville" w:cs="Arabic Typesetting"/>
        </w:rPr>
        <w:t>bulk</w:t>
      </w:r>
      <w:r w:rsidR="005563EF" w:rsidRPr="007B25AE">
        <w:rPr>
          <w:rFonts w:ascii="Baskerville" w:eastAsia="MS PMincho" w:hAnsi="Baskerville" w:cs="Arabic Typesetting"/>
        </w:rPr>
        <w:t xml:space="preserve"> of</w:t>
      </w:r>
      <w:r w:rsidR="001652CE" w:rsidRPr="007B25AE">
        <w:rPr>
          <w:rFonts w:ascii="Baskerville" w:eastAsia="MS PMincho" w:hAnsi="Baskerville" w:cs="Arabic Typesetting"/>
        </w:rPr>
        <w:t xml:space="preserve"> </w:t>
      </w:r>
      <w:r w:rsidR="005563EF" w:rsidRPr="007B25AE">
        <w:rPr>
          <w:rFonts w:ascii="Baskerville" w:eastAsia="MS PMincho" w:hAnsi="Baskerville" w:cs="Arabic Typesetting"/>
        </w:rPr>
        <w:t xml:space="preserve">opinions </w:t>
      </w:r>
      <w:r w:rsidR="00DE0EE8" w:rsidRPr="007B25AE">
        <w:rPr>
          <w:rFonts w:ascii="Baskerville" w:eastAsia="MS PMincho" w:hAnsi="Baskerville" w:cs="Arabic Typesetting"/>
        </w:rPr>
        <w:t>on the problem</w:t>
      </w:r>
      <w:r w:rsidR="005563EF" w:rsidRPr="007B25AE">
        <w:rPr>
          <w:rFonts w:ascii="Baskerville" w:eastAsia="MS PMincho" w:hAnsi="Baskerville" w:cs="Arabic Typesetting"/>
        </w:rPr>
        <w:t>, and whether</w:t>
      </w:r>
      <w:r w:rsidR="00963FEC" w:rsidRPr="007B25AE">
        <w:rPr>
          <w:rFonts w:ascii="Baskerville" w:eastAsia="MS PMincho" w:hAnsi="Baskerville" w:cs="Arabic Typesetting"/>
        </w:rPr>
        <w:t xml:space="preserve"> </w:t>
      </w:r>
      <w:r w:rsidR="00A77CD4" w:rsidRPr="007B25AE">
        <w:rPr>
          <w:rFonts w:ascii="Baskerville" w:eastAsia="MS PMincho" w:hAnsi="Baskerville" w:cs="Arabic Typesetting"/>
        </w:rPr>
        <w:t>th</w:t>
      </w:r>
      <w:r w:rsidR="00145095" w:rsidRPr="007B25AE">
        <w:rPr>
          <w:rFonts w:ascii="Baskerville" w:eastAsia="MS PMincho" w:hAnsi="Baskerville" w:cs="Arabic Typesetting"/>
        </w:rPr>
        <w:t>e</w:t>
      </w:r>
      <w:r w:rsidR="00963FEC" w:rsidRPr="007B25AE">
        <w:rPr>
          <w:rFonts w:ascii="Baskerville" w:eastAsia="MS PMincho" w:hAnsi="Baskerville" w:cs="Arabic Typesetting"/>
        </w:rPr>
        <w:t xml:space="preserve"> </w:t>
      </w:r>
      <w:r w:rsidR="00145095" w:rsidRPr="007B25AE">
        <w:rPr>
          <w:rFonts w:ascii="Baskerville" w:eastAsia="MS PMincho" w:hAnsi="Baskerville" w:cs="Arabic Typesetting"/>
        </w:rPr>
        <w:t xml:space="preserve">researcher’s </w:t>
      </w:r>
      <w:r w:rsidR="00F93509" w:rsidRPr="007B25AE">
        <w:rPr>
          <w:rFonts w:ascii="Baskerville" w:eastAsia="MS PMincho" w:hAnsi="Baskerville" w:cs="Arabic Typesetting"/>
        </w:rPr>
        <w:t>theor</w:t>
      </w:r>
      <w:r w:rsidR="00145095" w:rsidRPr="007B25AE">
        <w:rPr>
          <w:rFonts w:ascii="Baskerville" w:eastAsia="MS PMincho" w:hAnsi="Baskerville" w:cs="Arabic Typesetting"/>
        </w:rPr>
        <w:t>y about</w:t>
      </w:r>
      <w:r w:rsidR="00F93509" w:rsidRPr="007B25AE">
        <w:rPr>
          <w:rFonts w:ascii="Baskerville" w:eastAsia="MS PMincho" w:hAnsi="Baskerville" w:cs="Arabic Typesetting"/>
        </w:rPr>
        <w:t xml:space="preserve"> </w:t>
      </w:r>
      <w:r w:rsidR="00DE0EE8" w:rsidRPr="007B25AE">
        <w:rPr>
          <w:rFonts w:ascii="Baskerville" w:eastAsia="MS PMincho" w:hAnsi="Baskerville" w:cs="Arabic Typesetting"/>
        </w:rPr>
        <w:t>it</w:t>
      </w:r>
      <w:r w:rsidR="00204893" w:rsidRPr="007B25AE">
        <w:rPr>
          <w:rFonts w:ascii="Baskerville" w:eastAsia="MS PMincho" w:hAnsi="Baskerville" w:cs="Arabic Typesetting"/>
        </w:rPr>
        <w:t xml:space="preserve"> </w:t>
      </w:r>
      <w:r w:rsidR="00A77CD4" w:rsidRPr="007B25AE">
        <w:rPr>
          <w:rFonts w:ascii="Baskerville" w:eastAsia="MS PMincho" w:hAnsi="Baskerville" w:cs="Arabic Typesetting"/>
        </w:rPr>
        <w:t>fits</w:t>
      </w:r>
      <w:r w:rsidR="00204893" w:rsidRPr="007B25AE">
        <w:rPr>
          <w:rFonts w:ascii="Baskerville" w:eastAsia="MS PMincho" w:hAnsi="Baskerville" w:cs="Arabic Typesetting"/>
        </w:rPr>
        <w:t xml:space="preserve"> </w:t>
      </w:r>
      <w:r w:rsidR="00DE0EE8" w:rsidRPr="007B25AE">
        <w:rPr>
          <w:rFonts w:ascii="Baskerville" w:eastAsia="MS PMincho" w:hAnsi="Baskerville" w:cs="Arabic Typesetting"/>
        </w:rPr>
        <w:t>tidily</w:t>
      </w:r>
      <w:r w:rsidR="00A77CD4" w:rsidRPr="007B25AE">
        <w:rPr>
          <w:rFonts w:ascii="Baskerville" w:eastAsia="MS PMincho" w:hAnsi="Baskerville" w:cs="Arabic Typesetting"/>
        </w:rPr>
        <w:t xml:space="preserve"> into any of the </w:t>
      </w:r>
      <w:r w:rsidR="00A77CD4" w:rsidRPr="007B25AE">
        <w:rPr>
          <w:rFonts w:ascii="Baskerville" w:eastAsia="MS PMincho" w:hAnsi="Baskerville" w:cs="Arabic Typesetting"/>
          <w:color w:val="FF0000"/>
        </w:rPr>
        <w:t>gaps</w:t>
      </w:r>
      <w:r w:rsidR="00145095" w:rsidRPr="007B25AE">
        <w:rPr>
          <w:rFonts w:ascii="Baskerville" w:eastAsia="MS PMincho" w:hAnsi="Baskerville" w:cs="Arabic Typesetting"/>
        </w:rPr>
        <w:t xml:space="preserve"> </w:t>
      </w:r>
      <w:r w:rsidR="00607C48" w:rsidRPr="007B25AE">
        <w:rPr>
          <w:rFonts w:ascii="Baskerville" w:eastAsia="MS PMincho" w:hAnsi="Baskerville" w:cs="Arabic Typesetting"/>
        </w:rPr>
        <w:t xml:space="preserve">in </w:t>
      </w:r>
      <w:r w:rsidR="00A77CD4" w:rsidRPr="007B25AE">
        <w:rPr>
          <w:rFonts w:ascii="Baskerville" w:eastAsia="MS PMincho" w:hAnsi="Baskerville" w:cs="Arabic Typesetting"/>
        </w:rPr>
        <w:t>th</w:t>
      </w:r>
      <w:r w:rsidR="00C45652" w:rsidRPr="007B25AE">
        <w:rPr>
          <w:rFonts w:ascii="Baskerville" w:eastAsia="MS PMincho" w:hAnsi="Baskerville" w:cs="Arabic Typesetting"/>
        </w:rPr>
        <w:t>at</w:t>
      </w:r>
      <w:r w:rsidR="00A77CD4" w:rsidRPr="007B25AE">
        <w:rPr>
          <w:rFonts w:ascii="Baskerville" w:eastAsia="MS PMincho" w:hAnsi="Baskerville" w:cs="Arabic Typesetting"/>
        </w:rPr>
        <w:t xml:space="preserve"> </w:t>
      </w:r>
      <w:r w:rsidR="00607C48" w:rsidRPr="007B25AE">
        <w:rPr>
          <w:rFonts w:ascii="Baskerville" w:eastAsia="MS PMincho" w:hAnsi="Baskerville" w:cs="Arabic Typesetting"/>
        </w:rPr>
        <w:t xml:space="preserve">body of </w:t>
      </w:r>
      <w:r w:rsidR="00A77CD4" w:rsidRPr="007B25AE">
        <w:rPr>
          <w:rFonts w:ascii="Baskerville" w:eastAsia="MS PMincho" w:hAnsi="Baskerville" w:cs="Arabic Typesetting"/>
        </w:rPr>
        <w:t>literature</w:t>
      </w:r>
      <w:r w:rsidR="00145095" w:rsidRPr="007B25AE">
        <w:rPr>
          <w:rFonts w:ascii="Baskerville" w:eastAsia="MS PMincho" w:hAnsi="Baskerville" w:cs="Arabic Typesetting"/>
        </w:rPr>
        <w:t xml:space="preserve"> out there</w:t>
      </w:r>
      <w:r w:rsidR="00204893" w:rsidRPr="007B25AE">
        <w:rPr>
          <w:rFonts w:ascii="Baskerville" w:eastAsia="MS PMincho" w:hAnsi="Baskerville" w:cs="Arabic Typesetting"/>
        </w:rPr>
        <w:t>.</w:t>
      </w:r>
    </w:p>
    <w:p w14:paraId="4FB1304F" w14:textId="77777777" w:rsidR="00CF1866" w:rsidRPr="007B25AE" w:rsidRDefault="00CF1866" w:rsidP="00CF1866">
      <w:pPr>
        <w:spacing w:line="360" w:lineRule="auto"/>
        <w:ind w:firstLine="720"/>
        <w:jc w:val="center"/>
        <w:rPr>
          <w:rFonts w:ascii="Baskerville" w:eastAsia="MS PMincho" w:hAnsi="Baskerville" w:cs="Arabic Typesetting"/>
        </w:rPr>
      </w:pPr>
      <w:r w:rsidRPr="007B25AE">
        <w:rPr>
          <w:rFonts w:ascii="Baskerville" w:eastAsia="MS PMincho" w:hAnsi="Baskerville" w:cs="Arabic Typesetting"/>
        </w:rPr>
        <w:t>PURPOSE</w:t>
      </w:r>
    </w:p>
    <w:p w14:paraId="5B9731C5" w14:textId="77777777" w:rsidR="00CF1866" w:rsidRPr="007B25AE" w:rsidRDefault="00CF1866" w:rsidP="00CF1866">
      <w:pPr>
        <w:spacing w:line="360" w:lineRule="auto"/>
        <w:ind w:firstLine="720"/>
        <w:jc w:val="center"/>
        <w:rPr>
          <w:rFonts w:ascii="Baskerville" w:eastAsia="MS PMincho" w:hAnsi="Baskerville" w:cs="Arabic Typesetting"/>
        </w:rPr>
      </w:pPr>
    </w:p>
    <w:p w14:paraId="1F882090" w14:textId="79BB3A9A" w:rsidR="00833520" w:rsidRPr="007B25AE" w:rsidRDefault="00CF1866" w:rsidP="00831105">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The purpose of this </w:t>
      </w:r>
      <w:r w:rsidR="0024685D" w:rsidRPr="007B25AE">
        <w:rPr>
          <w:rFonts w:ascii="Baskerville" w:eastAsia="MS PMincho" w:hAnsi="Baskerville" w:cs="Arabic Typesetting"/>
        </w:rPr>
        <w:t>dissertation</w:t>
      </w:r>
      <w:r w:rsidRPr="007B25AE">
        <w:rPr>
          <w:rFonts w:ascii="Baskerville" w:eastAsia="MS PMincho" w:hAnsi="Baskerville" w:cs="Arabic Typesetting"/>
        </w:rPr>
        <w:t xml:space="preserve"> is to conduct a critical examination of the combined </w:t>
      </w:r>
      <w:r w:rsidR="00A82A75" w:rsidRPr="007B25AE">
        <w:rPr>
          <w:rFonts w:ascii="Baskerville" w:eastAsia="MS PMincho" w:hAnsi="Baskerville" w:cs="Arabic Typesetting"/>
        </w:rPr>
        <w:t>effect</w:t>
      </w:r>
      <w:r w:rsidRPr="007B25AE">
        <w:rPr>
          <w:rFonts w:ascii="Baskerville" w:eastAsia="MS PMincho" w:hAnsi="Baskerville" w:cs="Arabic Typesetting"/>
        </w:rPr>
        <w:t xml:space="preserve"> of </w:t>
      </w:r>
      <w:r w:rsidR="00A82A75" w:rsidRPr="007B25AE">
        <w:rPr>
          <w:rFonts w:ascii="Baskerville" w:eastAsia="MS PMincho" w:hAnsi="Baskerville" w:cs="Arabic Typesetting"/>
        </w:rPr>
        <w:t xml:space="preserve">the </w:t>
      </w:r>
      <w:r w:rsidRPr="007B25AE">
        <w:rPr>
          <w:rFonts w:ascii="Baskerville" w:eastAsia="MS PMincho" w:hAnsi="Baskerville" w:cs="Arabic Typesetting"/>
        </w:rPr>
        <w:t>school desegregation and Title VII Law</w:t>
      </w:r>
      <w:r w:rsidR="00A82A75" w:rsidRPr="007B25AE">
        <w:rPr>
          <w:rFonts w:ascii="Baskerville" w:eastAsia="MS PMincho" w:hAnsi="Baskerville" w:cs="Arabic Typesetting"/>
        </w:rPr>
        <w:t>s</w:t>
      </w:r>
      <w:r w:rsidRPr="007B25AE">
        <w:rPr>
          <w:rFonts w:ascii="Baskerville" w:eastAsia="MS PMincho" w:hAnsi="Baskerville" w:cs="Arabic Typesetting"/>
        </w:rPr>
        <w:t xml:space="preserve"> in the education of children of African descent in the New York City public school culture.  </w:t>
      </w:r>
      <w:r w:rsidR="008D29CB" w:rsidRPr="007B25AE">
        <w:rPr>
          <w:rFonts w:ascii="Baskerville" w:eastAsia="MS PMincho" w:hAnsi="Baskerville" w:cs="Arabic Typesetting"/>
        </w:rPr>
        <w:t xml:space="preserve">This study will provide a close-up look at why Brown v. Board of Education was necessary and where it fell short as seen </w:t>
      </w:r>
      <w:r w:rsidR="00741664" w:rsidRPr="007B25AE">
        <w:rPr>
          <w:rFonts w:ascii="Baskerville" w:eastAsia="MS PMincho" w:hAnsi="Baskerville" w:cs="Arabic Typesetting"/>
        </w:rPr>
        <w:t xml:space="preserve">in </w:t>
      </w:r>
      <w:r w:rsidR="00A82A75" w:rsidRPr="007B25AE">
        <w:rPr>
          <w:rFonts w:ascii="Baskerville" w:eastAsia="MS PMincho" w:hAnsi="Baskerville" w:cs="Arabic Typesetting"/>
        </w:rPr>
        <w:t xml:space="preserve">in its application to </w:t>
      </w:r>
      <w:r w:rsidR="00741664" w:rsidRPr="007B25AE">
        <w:rPr>
          <w:rFonts w:ascii="Baskerville" w:eastAsia="MS PMincho" w:hAnsi="Baskerville" w:cs="Arabic Typesetting"/>
        </w:rPr>
        <w:t xml:space="preserve">the New York City public school system </w:t>
      </w:r>
      <w:r w:rsidR="008D29CB" w:rsidRPr="007B25AE">
        <w:rPr>
          <w:rFonts w:ascii="Baskerville" w:eastAsia="MS PMincho" w:hAnsi="Baskerville" w:cs="Arabic Typesetting"/>
        </w:rPr>
        <w:t>seventy years after its passage</w:t>
      </w:r>
      <w:r w:rsidR="00E368EA" w:rsidRPr="007B25AE">
        <w:rPr>
          <w:rFonts w:ascii="Baskerville" w:eastAsia="MS PMincho" w:hAnsi="Baskerville" w:cs="Arabic Typesetting"/>
        </w:rPr>
        <w:t xml:space="preserve">. </w:t>
      </w:r>
      <w:r w:rsidR="0024685D" w:rsidRPr="007B25AE">
        <w:rPr>
          <w:rFonts w:ascii="Baskerville" w:eastAsia="MS PMincho" w:hAnsi="Baskerville" w:cs="Arabic Typesetting"/>
        </w:rPr>
        <w:t xml:space="preserve">Although the </w:t>
      </w:r>
      <w:r w:rsidR="00A82A75" w:rsidRPr="007B25AE">
        <w:rPr>
          <w:rFonts w:ascii="Baskerville" w:eastAsia="MS PMincho" w:hAnsi="Baskerville" w:cs="Arabic Typesetting"/>
        </w:rPr>
        <w:t xml:space="preserve">broader </w:t>
      </w:r>
      <w:r w:rsidR="0024685D" w:rsidRPr="007B25AE">
        <w:rPr>
          <w:rFonts w:ascii="Baskerville" w:eastAsia="MS PMincho" w:hAnsi="Baskerville" w:cs="Arabic Typesetting"/>
        </w:rPr>
        <w:t>implication of</w:t>
      </w:r>
      <w:r w:rsidR="008D29CB" w:rsidRPr="007B25AE">
        <w:rPr>
          <w:rFonts w:ascii="Baskerville" w:eastAsia="MS PMincho" w:hAnsi="Baskerville" w:cs="Arabic Typesetting"/>
        </w:rPr>
        <w:t xml:space="preserve"> </w:t>
      </w:r>
      <w:r w:rsidR="0024685D" w:rsidRPr="007B25AE">
        <w:rPr>
          <w:rFonts w:ascii="Baskerville" w:eastAsia="MS PMincho" w:hAnsi="Baskerville" w:cs="Arabic Typesetting"/>
        </w:rPr>
        <w:t xml:space="preserve">Brown </w:t>
      </w:r>
      <w:r w:rsidR="00A82A75" w:rsidRPr="007B25AE">
        <w:rPr>
          <w:rFonts w:ascii="Baskerville" w:eastAsia="MS PMincho" w:hAnsi="Baskerville" w:cs="Arabic Typesetting"/>
        </w:rPr>
        <w:t>wa</w:t>
      </w:r>
      <w:r w:rsidR="0024685D" w:rsidRPr="007B25AE">
        <w:rPr>
          <w:rFonts w:ascii="Baskerville" w:eastAsia="MS PMincho" w:hAnsi="Baskerville" w:cs="Arabic Typesetting"/>
        </w:rPr>
        <w:t xml:space="preserve">s to </w:t>
      </w:r>
      <w:r w:rsidR="00A82A75" w:rsidRPr="007B25AE">
        <w:rPr>
          <w:rFonts w:ascii="Baskerville" w:eastAsia="MS PMincho" w:hAnsi="Baskerville" w:cs="Arabic Typesetting"/>
        </w:rPr>
        <w:t>lift</w:t>
      </w:r>
      <w:r w:rsidR="0024685D" w:rsidRPr="007B25AE">
        <w:rPr>
          <w:rFonts w:ascii="Baskerville" w:eastAsia="MS PMincho" w:hAnsi="Baskerville" w:cs="Arabic Typesetting"/>
        </w:rPr>
        <w:t xml:space="preserve"> all children </w:t>
      </w:r>
      <w:r w:rsidR="00A82A75" w:rsidRPr="007B25AE">
        <w:rPr>
          <w:rFonts w:ascii="Baskerville" w:eastAsia="MS PMincho" w:hAnsi="Baskerville" w:cs="Arabic Typesetting"/>
        </w:rPr>
        <w:t xml:space="preserve">together </w:t>
      </w:r>
      <w:r w:rsidR="0024685D" w:rsidRPr="007B25AE">
        <w:rPr>
          <w:rFonts w:ascii="Baskerville" w:eastAsia="MS PMincho" w:hAnsi="Baskerville" w:cs="Arabic Typesetting"/>
        </w:rPr>
        <w:t xml:space="preserve">in </w:t>
      </w:r>
      <w:r w:rsidR="005428C9" w:rsidRPr="007B25AE">
        <w:rPr>
          <w:rFonts w:ascii="Baskerville" w:eastAsia="MS PMincho" w:hAnsi="Baskerville" w:cs="Arabic Typesetting"/>
        </w:rPr>
        <w:t>our</w:t>
      </w:r>
      <w:r w:rsidR="0024685D" w:rsidRPr="007B25AE">
        <w:rPr>
          <w:rFonts w:ascii="Baskerville" w:eastAsia="MS PMincho" w:hAnsi="Baskerville" w:cs="Arabic Typesetting"/>
        </w:rPr>
        <w:t xml:space="preserve"> multi-ethnic</w:t>
      </w:r>
      <w:r w:rsidR="00A55B0E" w:rsidRPr="007B25AE">
        <w:rPr>
          <w:rFonts w:ascii="Baskerville" w:eastAsia="MS PMincho" w:hAnsi="Baskerville" w:cs="Arabic Typesetting"/>
        </w:rPr>
        <w:t>,</w:t>
      </w:r>
      <w:r w:rsidR="0024685D" w:rsidRPr="007B25AE">
        <w:rPr>
          <w:rFonts w:ascii="Baskerville" w:eastAsia="MS PMincho" w:hAnsi="Baskerville" w:cs="Arabic Typesetting"/>
        </w:rPr>
        <w:t xml:space="preserve"> multi-racial society to the highest place of promise, this study will be centered </w:t>
      </w:r>
      <w:r w:rsidR="00174B09" w:rsidRPr="007B25AE">
        <w:rPr>
          <w:rFonts w:ascii="Baskerville" w:eastAsia="MS PMincho" w:hAnsi="Baskerville" w:cs="Arabic Typesetting"/>
        </w:rPr>
        <w:t xml:space="preserve">primarily in </w:t>
      </w:r>
      <w:r w:rsidR="00831105" w:rsidRPr="007B25AE">
        <w:rPr>
          <w:rFonts w:ascii="Baskerville" w:eastAsia="MS PMincho" w:hAnsi="Baskerville" w:cs="Arabic Typesetting"/>
        </w:rPr>
        <w:t>Brown’s</w:t>
      </w:r>
      <w:r w:rsidR="00174B09" w:rsidRPr="007B25AE">
        <w:rPr>
          <w:rFonts w:ascii="Baskerville" w:eastAsia="MS PMincho" w:hAnsi="Baskerville" w:cs="Arabic Typesetting"/>
        </w:rPr>
        <w:t xml:space="preserve"> successes and failures in bringing </w:t>
      </w:r>
      <w:r w:rsidR="00741664" w:rsidRPr="007B25AE">
        <w:rPr>
          <w:rFonts w:ascii="Baskerville" w:eastAsia="MS PMincho" w:hAnsi="Baskerville" w:cs="Arabic Typesetting"/>
        </w:rPr>
        <w:t>along</w:t>
      </w:r>
      <w:r w:rsidR="00174B09" w:rsidRPr="007B25AE">
        <w:rPr>
          <w:rFonts w:ascii="Baskerville" w:eastAsia="MS PMincho" w:hAnsi="Baskerville" w:cs="Arabic Typesetting"/>
        </w:rPr>
        <w:t xml:space="preserve"> children of African descent </w:t>
      </w:r>
      <w:r w:rsidR="00741664" w:rsidRPr="007B25AE">
        <w:rPr>
          <w:rFonts w:ascii="Baskerville" w:eastAsia="MS PMincho" w:hAnsi="Baskerville" w:cs="Arabic Typesetting"/>
        </w:rPr>
        <w:t>to share in the promise of America</w:t>
      </w:r>
      <w:r w:rsidR="00831105" w:rsidRPr="007B25AE">
        <w:rPr>
          <w:rFonts w:ascii="Baskerville" w:eastAsia="MS PMincho" w:hAnsi="Baskerville" w:cs="Arabic Typesetting"/>
        </w:rPr>
        <w:t xml:space="preserve"> as mirrored in the example of New York City’s Department of Education (DOE)</w:t>
      </w:r>
      <w:r w:rsidR="00741664" w:rsidRPr="007B25AE">
        <w:rPr>
          <w:rFonts w:ascii="Baskerville" w:eastAsia="MS PMincho" w:hAnsi="Baskerville" w:cs="Arabic Typesetting"/>
        </w:rPr>
        <w:t>. A</w:t>
      </w:r>
      <w:r w:rsidR="00831105" w:rsidRPr="007B25AE">
        <w:rPr>
          <w:rFonts w:ascii="Baskerville" w:eastAsia="MS PMincho" w:hAnsi="Baskerville" w:cs="Arabic Typesetting"/>
        </w:rPr>
        <w:t>nd, a</w:t>
      </w:r>
      <w:r w:rsidR="00741664" w:rsidRPr="007B25AE">
        <w:rPr>
          <w:rFonts w:ascii="Baskerville" w:eastAsia="MS PMincho" w:hAnsi="Baskerville" w:cs="Arabic Typesetting"/>
        </w:rPr>
        <w:t xml:space="preserve">s such, the study will investigate </w:t>
      </w:r>
      <w:r w:rsidR="00BD0BF7" w:rsidRPr="007B25AE">
        <w:rPr>
          <w:rFonts w:ascii="Baskerville" w:eastAsia="MS PMincho" w:hAnsi="Baskerville" w:cs="Arabic Typesetting"/>
        </w:rPr>
        <w:t xml:space="preserve">several topical </w:t>
      </w:r>
      <w:r w:rsidR="00A82A75" w:rsidRPr="007B25AE">
        <w:rPr>
          <w:rFonts w:ascii="Baskerville" w:eastAsia="MS PMincho" w:hAnsi="Baskerville" w:cs="Arabic Typesetting"/>
        </w:rPr>
        <w:t>issue</w:t>
      </w:r>
      <w:r w:rsidR="00BD0BF7" w:rsidRPr="007B25AE">
        <w:rPr>
          <w:rFonts w:ascii="Baskerville" w:eastAsia="MS PMincho" w:hAnsi="Baskerville" w:cs="Arabic Typesetting"/>
        </w:rPr>
        <w:t>s</w:t>
      </w:r>
      <w:r w:rsidR="00C00A81" w:rsidRPr="007B25AE">
        <w:rPr>
          <w:rFonts w:ascii="Baskerville" w:eastAsia="MS PMincho" w:hAnsi="Baskerville" w:cs="Arabic Typesetting"/>
        </w:rPr>
        <w:t xml:space="preserve"> about the education of Black children in the aftermath of Brown. Among them </w:t>
      </w:r>
      <w:r w:rsidR="000D043D" w:rsidRPr="007B25AE">
        <w:rPr>
          <w:rFonts w:ascii="Baskerville" w:eastAsia="MS PMincho" w:hAnsi="Baskerville" w:cs="Arabic Typesetting"/>
        </w:rPr>
        <w:t>is the</w:t>
      </w:r>
      <w:r w:rsidR="00C00A81" w:rsidRPr="007B25AE">
        <w:rPr>
          <w:rFonts w:ascii="Baskerville" w:eastAsia="MS PMincho" w:hAnsi="Baskerville" w:cs="Arabic Typesetting"/>
        </w:rPr>
        <w:t xml:space="preserve"> question about</w:t>
      </w:r>
      <w:r w:rsidR="007D46C3" w:rsidRPr="007B25AE">
        <w:rPr>
          <w:rFonts w:ascii="Baskerville" w:eastAsia="MS PMincho" w:hAnsi="Baskerville" w:cs="Arabic Typesetting"/>
        </w:rPr>
        <w:t xml:space="preserve"> the</w:t>
      </w:r>
      <w:r w:rsidR="00741664" w:rsidRPr="007B25AE">
        <w:rPr>
          <w:rFonts w:ascii="Baskerville" w:eastAsia="MS PMincho" w:hAnsi="Baskerville" w:cs="Arabic Typesetting"/>
        </w:rPr>
        <w:t xml:space="preserve"> </w:t>
      </w:r>
      <w:r w:rsidR="005428C9" w:rsidRPr="007B25AE">
        <w:rPr>
          <w:rFonts w:ascii="Baskerville" w:eastAsia="MS PMincho" w:hAnsi="Baskerville" w:cs="Arabic Typesetting"/>
        </w:rPr>
        <w:t>quit</w:t>
      </w:r>
      <w:r w:rsidR="007D46C3" w:rsidRPr="007B25AE">
        <w:rPr>
          <w:rFonts w:ascii="Baskerville" w:eastAsia="MS PMincho" w:hAnsi="Baskerville" w:cs="Arabic Typesetting"/>
        </w:rPr>
        <w:t>-</w:t>
      </w:r>
      <w:r w:rsidR="005428C9" w:rsidRPr="007B25AE">
        <w:rPr>
          <w:rFonts w:ascii="Baskerville" w:eastAsia="MS PMincho" w:hAnsi="Baskerville" w:cs="Arabic Typesetting"/>
        </w:rPr>
        <w:t>displacement</w:t>
      </w:r>
      <w:r w:rsidR="00741664" w:rsidRPr="007B25AE">
        <w:rPr>
          <w:rFonts w:ascii="Baskerville" w:eastAsia="MS PMincho" w:hAnsi="Baskerville" w:cs="Arabic Typesetting"/>
        </w:rPr>
        <w:t xml:space="preserve"> rate</w:t>
      </w:r>
      <w:r w:rsidR="005428C9" w:rsidRPr="007B25AE">
        <w:rPr>
          <w:rFonts w:ascii="Baskerville" w:eastAsia="MS PMincho" w:hAnsi="Baskerville" w:cs="Arabic Typesetting"/>
        </w:rPr>
        <w:t>s</w:t>
      </w:r>
      <w:r w:rsidR="00741664" w:rsidRPr="007B25AE">
        <w:rPr>
          <w:rFonts w:ascii="Baskerville" w:eastAsia="MS PMincho" w:hAnsi="Baskerville" w:cs="Arabic Typesetting"/>
        </w:rPr>
        <w:t xml:space="preserve"> of Black teacher</w:t>
      </w:r>
      <w:r w:rsidR="005428C9" w:rsidRPr="007B25AE">
        <w:rPr>
          <w:rFonts w:ascii="Baskerville" w:eastAsia="MS PMincho" w:hAnsi="Baskerville" w:cs="Arabic Typesetting"/>
        </w:rPr>
        <w:t>s</w:t>
      </w:r>
      <w:r w:rsidR="00741664" w:rsidRPr="007B25AE">
        <w:rPr>
          <w:rFonts w:ascii="Baskerville" w:eastAsia="MS PMincho" w:hAnsi="Baskerville" w:cs="Arabic Typesetting"/>
        </w:rPr>
        <w:t xml:space="preserve"> </w:t>
      </w:r>
      <w:r w:rsidR="000D043D" w:rsidRPr="007B25AE">
        <w:rPr>
          <w:rFonts w:ascii="Baskerville" w:eastAsia="MS PMincho" w:hAnsi="Baskerville" w:cs="Arabic Typesetting"/>
        </w:rPr>
        <w:t xml:space="preserve">in </w:t>
      </w:r>
      <w:r w:rsidR="00A82A75" w:rsidRPr="007B25AE">
        <w:rPr>
          <w:rFonts w:ascii="Baskerville" w:eastAsia="MS PMincho" w:hAnsi="Baskerville" w:cs="Arabic Typesetting"/>
        </w:rPr>
        <w:t xml:space="preserve">the </w:t>
      </w:r>
      <w:r w:rsidR="000D043D" w:rsidRPr="007B25AE">
        <w:rPr>
          <w:rFonts w:ascii="Baskerville" w:eastAsia="MS PMincho" w:hAnsi="Baskerville" w:cs="Arabic Typesetting"/>
        </w:rPr>
        <w:t xml:space="preserve">NYC public school </w:t>
      </w:r>
      <w:r w:rsidR="00A82A75" w:rsidRPr="007B25AE">
        <w:rPr>
          <w:rFonts w:ascii="Baskerville" w:eastAsia="MS PMincho" w:hAnsi="Baskerville" w:cs="Arabic Typesetting"/>
        </w:rPr>
        <w:t xml:space="preserve">system </w:t>
      </w:r>
      <w:r w:rsidR="00741664" w:rsidRPr="007B25AE">
        <w:rPr>
          <w:rFonts w:ascii="Baskerville" w:eastAsia="MS PMincho" w:hAnsi="Baskerville" w:cs="Arabic Typesetting"/>
        </w:rPr>
        <w:t xml:space="preserve">as </w:t>
      </w:r>
      <w:r w:rsidR="00A82A75" w:rsidRPr="007B25AE">
        <w:rPr>
          <w:rFonts w:ascii="Baskerville" w:eastAsia="MS PMincho" w:hAnsi="Baskerville" w:cs="Arabic Typesetting"/>
        </w:rPr>
        <w:t xml:space="preserve">contrasted and </w:t>
      </w:r>
      <w:r w:rsidR="00741664" w:rsidRPr="007B25AE">
        <w:rPr>
          <w:rFonts w:ascii="Baskerville" w:eastAsia="MS PMincho" w:hAnsi="Baskerville" w:cs="Arabic Typesetting"/>
        </w:rPr>
        <w:t xml:space="preserve">compared </w:t>
      </w:r>
      <w:r w:rsidR="00487505" w:rsidRPr="007B25AE">
        <w:rPr>
          <w:rFonts w:ascii="Baskerville" w:eastAsia="MS PMincho" w:hAnsi="Baskerville" w:cs="Arabic Typesetting"/>
        </w:rPr>
        <w:t>with</w:t>
      </w:r>
      <w:r w:rsidR="00741664" w:rsidRPr="007B25AE">
        <w:rPr>
          <w:rFonts w:ascii="Baskerville" w:eastAsia="MS PMincho" w:hAnsi="Baskerville" w:cs="Arabic Typesetting"/>
        </w:rPr>
        <w:t xml:space="preserve"> th</w:t>
      </w:r>
      <w:r w:rsidR="005428C9" w:rsidRPr="007B25AE">
        <w:rPr>
          <w:rFonts w:ascii="Baskerville" w:eastAsia="MS PMincho" w:hAnsi="Baskerville" w:cs="Arabic Typesetting"/>
        </w:rPr>
        <w:t>ose</w:t>
      </w:r>
      <w:r w:rsidR="00741664" w:rsidRPr="007B25AE">
        <w:rPr>
          <w:rFonts w:ascii="Baskerville" w:eastAsia="MS PMincho" w:hAnsi="Baskerville" w:cs="Arabic Typesetting"/>
        </w:rPr>
        <w:t xml:space="preserve"> </w:t>
      </w:r>
      <w:r w:rsidR="00A82A75" w:rsidRPr="007B25AE">
        <w:rPr>
          <w:rFonts w:ascii="Baskerville" w:eastAsia="MS PMincho" w:hAnsi="Baskerville" w:cs="Arabic Typesetting"/>
        </w:rPr>
        <w:t xml:space="preserve">rates </w:t>
      </w:r>
      <w:r w:rsidR="007D46C3" w:rsidRPr="007B25AE">
        <w:rPr>
          <w:rFonts w:ascii="Baskerville" w:eastAsia="MS PMincho" w:hAnsi="Baskerville" w:cs="Arabic Typesetting"/>
        </w:rPr>
        <w:t>for</w:t>
      </w:r>
      <w:r w:rsidR="00741664" w:rsidRPr="007B25AE">
        <w:rPr>
          <w:rFonts w:ascii="Baskerville" w:eastAsia="MS PMincho" w:hAnsi="Baskerville" w:cs="Arabic Typesetting"/>
        </w:rPr>
        <w:t xml:space="preserve"> teachers belonging to other racial groups, especially White teachers</w:t>
      </w:r>
      <w:r w:rsidR="00783B1A" w:rsidRPr="007B25AE">
        <w:rPr>
          <w:rFonts w:ascii="Baskerville" w:eastAsia="MS PMincho" w:hAnsi="Baskerville" w:cs="Arabic Typesetting"/>
        </w:rPr>
        <w:t xml:space="preserve"> (Alliance for Excellent Education, 2005; </w:t>
      </w:r>
      <w:proofErr w:type="spellStart"/>
      <w:r w:rsidR="00783B1A" w:rsidRPr="007B25AE">
        <w:rPr>
          <w:rFonts w:ascii="Baskerville" w:eastAsia="MS PMincho" w:hAnsi="Baskerville" w:cs="Arabic Typesetting"/>
        </w:rPr>
        <w:t>Boe</w:t>
      </w:r>
      <w:proofErr w:type="spellEnd"/>
      <w:r w:rsidR="00783B1A" w:rsidRPr="007B25AE">
        <w:rPr>
          <w:rFonts w:ascii="Baskerville" w:eastAsia="MS PMincho" w:hAnsi="Baskerville" w:cs="Arabic Typesetting"/>
        </w:rPr>
        <w:t xml:space="preserve"> et al., 2008</w:t>
      </w:r>
      <w:r w:rsidR="00741664" w:rsidRPr="007B25AE">
        <w:rPr>
          <w:rFonts w:ascii="Baskerville" w:eastAsia="MS PMincho" w:hAnsi="Baskerville" w:cs="Arabic Typesetting"/>
        </w:rPr>
        <w:t xml:space="preserve">. </w:t>
      </w:r>
      <w:r w:rsidR="00487505" w:rsidRPr="007B25AE">
        <w:rPr>
          <w:rFonts w:ascii="Baskerville" w:eastAsia="MS PMincho" w:hAnsi="Baskerville" w:cs="Arabic Typesetting"/>
        </w:rPr>
        <w:t>In addition, t</w:t>
      </w:r>
      <w:r w:rsidR="007D46C3" w:rsidRPr="007B25AE">
        <w:rPr>
          <w:rFonts w:ascii="Baskerville" w:eastAsia="MS PMincho" w:hAnsi="Baskerville" w:cs="Arabic Typesetting"/>
        </w:rPr>
        <w:t xml:space="preserve">here </w:t>
      </w:r>
      <w:r w:rsidR="00A82A75" w:rsidRPr="007B25AE">
        <w:rPr>
          <w:rFonts w:ascii="Baskerville" w:eastAsia="MS PMincho" w:hAnsi="Baskerville" w:cs="Arabic Typesetting"/>
        </w:rPr>
        <w:t>are</w:t>
      </w:r>
      <w:r w:rsidR="007D46C3" w:rsidRPr="007B25AE">
        <w:rPr>
          <w:rFonts w:ascii="Baskerville" w:eastAsia="MS PMincho" w:hAnsi="Baskerville" w:cs="Arabic Typesetting"/>
        </w:rPr>
        <w:t xml:space="preserve"> </w:t>
      </w:r>
      <w:r w:rsidR="00487505" w:rsidRPr="007B25AE">
        <w:rPr>
          <w:rFonts w:ascii="Baskerville" w:eastAsia="MS PMincho" w:hAnsi="Baskerville" w:cs="Arabic Typesetting"/>
        </w:rPr>
        <w:t xml:space="preserve">those </w:t>
      </w:r>
      <w:r w:rsidR="00A82A75" w:rsidRPr="007B25AE">
        <w:rPr>
          <w:rFonts w:ascii="Baskerville" w:eastAsia="MS PMincho" w:hAnsi="Baskerville" w:cs="Arabic Typesetting"/>
        </w:rPr>
        <w:t xml:space="preserve">other </w:t>
      </w:r>
      <w:r w:rsidR="00C04661" w:rsidRPr="007B25AE">
        <w:rPr>
          <w:rFonts w:ascii="Baskerville" w:eastAsia="MS PMincho" w:hAnsi="Baskerville" w:cs="Arabic Typesetting"/>
        </w:rPr>
        <w:t xml:space="preserve">burning </w:t>
      </w:r>
      <w:r w:rsidR="000D043D" w:rsidRPr="007B25AE">
        <w:rPr>
          <w:rFonts w:ascii="Baskerville" w:eastAsia="MS PMincho" w:hAnsi="Baskerville" w:cs="Arabic Typesetting"/>
        </w:rPr>
        <w:t>question</w:t>
      </w:r>
      <w:r w:rsidR="00C04661" w:rsidRPr="007B25AE">
        <w:rPr>
          <w:rFonts w:ascii="Baskerville" w:eastAsia="MS PMincho" w:hAnsi="Baskerville" w:cs="Arabic Typesetting"/>
        </w:rPr>
        <w:t>s</w:t>
      </w:r>
      <w:r w:rsidR="000D043D" w:rsidRPr="007B25AE">
        <w:rPr>
          <w:rFonts w:ascii="Baskerville" w:eastAsia="MS PMincho" w:hAnsi="Baskerville" w:cs="Arabic Typesetting"/>
        </w:rPr>
        <w:t xml:space="preserve"> </w:t>
      </w:r>
      <w:r w:rsidR="00473788" w:rsidRPr="007B25AE">
        <w:rPr>
          <w:rFonts w:ascii="Baskerville" w:eastAsia="MS PMincho" w:hAnsi="Baskerville" w:cs="Arabic Typesetting"/>
        </w:rPr>
        <w:t>growing</w:t>
      </w:r>
      <w:r w:rsidR="00C04661" w:rsidRPr="007B25AE">
        <w:rPr>
          <w:rFonts w:ascii="Baskerville" w:eastAsia="MS PMincho" w:hAnsi="Baskerville" w:cs="Arabic Typesetting"/>
        </w:rPr>
        <w:t xml:space="preserve"> out of that in the pen ultimo. There is th</w:t>
      </w:r>
      <w:r w:rsidR="00487505" w:rsidRPr="007B25AE">
        <w:rPr>
          <w:rFonts w:ascii="Baskerville" w:eastAsia="MS PMincho" w:hAnsi="Baskerville" w:cs="Arabic Typesetting"/>
        </w:rPr>
        <w:t>e question</w:t>
      </w:r>
      <w:r w:rsidR="00C04661" w:rsidRPr="007B25AE">
        <w:rPr>
          <w:rFonts w:ascii="Baskerville" w:eastAsia="MS PMincho" w:hAnsi="Baskerville" w:cs="Arabic Typesetting"/>
        </w:rPr>
        <w:t xml:space="preserve"> </w:t>
      </w:r>
      <w:r w:rsidR="007D46C3" w:rsidRPr="007B25AE">
        <w:rPr>
          <w:rFonts w:ascii="Baskerville" w:eastAsia="MS PMincho" w:hAnsi="Baskerville" w:cs="Arabic Typesetting"/>
        </w:rPr>
        <w:t>concerning the high failure rate of Black male students</w:t>
      </w:r>
      <w:r w:rsidR="00490EE4" w:rsidRPr="007B25AE">
        <w:rPr>
          <w:rFonts w:ascii="Baskerville" w:eastAsia="MS PMincho" w:hAnsi="Baskerville" w:cs="Arabic Typesetting"/>
        </w:rPr>
        <w:t xml:space="preserve"> on </w:t>
      </w:r>
      <w:r w:rsidR="00487505" w:rsidRPr="007B25AE">
        <w:rPr>
          <w:rFonts w:ascii="Baskerville" w:eastAsia="MS PMincho" w:hAnsi="Baskerville" w:cs="Arabic Typesetting"/>
        </w:rPr>
        <w:t xml:space="preserve">New York State Regents Examinations and other </w:t>
      </w:r>
      <w:r w:rsidR="00490EE4" w:rsidRPr="007B25AE">
        <w:rPr>
          <w:rFonts w:ascii="Baskerville" w:eastAsia="MS PMincho" w:hAnsi="Baskerville" w:cs="Arabic Typesetting"/>
        </w:rPr>
        <w:t>standardized tests</w:t>
      </w:r>
      <w:r w:rsidR="007D46C3" w:rsidRPr="007B25AE">
        <w:rPr>
          <w:rFonts w:ascii="Baskerville" w:eastAsia="MS PMincho" w:hAnsi="Baskerville" w:cs="Arabic Typesetting"/>
        </w:rPr>
        <w:t xml:space="preserve">; </w:t>
      </w:r>
      <w:r w:rsidR="00487505" w:rsidRPr="007B25AE">
        <w:rPr>
          <w:rFonts w:ascii="Baskerville" w:eastAsia="MS PMincho" w:hAnsi="Baskerville" w:cs="Arabic Typesetting"/>
        </w:rPr>
        <w:t>the question</w:t>
      </w:r>
      <w:r w:rsidR="00C04661" w:rsidRPr="007B25AE">
        <w:rPr>
          <w:rFonts w:ascii="Baskerville" w:eastAsia="MS PMincho" w:hAnsi="Baskerville" w:cs="Arabic Typesetting"/>
        </w:rPr>
        <w:t xml:space="preserve"> about</w:t>
      </w:r>
      <w:r w:rsidR="00490EE4" w:rsidRPr="007B25AE">
        <w:rPr>
          <w:rFonts w:ascii="Baskerville" w:eastAsia="MS PMincho" w:hAnsi="Baskerville" w:cs="Arabic Typesetting"/>
        </w:rPr>
        <w:t xml:space="preserve"> the </w:t>
      </w:r>
      <w:r w:rsidR="00C04661" w:rsidRPr="007B25AE">
        <w:rPr>
          <w:rFonts w:ascii="Baskerville" w:eastAsia="MS PMincho" w:hAnsi="Baskerville" w:cs="Arabic Typesetting"/>
        </w:rPr>
        <w:t>ever-</w:t>
      </w:r>
      <w:r w:rsidR="00490EE4" w:rsidRPr="007B25AE">
        <w:rPr>
          <w:rFonts w:ascii="Baskerville" w:eastAsia="MS PMincho" w:hAnsi="Baskerville" w:cs="Arabic Typesetting"/>
        </w:rPr>
        <w:t xml:space="preserve">shrinking pool of </w:t>
      </w:r>
      <w:r w:rsidR="00487505" w:rsidRPr="007B25AE">
        <w:rPr>
          <w:rFonts w:ascii="Baskerville" w:eastAsia="MS PMincho" w:hAnsi="Baskerville" w:cs="Arabic Typesetting"/>
        </w:rPr>
        <w:t xml:space="preserve">the City’s DOE </w:t>
      </w:r>
      <w:r w:rsidR="00490EE4" w:rsidRPr="007B25AE">
        <w:rPr>
          <w:rFonts w:ascii="Baskerville" w:eastAsia="MS PMincho" w:hAnsi="Baskerville" w:cs="Arabic Typesetting"/>
        </w:rPr>
        <w:t>teachers of African descent</w:t>
      </w:r>
      <w:r w:rsidR="00DA0432" w:rsidRPr="007B25AE">
        <w:rPr>
          <w:rFonts w:ascii="Baskerville" w:eastAsia="MS PMincho" w:hAnsi="Baskerville" w:cs="Arabic Typesetting"/>
        </w:rPr>
        <w:t xml:space="preserve"> (</w:t>
      </w:r>
      <w:proofErr w:type="spellStart"/>
      <w:r w:rsidR="00DA0432" w:rsidRPr="007B25AE">
        <w:rPr>
          <w:rFonts w:ascii="Baskerville" w:eastAsia="MS PMincho" w:hAnsi="Baskerville" w:cs="Arabic Typesetting"/>
        </w:rPr>
        <w:t>Ogundimu</w:t>
      </w:r>
      <w:proofErr w:type="spellEnd"/>
      <w:r w:rsidR="00DA0432" w:rsidRPr="007B25AE">
        <w:rPr>
          <w:rFonts w:ascii="Baskerville" w:eastAsia="MS PMincho" w:hAnsi="Baskerville" w:cs="Arabic Typesetting"/>
        </w:rPr>
        <w:t>, 2014, p.17</w:t>
      </w:r>
      <w:r w:rsidR="00490EE4" w:rsidRPr="007B25AE">
        <w:rPr>
          <w:rFonts w:ascii="Baskerville" w:eastAsia="MS PMincho" w:hAnsi="Baskerville" w:cs="Arabic Typesetting"/>
        </w:rPr>
        <w:t>;</w:t>
      </w:r>
      <w:r w:rsidR="00DA0432" w:rsidRPr="007B25AE">
        <w:rPr>
          <w:rFonts w:ascii="Baskerville" w:eastAsia="MS PMincho" w:hAnsi="Baskerville" w:cs="Arabic Typesetting"/>
        </w:rPr>
        <w:t xml:space="preserve"> Kirby et al., 1999); </w:t>
      </w:r>
      <w:r w:rsidR="00490EE4" w:rsidRPr="007B25AE">
        <w:rPr>
          <w:rFonts w:ascii="Baskerville" w:eastAsia="MS PMincho" w:hAnsi="Baskerville" w:cs="Arabic Typesetting"/>
        </w:rPr>
        <w:t xml:space="preserve">and the low admission rate of </w:t>
      </w:r>
      <w:r w:rsidR="00487505" w:rsidRPr="007B25AE">
        <w:rPr>
          <w:rFonts w:ascii="Baskerville" w:eastAsia="MS PMincho" w:hAnsi="Baskerville" w:cs="Arabic Typesetting"/>
        </w:rPr>
        <w:t xml:space="preserve">NYC </w:t>
      </w:r>
      <w:r w:rsidR="00490EE4" w:rsidRPr="007B25AE">
        <w:rPr>
          <w:rFonts w:ascii="Baskerville" w:eastAsia="MS PMincho" w:hAnsi="Baskerville" w:cs="Arabic Typesetting"/>
        </w:rPr>
        <w:t xml:space="preserve">Black </w:t>
      </w:r>
      <w:r w:rsidR="000D043D" w:rsidRPr="007B25AE">
        <w:rPr>
          <w:rFonts w:ascii="Baskerville" w:eastAsia="MS PMincho" w:hAnsi="Baskerville" w:cs="Arabic Typesetting"/>
        </w:rPr>
        <w:t xml:space="preserve">high school </w:t>
      </w:r>
      <w:r w:rsidR="00490EE4" w:rsidRPr="007B25AE">
        <w:rPr>
          <w:rFonts w:ascii="Baskerville" w:eastAsia="MS PMincho" w:hAnsi="Baskerville" w:cs="Arabic Typesetting"/>
        </w:rPr>
        <w:t>graduates</w:t>
      </w:r>
      <w:r w:rsidR="000D043D" w:rsidRPr="007B25AE">
        <w:rPr>
          <w:rFonts w:ascii="Baskerville" w:eastAsia="MS PMincho" w:hAnsi="Baskerville" w:cs="Arabic Typesetting"/>
        </w:rPr>
        <w:t xml:space="preserve"> into college</w:t>
      </w:r>
      <w:r w:rsidR="00DA0432" w:rsidRPr="007B25AE">
        <w:rPr>
          <w:rFonts w:ascii="Baskerville" w:eastAsia="MS PMincho" w:hAnsi="Baskerville" w:cs="Arabic Typesetting"/>
        </w:rPr>
        <w:t xml:space="preserve"> (</w:t>
      </w:r>
      <w:proofErr w:type="spellStart"/>
      <w:r w:rsidR="00DA0432" w:rsidRPr="007B25AE">
        <w:rPr>
          <w:rFonts w:ascii="Baskerville" w:eastAsia="MS PMincho" w:hAnsi="Baskerville" w:cs="Arabic Typesetting"/>
        </w:rPr>
        <w:t>Ogundimu</w:t>
      </w:r>
      <w:proofErr w:type="spellEnd"/>
      <w:r w:rsidR="00DA0432" w:rsidRPr="007B25AE">
        <w:rPr>
          <w:rFonts w:ascii="Baskerville" w:eastAsia="MS PMincho" w:hAnsi="Baskerville" w:cs="Arabic Typesetting"/>
        </w:rPr>
        <w:t>, 2014, p. 18;  HS&amp;B,1992)</w:t>
      </w:r>
      <w:r w:rsidR="00490EE4" w:rsidRPr="007B25AE">
        <w:rPr>
          <w:rFonts w:ascii="Baskerville" w:eastAsia="MS PMincho" w:hAnsi="Baskerville" w:cs="Arabic Typesetting"/>
        </w:rPr>
        <w:t>.</w:t>
      </w:r>
      <w:r w:rsidR="00741664" w:rsidRPr="007B25AE">
        <w:rPr>
          <w:rFonts w:ascii="Baskerville" w:eastAsia="MS PMincho" w:hAnsi="Baskerville" w:cs="Arabic Typesetting"/>
        </w:rPr>
        <w:t xml:space="preserve"> </w:t>
      </w:r>
      <w:r w:rsidR="00174B09" w:rsidRPr="007B25AE">
        <w:rPr>
          <w:rFonts w:ascii="Baskerville" w:eastAsia="MS PMincho" w:hAnsi="Baskerville" w:cs="Arabic Typesetting"/>
        </w:rPr>
        <w:t xml:space="preserve">  </w:t>
      </w:r>
    </w:p>
    <w:p w14:paraId="2E9BA2B4" w14:textId="77777777" w:rsidR="00833520" w:rsidRPr="007B25AE" w:rsidRDefault="00833520" w:rsidP="00831105">
      <w:pPr>
        <w:spacing w:line="360" w:lineRule="auto"/>
        <w:ind w:firstLine="720"/>
        <w:rPr>
          <w:rFonts w:ascii="Baskerville" w:eastAsia="MS PMincho" w:hAnsi="Baskerville" w:cs="Arabic Typesetting"/>
        </w:rPr>
      </w:pPr>
    </w:p>
    <w:p w14:paraId="37EE654E" w14:textId="25C5AF88" w:rsidR="00CF1866" w:rsidRPr="007B25AE" w:rsidRDefault="00470ABB" w:rsidP="00470ABB">
      <w:pPr>
        <w:spacing w:line="360" w:lineRule="auto"/>
        <w:ind w:firstLine="720"/>
        <w:jc w:val="center"/>
        <w:rPr>
          <w:rFonts w:ascii="Baskerville" w:eastAsia="MS PMincho" w:hAnsi="Baskerville" w:cs="Arabic Typesetting"/>
        </w:rPr>
      </w:pPr>
      <w:r w:rsidRPr="007B25AE">
        <w:rPr>
          <w:rFonts w:ascii="Baskerville" w:eastAsia="MS PMincho" w:hAnsi="Baskerville" w:cs="Arabic Typesetting"/>
        </w:rPr>
        <w:t>RATIONALE</w:t>
      </w:r>
    </w:p>
    <w:p w14:paraId="6531350A" w14:textId="77777777" w:rsidR="00470ABB" w:rsidRPr="007B25AE" w:rsidRDefault="00470ABB" w:rsidP="00470ABB">
      <w:pPr>
        <w:spacing w:line="360" w:lineRule="auto"/>
        <w:ind w:firstLine="720"/>
        <w:rPr>
          <w:rFonts w:ascii="Baskerville" w:eastAsia="MS PMincho" w:hAnsi="Baskerville" w:cs="Arabic Typesetting"/>
        </w:rPr>
      </w:pPr>
    </w:p>
    <w:p w14:paraId="19C42CA5" w14:textId="77777777" w:rsidR="004C7747" w:rsidRPr="007B25AE" w:rsidRDefault="002E76EE" w:rsidP="00471B0D">
      <w:pPr>
        <w:spacing w:line="360" w:lineRule="auto"/>
        <w:ind w:firstLine="720"/>
        <w:rPr>
          <w:rFonts w:ascii="Baskerville" w:eastAsia="MS PMincho" w:hAnsi="Baskerville" w:cs="Arabic Typesetting"/>
        </w:rPr>
      </w:pPr>
      <w:r w:rsidRPr="007B25AE">
        <w:rPr>
          <w:rFonts w:ascii="Baskerville" w:eastAsia="MS PMincho" w:hAnsi="Baskerville" w:cs="Arabic Typesetting"/>
        </w:rPr>
        <w:t>The</w:t>
      </w:r>
      <w:r w:rsidR="00F44382" w:rsidRPr="007B25AE">
        <w:rPr>
          <w:rFonts w:ascii="Baskerville" w:eastAsia="MS PMincho" w:hAnsi="Baskerville" w:cs="Arabic Typesetting"/>
        </w:rPr>
        <w:t xml:space="preserve"> 1954 school d</w:t>
      </w:r>
      <w:r w:rsidR="00470ABB" w:rsidRPr="007B25AE">
        <w:rPr>
          <w:rFonts w:ascii="Baskerville" w:eastAsia="MS PMincho" w:hAnsi="Baskerville" w:cs="Arabic Typesetting"/>
        </w:rPr>
        <w:t>esegregation</w:t>
      </w:r>
      <w:r w:rsidR="00F44382" w:rsidRPr="007B25AE">
        <w:rPr>
          <w:rFonts w:ascii="Baskerville" w:eastAsia="MS PMincho" w:hAnsi="Baskerville" w:cs="Arabic Typesetting"/>
        </w:rPr>
        <w:t xml:space="preserve"> decision</w:t>
      </w:r>
      <w:r w:rsidR="00470ABB" w:rsidRPr="007B25AE">
        <w:rPr>
          <w:rFonts w:ascii="Baskerville" w:eastAsia="MS PMincho" w:hAnsi="Baskerville" w:cs="Arabic Typesetting"/>
        </w:rPr>
        <w:t xml:space="preserve">, as a stand-alone law, has </w:t>
      </w:r>
      <w:r w:rsidR="00AE54EF" w:rsidRPr="007B25AE">
        <w:rPr>
          <w:rFonts w:ascii="Baskerville" w:eastAsia="MS PMincho" w:hAnsi="Baskerville" w:cs="Arabic Typesetting"/>
        </w:rPr>
        <w:t xml:space="preserve">continued to </w:t>
      </w:r>
      <w:r w:rsidR="00470ABB" w:rsidRPr="007B25AE">
        <w:rPr>
          <w:rFonts w:ascii="Baskerville" w:eastAsia="MS PMincho" w:hAnsi="Baskerville" w:cs="Arabic Typesetting"/>
        </w:rPr>
        <w:t xml:space="preserve">be </w:t>
      </w:r>
      <w:r w:rsidR="006260EA" w:rsidRPr="007B25AE">
        <w:rPr>
          <w:rFonts w:ascii="Baskerville" w:eastAsia="MS PMincho" w:hAnsi="Baskerville" w:cs="Arabic Typesetting"/>
        </w:rPr>
        <w:t xml:space="preserve">an important part of </w:t>
      </w:r>
      <w:r w:rsidR="00470ABB" w:rsidRPr="007B25AE">
        <w:rPr>
          <w:rFonts w:ascii="Baskerville" w:eastAsia="MS PMincho" w:hAnsi="Baskerville" w:cs="Arabic Typesetting"/>
        </w:rPr>
        <w:t xml:space="preserve">the </w:t>
      </w:r>
      <w:r w:rsidR="00DA37CA" w:rsidRPr="007B25AE">
        <w:rPr>
          <w:rFonts w:ascii="Baskerville" w:eastAsia="MS PMincho" w:hAnsi="Baskerville" w:cs="Arabic Typesetting"/>
        </w:rPr>
        <w:t xml:space="preserve">effort by the </w:t>
      </w:r>
      <w:r w:rsidR="00470ABB" w:rsidRPr="007B25AE">
        <w:rPr>
          <w:rFonts w:ascii="Baskerville" w:eastAsia="MS PMincho" w:hAnsi="Baskerville" w:cs="Arabic Typesetting"/>
        </w:rPr>
        <w:t xml:space="preserve">judicial branch, at the highest level, to move the needle toward </w:t>
      </w:r>
      <w:r w:rsidR="00893101" w:rsidRPr="007B25AE">
        <w:rPr>
          <w:rFonts w:ascii="Baskerville" w:eastAsia="MS PMincho" w:hAnsi="Baskerville" w:cs="Arabic Typesetting"/>
        </w:rPr>
        <w:t xml:space="preserve">the fulfilment of </w:t>
      </w:r>
      <w:r w:rsidR="0021660E" w:rsidRPr="007B25AE">
        <w:rPr>
          <w:rFonts w:ascii="Baskerville" w:eastAsia="MS PMincho" w:hAnsi="Baskerville" w:cs="Arabic Typesetting"/>
        </w:rPr>
        <w:t>America’s</w:t>
      </w:r>
      <w:r w:rsidR="00893101" w:rsidRPr="007B25AE">
        <w:rPr>
          <w:rFonts w:ascii="Baskerville" w:eastAsia="MS PMincho" w:hAnsi="Baskerville" w:cs="Arabic Typesetting"/>
        </w:rPr>
        <w:t xml:space="preserve"> </w:t>
      </w:r>
      <w:r w:rsidR="00495BF6" w:rsidRPr="007B25AE">
        <w:rPr>
          <w:rFonts w:ascii="Baskerville" w:eastAsia="MS PMincho" w:hAnsi="Baskerville" w:cs="Arabic Typesetting"/>
        </w:rPr>
        <w:t>long</w:t>
      </w:r>
      <w:r w:rsidR="00B53DBD" w:rsidRPr="007B25AE">
        <w:rPr>
          <w:rFonts w:ascii="Baskerville" w:eastAsia="MS PMincho" w:hAnsi="Baskerville" w:cs="Arabic Typesetting"/>
        </w:rPr>
        <w:t>-</w:t>
      </w:r>
      <w:r w:rsidR="00495BF6" w:rsidRPr="007B25AE">
        <w:rPr>
          <w:rFonts w:ascii="Baskerville" w:eastAsia="MS PMincho" w:hAnsi="Baskerville" w:cs="Arabic Typesetting"/>
        </w:rPr>
        <w:t xml:space="preserve">held </w:t>
      </w:r>
      <w:r w:rsidR="00AF5AB3" w:rsidRPr="007B25AE">
        <w:rPr>
          <w:rFonts w:ascii="Baskerville" w:eastAsia="MS PMincho" w:hAnsi="Baskerville" w:cs="Arabic Typesetting"/>
        </w:rPr>
        <w:t xml:space="preserve">promise </w:t>
      </w:r>
      <w:r w:rsidR="00DA37CA" w:rsidRPr="007B25AE">
        <w:rPr>
          <w:rFonts w:ascii="Baskerville" w:eastAsia="MS PMincho" w:hAnsi="Baskerville" w:cs="Arabic Typesetting"/>
        </w:rPr>
        <w:t>to</w:t>
      </w:r>
      <w:r w:rsidR="00470ABB" w:rsidRPr="007B25AE">
        <w:rPr>
          <w:rFonts w:ascii="Baskerville" w:eastAsia="MS PMincho" w:hAnsi="Baskerville" w:cs="Arabic Typesetting"/>
        </w:rPr>
        <w:t xml:space="preserve"> </w:t>
      </w:r>
      <w:r w:rsidR="00532E13" w:rsidRPr="007B25AE">
        <w:rPr>
          <w:rFonts w:ascii="Baskerville" w:eastAsia="MS PMincho" w:hAnsi="Baskerville" w:cs="Arabic Typesetting"/>
        </w:rPr>
        <w:t xml:space="preserve">transform </w:t>
      </w:r>
      <w:r w:rsidR="0021660E" w:rsidRPr="007B25AE">
        <w:rPr>
          <w:rFonts w:ascii="Baskerville" w:eastAsia="MS PMincho" w:hAnsi="Baskerville" w:cs="Arabic Typesetting"/>
        </w:rPr>
        <w:t>itself</w:t>
      </w:r>
      <w:r w:rsidR="00DA37CA" w:rsidRPr="007B25AE">
        <w:rPr>
          <w:rFonts w:ascii="Baskerville" w:eastAsia="MS PMincho" w:hAnsi="Baskerville" w:cs="Arabic Typesetting"/>
        </w:rPr>
        <w:t xml:space="preserve"> </w:t>
      </w:r>
      <w:r w:rsidR="00532E13" w:rsidRPr="007B25AE">
        <w:rPr>
          <w:rFonts w:ascii="Baskerville" w:eastAsia="MS PMincho" w:hAnsi="Baskerville" w:cs="Arabic Typesetting"/>
        </w:rPr>
        <w:t>in</w:t>
      </w:r>
      <w:r w:rsidR="00DA37CA" w:rsidRPr="007B25AE">
        <w:rPr>
          <w:rFonts w:ascii="Baskerville" w:eastAsia="MS PMincho" w:hAnsi="Baskerville" w:cs="Arabic Typesetting"/>
        </w:rPr>
        <w:t xml:space="preserve">to a </w:t>
      </w:r>
      <w:r w:rsidR="00532E13" w:rsidRPr="007B25AE">
        <w:rPr>
          <w:rFonts w:ascii="Baskerville" w:eastAsia="MS PMincho" w:hAnsi="Baskerville" w:cs="Arabic Typesetting"/>
        </w:rPr>
        <w:t>haven</w:t>
      </w:r>
      <w:r w:rsidR="00AF5AB3" w:rsidRPr="007B25AE">
        <w:rPr>
          <w:rFonts w:ascii="Baskerville" w:eastAsia="MS PMincho" w:hAnsi="Baskerville" w:cs="Arabic Typesetting"/>
        </w:rPr>
        <w:t xml:space="preserve"> of </w:t>
      </w:r>
      <w:r w:rsidR="00470ABB" w:rsidRPr="007B25AE">
        <w:rPr>
          <w:rFonts w:ascii="Baskerville" w:eastAsia="MS PMincho" w:hAnsi="Baskerville" w:cs="Arabic Typesetting"/>
        </w:rPr>
        <w:t>enlightenment</w:t>
      </w:r>
      <w:r w:rsidR="000644B0" w:rsidRPr="007B25AE">
        <w:rPr>
          <w:rFonts w:ascii="Baskerville" w:eastAsia="MS PMincho" w:hAnsi="Baskerville" w:cs="Arabic Typesetting"/>
        </w:rPr>
        <w:t xml:space="preserve"> </w:t>
      </w:r>
      <w:r w:rsidR="00893101" w:rsidRPr="007B25AE">
        <w:rPr>
          <w:rFonts w:ascii="Baskerville" w:eastAsia="MS PMincho" w:hAnsi="Baskerville" w:cs="Arabic Typesetting"/>
        </w:rPr>
        <w:t>to be shared by</w:t>
      </w:r>
      <w:r w:rsidR="00AE54EF" w:rsidRPr="007B25AE">
        <w:rPr>
          <w:rFonts w:ascii="Baskerville" w:eastAsia="MS PMincho" w:hAnsi="Baskerville" w:cs="Arabic Typesetting"/>
        </w:rPr>
        <w:t xml:space="preserve"> </w:t>
      </w:r>
      <w:r w:rsidR="000644B0" w:rsidRPr="007B25AE">
        <w:rPr>
          <w:rFonts w:ascii="Baskerville" w:eastAsia="MS PMincho" w:hAnsi="Baskerville" w:cs="Arabic Typesetting"/>
        </w:rPr>
        <w:t xml:space="preserve">all </w:t>
      </w:r>
      <w:r w:rsidR="00532E13" w:rsidRPr="007B25AE">
        <w:rPr>
          <w:rFonts w:ascii="Baskerville" w:eastAsia="MS PMincho" w:hAnsi="Baskerville" w:cs="Arabic Typesetting"/>
        </w:rPr>
        <w:t xml:space="preserve">regardless </w:t>
      </w:r>
      <w:r w:rsidR="0021660E" w:rsidRPr="007B25AE">
        <w:rPr>
          <w:rFonts w:ascii="Baskerville" w:eastAsia="MS PMincho" w:hAnsi="Baskerville" w:cs="Arabic Typesetting"/>
        </w:rPr>
        <w:t xml:space="preserve">of </w:t>
      </w:r>
      <w:r w:rsidR="00532E13" w:rsidRPr="007B25AE">
        <w:rPr>
          <w:rFonts w:ascii="Baskerville" w:eastAsia="MS PMincho" w:hAnsi="Baskerville" w:cs="Arabic Typesetting"/>
        </w:rPr>
        <w:t>rac</w:t>
      </w:r>
      <w:r w:rsidR="00E90A40" w:rsidRPr="007B25AE">
        <w:rPr>
          <w:rFonts w:ascii="Baskerville" w:eastAsia="MS PMincho" w:hAnsi="Baskerville" w:cs="Arabic Typesetting"/>
        </w:rPr>
        <w:t>ial</w:t>
      </w:r>
      <w:r w:rsidR="00532E13" w:rsidRPr="007B25AE">
        <w:rPr>
          <w:rFonts w:ascii="Baskerville" w:eastAsia="MS PMincho" w:hAnsi="Baskerville" w:cs="Arabic Typesetting"/>
        </w:rPr>
        <w:t xml:space="preserve">, ethnic, or religious differences </w:t>
      </w:r>
      <w:r w:rsidR="00772918" w:rsidRPr="007B25AE">
        <w:rPr>
          <w:rFonts w:ascii="Baskerville" w:eastAsia="MS PMincho" w:hAnsi="Baskerville" w:cs="Arabic Typesetting"/>
        </w:rPr>
        <w:t>(</w:t>
      </w:r>
      <w:r w:rsidR="00356D18" w:rsidRPr="007B25AE">
        <w:rPr>
          <w:rFonts w:ascii="Baskerville" w:eastAsia="MS PMincho" w:hAnsi="Baskerville" w:cs="Arabic Typesetting"/>
        </w:rPr>
        <w:t>T</w:t>
      </w:r>
      <w:r w:rsidR="00470ABB" w:rsidRPr="007B25AE">
        <w:rPr>
          <w:rFonts w:ascii="Baskerville" w:eastAsia="MS PMincho" w:hAnsi="Baskerville" w:cs="Arabic Typesetting"/>
        </w:rPr>
        <w:t>he</w:t>
      </w:r>
      <w:r w:rsidR="00495BF6" w:rsidRPr="007B25AE">
        <w:rPr>
          <w:rFonts w:ascii="Baskerville" w:eastAsia="MS PMincho" w:hAnsi="Baskerville" w:cs="Arabic Typesetting"/>
        </w:rPr>
        <w:t xml:space="preserve"> Bill of Rights, of 1789</w:t>
      </w:r>
      <w:r w:rsidR="00356D18" w:rsidRPr="007B25AE">
        <w:rPr>
          <w:rFonts w:ascii="Baskerville" w:eastAsia="MS PMincho" w:hAnsi="Baskerville" w:cs="Arabic Typesetting"/>
        </w:rPr>
        <w:t>)</w:t>
      </w:r>
      <w:r w:rsidR="000644B0" w:rsidRPr="007B25AE">
        <w:rPr>
          <w:rFonts w:ascii="Baskerville" w:eastAsia="MS PMincho" w:hAnsi="Baskerville" w:cs="Arabic Typesetting"/>
        </w:rPr>
        <w:t xml:space="preserve">. </w:t>
      </w:r>
      <w:r w:rsidR="004C6D45" w:rsidRPr="007B25AE">
        <w:rPr>
          <w:rFonts w:ascii="Baskerville" w:eastAsia="MS PMincho" w:hAnsi="Baskerville" w:cs="Arabic Typesetting"/>
        </w:rPr>
        <w:t xml:space="preserve"> </w:t>
      </w:r>
      <w:r w:rsidR="00893101" w:rsidRPr="007B25AE">
        <w:rPr>
          <w:rFonts w:ascii="Baskerville" w:eastAsia="MS PMincho" w:hAnsi="Baskerville" w:cs="Arabic Typesetting"/>
        </w:rPr>
        <w:t xml:space="preserve">In </w:t>
      </w:r>
      <w:r w:rsidR="00172E1D" w:rsidRPr="007B25AE">
        <w:rPr>
          <w:rFonts w:ascii="Baskerville" w:eastAsia="MS PMincho" w:hAnsi="Baskerville" w:cs="Arabic Typesetting"/>
        </w:rPr>
        <w:t>Brown v. Board of Education</w:t>
      </w:r>
      <w:r w:rsidR="00893101" w:rsidRPr="007B25AE">
        <w:rPr>
          <w:rFonts w:ascii="Baskerville" w:eastAsia="MS PMincho" w:hAnsi="Baskerville" w:cs="Arabic Typesetting"/>
        </w:rPr>
        <w:t xml:space="preserve">, the </w:t>
      </w:r>
      <w:r w:rsidR="0021660E" w:rsidRPr="007B25AE">
        <w:rPr>
          <w:rFonts w:ascii="Baskerville" w:eastAsia="MS PMincho" w:hAnsi="Baskerville" w:cs="Arabic Typesetting"/>
        </w:rPr>
        <w:t>Supreme Court</w:t>
      </w:r>
      <w:r w:rsidR="00893101" w:rsidRPr="007B25AE">
        <w:rPr>
          <w:rFonts w:ascii="Baskerville" w:eastAsia="MS PMincho" w:hAnsi="Baskerville" w:cs="Arabic Typesetting"/>
        </w:rPr>
        <w:t xml:space="preserve"> </w:t>
      </w:r>
      <w:r w:rsidR="0021660E" w:rsidRPr="007B25AE">
        <w:rPr>
          <w:rFonts w:ascii="Baskerville" w:eastAsia="MS PMincho" w:hAnsi="Baskerville" w:cs="Arabic Typesetting"/>
        </w:rPr>
        <w:t xml:space="preserve">of the United States </w:t>
      </w:r>
      <w:r w:rsidR="00893101" w:rsidRPr="007B25AE">
        <w:rPr>
          <w:rFonts w:ascii="Baskerville" w:eastAsia="MS PMincho" w:hAnsi="Baskerville" w:cs="Arabic Typesetting"/>
        </w:rPr>
        <w:t xml:space="preserve">had, in </w:t>
      </w:r>
      <w:r w:rsidR="00F15B25" w:rsidRPr="007B25AE">
        <w:rPr>
          <w:rFonts w:ascii="Baskerville" w:eastAsia="MS PMincho" w:hAnsi="Baskerville" w:cs="Arabic Typesetting"/>
        </w:rPr>
        <w:t>theory</w:t>
      </w:r>
      <w:r w:rsidR="00C00554" w:rsidRPr="007B25AE">
        <w:rPr>
          <w:rFonts w:ascii="Baskerville" w:eastAsia="MS PMincho" w:hAnsi="Baskerville" w:cs="Arabic Typesetting"/>
        </w:rPr>
        <w:t>,</w:t>
      </w:r>
      <w:r w:rsidR="00F15B25" w:rsidRPr="007B25AE">
        <w:rPr>
          <w:rFonts w:ascii="Baskerville" w:eastAsia="MS PMincho" w:hAnsi="Baskerville" w:cs="Arabic Typesetting"/>
        </w:rPr>
        <w:t xml:space="preserve"> at least</w:t>
      </w:r>
      <w:r w:rsidR="00893101" w:rsidRPr="007B25AE">
        <w:rPr>
          <w:rFonts w:ascii="Baskerville" w:eastAsia="MS PMincho" w:hAnsi="Baskerville" w:cs="Arabic Typesetting"/>
        </w:rPr>
        <w:t>,</w:t>
      </w:r>
      <w:r w:rsidR="00F15B25" w:rsidRPr="007B25AE">
        <w:rPr>
          <w:rFonts w:ascii="Baskerville" w:eastAsia="MS PMincho" w:hAnsi="Baskerville" w:cs="Arabic Typesetting"/>
        </w:rPr>
        <w:t xml:space="preserve"> </w:t>
      </w:r>
      <w:r w:rsidR="00893101" w:rsidRPr="007B25AE">
        <w:rPr>
          <w:rFonts w:ascii="Baskerville" w:eastAsia="MS PMincho" w:hAnsi="Baskerville" w:cs="Arabic Typesetting"/>
        </w:rPr>
        <w:t xml:space="preserve">closed the doors </w:t>
      </w:r>
      <w:r w:rsidR="00F15B25" w:rsidRPr="007B25AE">
        <w:rPr>
          <w:rFonts w:ascii="Baskerville" w:eastAsia="MS PMincho" w:hAnsi="Baskerville" w:cs="Arabic Typesetting"/>
        </w:rPr>
        <w:t>of schools receiving government funds for the education of children of color.</w:t>
      </w:r>
      <w:r w:rsidR="00893101" w:rsidRPr="007B25AE">
        <w:rPr>
          <w:rFonts w:ascii="Baskerville" w:eastAsia="MS PMincho" w:hAnsi="Baskerville" w:cs="Arabic Typesetting"/>
        </w:rPr>
        <w:t xml:space="preserve">  </w:t>
      </w:r>
      <w:r w:rsidR="00D8214F" w:rsidRPr="007B25AE">
        <w:rPr>
          <w:rFonts w:ascii="Baskerville" w:eastAsia="MS PMincho" w:hAnsi="Baskerville" w:cs="Arabic Typesetting"/>
        </w:rPr>
        <w:t>Today</w:t>
      </w:r>
      <w:r w:rsidR="00455F66" w:rsidRPr="007B25AE">
        <w:rPr>
          <w:rFonts w:ascii="Baskerville" w:eastAsia="MS PMincho" w:hAnsi="Baskerville" w:cs="Arabic Typesetting"/>
        </w:rPr>
        <w:t xml:space="preserve">, </w:t>
      </w:r>
      <w:r w:rsidR="00E8293A" w:rsidRPr="007B25AE">
        <w:rPr>
          <w:rFonts w:ascii="Baskerville" w:eastAsia="MS PMincho" w:hAnsi="Baskerville" w:cs="Arabic Typesetting"/>
        </w:rPr>
        <w:t xml:space="preserve">looking back, </w:t>
      </w:r>
      <w:r w:rsidR="00455F66" w:rsidRPr="007B25AE">
        <w:rPr>
          <w:rFonts w:ascii="Baskerville" w:eastAsia="MS PMincho" w:hAnsi="Baskerville" w:cs="Arabic Typesetting"/>
        </w:rPr>
        <w:t xml:space="preserve">it </w:t>
      </w:r>
      <w:r w:rsidR="0021660E" w:rsidRPr="007B25AE">
        <w:rPr>
          <w:rFonts w:ascii="Baskerville" w:eastAsia="MS PMincho" w:hAnsi="Baskerville" w:cs="Arabic Typesetting"/>
        </w:rPr>
        <w:t>ha</w:t>
      </w:r>
      <w:r w:rsidR="00455F66" w:rsidRPr="007B25AE">
        <w:rPr>
          <w:rFonts w:ascii="Baskerville" w:eastAsia="MS PMincho" w:hAnsi="Baskerville" w:cs="Arabic Typesetting"/>
        </w:rPr>
        <w:t xml:space="preserve">s become </w:t>
      </w:r>
      <w:r w:rsidR="00172E1D" w:rsidRPr="007B25AE">
        <w:rPr>
          <w:rFonts w:ascii="Baskerville" w:eastAsia="MS PMincho" w:hAnsi="Baskerville" w:cs="Arabic Typesetting"/>
        </w:rPr>
        <w:t>clear</w:t>
      </w:r>
      <w:r w:rsidR="00455F66" w:rsidRPr="007B25AE">
        <w:rPr>
          <w:rFonts w:ascii="Baskerville" w:eastAsia="MS PMincho" w:hAnsi="Baskerville" w:cs="Arabic Typesetting"/>
        </w:rPr>
        <w:t xml:space="preserve"> </w:t>
      </w:r>
      <w:r w:rsidR="00E8293A" w:rsidRPr="007B25AE">
        <w:rPr>
          <w:rFonts w:ascii="Baskerville" w:eastAsia="MS PMincho" w:hAnsi="Baskerville" w:cs="Arabic Typesetting"/>
        </w:rPr>
        <w:t xml:space="preserve">to me </w:t>
      </w:r>
      <w:r w:rsidR="00455F66" w:rsidRPr="007B25AE">
        <w:rPr>
          <w:rFonts w:ascii="Baskerville" w:eastAsia="MS PMincho" w:hAnsi="Baskerville" w:cs="Arabic Typesetting"/>
        </w:rPr>
        <w:t xml:space="preserve">that </w:t>
      </w:r>
      <w:r w:rsidR="00E8293A" w:rsidRPr="007B25AE">
        <w:rPr>
          <w:rFonts w:ascii="Baskerville" w:eastAsia="MS PMincho" w:hAnsi="Baskerville" w:cs="Arabic Typesetting"/>
        </w:rPr>
        <w:t xml:space="preserve">the unanimous </w:t>
      </w:r>
      <w:r w:rsidR="0074141E" w:rsidRPr="007B25AE">
        <w:rPr>
          <w:rFonts w:ascii="Baskerville" w:eastAsia="MS PMincho" w:hAnsi="Baskerville" w:cs="Arabic Typesetting"/>
        </w:rPr>
        <w:t xml:space="preserve">ruling </w:t>
      </w:r>
      <w:r w:rsidR="00E8293A" w:rsidRPr="007B25AE">
        <w:rPr>
          <w:rFonts w:ascii="Baskerville" w:eastAsia="MS PMincho" w:hAnsi="Baskerville" w:cs="Arabic Typesetting"/>
        </w:rPr>
        <w:t>of the justices,</w:t>
      </w:r>
      <w:r w:rsidR="00455F66" w:rsidRPr="007B25AE">
        <w:rPr>
          <w:rFonts w:ascii="Baskerville" w:eastAsia="MS PMincho" w:hAnsi="Baskerville" w:cs="Arabic Typesetting"/>
        </w:rPr>
        <w:t xml:space="preserve"> in th</w:t>
      </w:r>
      <w:r w:rsidR="00E90A40" w:rsidRPr="007B25AE">
        <w:rPr>
          <w:rFonts w:ascii="Baskerville" w:eastAsia="MS PMincho" w:hAnsi="Baskerville" w:cs="Arabic Typesetting"/>
        </w:rPr>
        <w:t>e Brown</w:t>
      </w:r>
      <w:r w:rsidR="00455F66" w:rsidRPr="007B25AE">
        <w:rPr>
          <w:rFonts w:ascii="Baskerville" w:eastAsia="MS PMincho" w:hAnsi="Baskerville" w:cs="Arabic Typesetting"/>
        </w:rPr>
        <w:t xml:space="preserve"> </w:t>
      </w:r>
      <w:r w:rsidR="0074141E" w:rsidRPr="007B25AE">
        <w:rPr>
          <w:rFonts w:ascii="Baskerville" w:eastAsia="MS PMincho" w:hAnsi="Baskerville" w:cs="Arabic Typesetting"/>
        </w:rPr>
        <w:t>decision</w:t>
      </w:r>
      <w:r w:rsidR="00E8293A" w:rsidRPr="007B25AE">
        <w:rPr>
          <w:rFonts w:ascii="Baskerville" w:eastAsia="MS PMincho" w:hAnsi="Baskerville" w:cs="Arabic Typesetting"/>
        </w:rPr>
        <w:t>,</w:t>
      </w:r>
      <w:r w:rsidR="00455F66" w:rsidRPr="007B25AE">
        <w:rPr>
          <w:rFonts w:ascii="Baskerville" w:eastAsia="MS PMincho" w:hAnsi="Baskerville" w:cs="Arabic Typesetting"/>
        </w:rPr>
        <w:t xml:space="preserve"> may </w:t>
      </w:r>
      <w:r w:rsidR="00E13C0C" w:rsidRPr="007B25AE">
        <w:rPr>
          <w:rFonts w:ascii="Baskerville" w:eastAsia="MS PMincho" w:hAnsi="Baskerville" w:cs="Arabic Typesetting"/>
        </w:rPr>
        <w:t xml:space="preserve">well </w:t>
      </w:r>
      <w:r w:rsidR="00455F66" w:rsidRPr="007B25AE">
        <w:rPr>
          <w:rFonts w:ascii="Baskerville" w:eastAsia="MS PMincho" w:hAnsi="Baskerville" w:cs="Arabic Typesetting"/>
        </w:rPr>
        <w:t xml:space="preserve">have </w:t>
      </w:r>
      <w:r w:rsidR="00E8293A" w:rsidRPr="007B25AE">
        <w:rPr>
          <w:rFonts w:ascii="Baskerville" w:eastAsia="MS PMincho" w:hAnsi="Baskerville" w:cs="Arabic Typesetting"/>
        </w:rPr>
        <w:t xml:space="preserve">been </w:t>
      </w:r>
      <w:r w:rsidR="00486D67" w:rsidRPr="007B25AE">
        <w:rPr>
          <w:rFonts w:ascii="Baskerville" w:eastAsia="MS PMincho" w:hAnsi="Baskerville" w:cs="Arabic Typesetting"/>
        </w:rPr>
        <w:t>achieved</w:t>
      </w:r>
      <w:r w:rsidR="00E8293A" w:rsidRPr="007B25AE">
        <w:rPr>
          <w:rFonts w:ascii="Baskerville" w:eastAsia="MS PMincho" w:hAnsi="Baskerville" w:cs="Arabic Typesetting"/>
        </w:rPr>
        <w:t xml:space="preserve"> </w:t>
      </w:r>
      <w:r w:rsidR="000644B0" w:rsidRPr="007B25AE">
        <w:rPr>
          <w:rFonts w:ascii="Baskerville" w:eastAsia="MS PMincho" w:hAnsi="Baskerville" w:cs="Arabic Typesetting"/>
        </w:rPr>
        <w:t>without</w:t>
      </w:r>
      <w:r w:rsidR="00455F66" w:rsidRPr="007B25AE">
        <w:rPr>
          <w:rFonts w:ascii="Baskerville" w:eastAsia="MS PMincho" w:hAnsi="Baskerville" w:cs="Arabic Typesetting"/>
        </w:rPr>
        <w:t xml:space="preserve"> </w:t>
      </w:r>
      <w:r w:rsidR="00AF5AB3" w:rsidRPr="007B25AE">
        <w:rPr>
          <w:rFonts w:ascii="Baskerville" w:eastAsia="MS PMincho" w:hAnsi="Baskerville" w:cs="Arabic Typesetting"/>
        </w:rPr>
        <w:t xml:space="preserve">full </w:t>
      </w:r>
      <w:r w:rsidR="00486D67" w:rsidRPr="007B25AE">
        <w:rPr>
          <w:rFonts w:ascii="Baskerville" w:eastAsia="MS PMincho" w:hAnsi="Baskerville" w:cs="Arabic Typesetting"/>
        </w:rPr>
        <w:t>awareness</w:t>
      </w:r>
      <w:r w:rsidR="000644B0" w:rsidRPr="007B25AE">
        <w:rPr>
          <w:rFonts w:ascii="Baskerville" w:eastAsia="MS PMincho" w:hAnsi="Baskerville" w:cs="Arabic Typesetting"/>
        </w:rPr>
        <w:t xml:space="preserve"> of the fact that</w:t>
      </w:r>
      <w:r w:rsidR="00F847B8" w:rsidRPr="007B25AE">
        <w:rPr>
          <w:rFonts w:ascii="Baskerville" w:eastAsia="MS PMincho" w:hAnsi="Baskerville" w:cs="Arabic Typesetting"/>
        </w:rPr>
        <w:t>,</w:t>
      </w:r>
      <w:r w:rsidR="000644B0" w:rsidRPr="007B25AE">
        <w:rPr>
          <w:rFonts w:ascii="Baskerville" w:eastAsia="MS PMincho" w:hAnsi="Baskerville" w:cs="Arabic Typesetting"/>
        </w:rPr>
        <w:t xml:space="preserve"> in</w:t>
      </w:r>
      <w:r w:rsidR="00E8293A" w:rsidRPr="007B25AE">
        <w:rPr>
          <w:rFonts w:ascii="Baskerville" w:eastAsia="MS PMincho" w:hAnsi="Baskerville" w:cs="Arabic Typesetting"/>
        </w:rPr>
        <w:t xml:space="preserve"> closing</w:t>
      </w:r>
      <w:r w:rsidR="00D85A14" w:rsidRPr="007B25AE">
        <w:rPr>
          <w:rFonts w:ascii="Baskerville" w:eastAsia="MS PMincho" w:hAnsi="Baskerville" w:cs="Arabic Typesetting"/>
        </w:rPr>
        <w:t xml:space="preserve"> </w:t>
      </w:r>
      <w:r w:rsidR="000644B0" w:rsidRPr="007B25AE">
        <w:rPr>
          <w:rFonts w:ascii="Baskerville" w:eastAsia="MS PMincho" w:hAnsi="Baskerville" w:cs="Arabic Typesetting"/>
        </w:rPr>
        <w:t xml:space="preserve">the doors of </w:t>
      </w:r>
      <w:r w:rsidR="00172E1D" w:rsidRPr="007B25AE">
        <w:rPr>
          <w:rFonts w:ascii="Baskerville" w:eastAsia="MS PMincho" w:hAnsi="Baskerville" w:cs="Arabic Typesetting"/>
        </w:rPr>
        <w:t xml:space="preserve">the </w:t>
      </w:r>
      <w:r w:rsidR="00B53DBD" w:rsidRPr="007B25AE">
        <w:rPr>
          <w:rFonts w:ascii="Baskerville" w:eastAsia="MS PMincho" w:hAnsi="Baskerville" w:cs="Arabic Typesetting"/>
        </w:rPr>
        <w:t xml:space="preserve">school </w:t>
      </w:r>
      <w:r w:rsidRPr="007B25AE">
        <w:rPr>
          <w:rFonts w:ascii="Baskerville" w:eastAsia="MS PMincho" w:hAnsi="Baskerville" w:cs="Arabic Typesetting"/>
        </w:rPr>
        <w:t>buildings</w:t>
      </w:r>
      <w:r w:rsidR="000644B0" w:rsidRPr="007B25AE">
        <w:rPr>
          <w:rFonts w:ascii="Baskerville" w:eastAsia="MS PMincho" w:hAnsi="Baskerville" w:cs="Arabic Typesetting"/>
        </w:rPr>
        <w:t xml:space="preserve"> that housed</w:t>
      </w:r>
      <w:r w:rsidR="00455F66" w:rsidRPr="007B25AE">
        <w:rPr>
          <w:rFonts w:ascii="Baskerville" w:eastAsia="MS PMincho" w:hAnsi="Baskerville" w:cs="Arabic Typesetting"/>
        </w:rPr>
        <w:t xml:space="preserve"> </w:t>
      </w:r>
      <w:r w:rsidR="00E20288" w:rsidRPr="007B25AE">
        <w:rPr>
          <w:rFonts w:ascii="Baskerville" w:eastAsia="MS PMincho" w:hAnsi="Baskerville" w:cs="Arabic Typesetting"/>
        </w:rPr>
        <w:t xml:space="preserve">the </w:t>
      </w:r>
      <w:r w:rsidR="007772C0" w:rsidRPr="007B25AE">
        <w:rPr>
          <w:rFonts w:ascii="Baskerville" w:eastAsia="MS PMincho" w:hAnsi="Baskerville" w:cs="Arabic Typesetting"/>
        </w:rPr>
        <w:t>little</w:t>
      </w:r>
      <w:r w:rsidRPr="007B25AE">
        <w:rPr>
          <w:rFonts w:ascii="Baskerville" w:eastAsia="MS PMincho" w:hAnsi="Baskerville" w:cs="Arabic Typesetting"/>
        </w:rPr>
        <w:t xml:space="preserve"> </w:t>
      </w:r>
      <w:r w:rsidR="00455F66" w:rsidRPr="007B25AE">
        <w:rPr>
          <w:rFonts w:ascii="Baskerville" w:eastAsia="MS PMincho" w:hAnsi="Baskerville" w:cs="Arabic Typesetting"/>
        </w:rPr>
        <w:t>colored</w:t>
      </w:r>
      <w:r w:rsidR="000644B0" w:rsidRPr="007B25AE">
        <w:rPr>
          <w:rFonts w:ascii="Baskerville" w:eastAsia="MS PMincho" w:hAnsi="Baskerville" w:cs="Arabic Typesetting"/>
        </w:rPr>
        <w:t xml:space="preserve"> children</w:t>
      </w:r>
      <w:r w:rsidR="00E13C0C" w:rsidRPr="007B25AE">
        <w:rPr>
          <w:rFonts w:ascii="Baskerville" w:eastAsia="MS PMincho" w:hAnsi="Baskerville" w:cs="Arabic Typesetting"/>
        </w:rPr>
        <w:t>, it</w:t>
      </w:r>
      <w:r w:rsidR="000644B0" w:rsidRPr="007B25AE">
        <w:rPr>
          <w:rFonts w:ascii="Baskerville" w:eastAsia="MS PMincho" w:hAnsi="Baskerville" w:cs="Arabic Typesetting"/>
        </w:rPr>
        <w:t xml:space="preserve"> </w:t>
      </w:r>
      <w:r w:rsidR="00AF5AB3" w:rsidRPr="007B25AE">
        <w:rPr>
          <w:rFonts w:ascii="Baskerville" w:eastAsia="MS PMincho" w:hAnsi="Baskerville" w:cs="Arabic Typesetting"/>
        </w:rPr>
        <w:t>had</w:t>
      </w:r>
      <w:r w:rsidR="00455F66" w:rsidRPr="007B25AE">
        <w:rPr>
          <w:rFonts w:ascii="Baskerville" w:eastAsia="MS PMincho" w:hAnsi="Baskerville" w:cs="Arabic Typesetting"/>
        </w:rPr>
        <w:t>, in effect,</w:t>
      </w:r>
      <w:r w:rsidR="000D1438" w:rsidRPr="007B25AE">
        <w:rPr>
          <w:rFonts w:ascii="Baskerville" w:eastAsia="MS PMincho" w:hAnsi="Baskerville" w:cs="Arabic Typesetting"/>
        </w:rPr>
        <w:t xml:space="preserve"> </w:t>
      </w:r>
      <w:r w:rsidR="00625051" w:rsidRPr="007B25AE">
        <w:rPr>
          <w:rFonts w:ascii="Baskerville" w:eastAsia="MS PMincho" w:hAnsi="Baskerville" w:cs="Arabic Typesetting"/>
        </w:rPr>
        <w:t>slamm</w:t>
      </w:r>
      <w:r w:rsidR="00172E1D" w:rsidRPr="007B25AE">
        <w:rPr>
          <w:rFonts w:ascii="Baskerville" w:eastAsia="MS PMincho" w:hAnsi="Baskerville" w:cs="Arabic Typesetting"/>
        </w:rPr>
        <w:t>ed</w:t>
      </w:r>
      <w:r w:rsidR="00625051" w:rsidRPr="007B25AE">
        <w:rPr>
          <w:rFonts w:ascii="Baskerville" w:eastAsia="MS PMincho" w:hAnsi="Baskerville" w:cs="Arabic Typesetting"/>
        </w:rPr>
        <w:t xml:space="preserve"> the</w:t>
      </w:r>
      <w:r w:rsidR="00455F66" w:rsidRPr="007B25AE">
        <w:rPr>
          <w:rFonts w:ascii="Baskerville" w:eastAsia="MS PMincho" w:hAnsi="Baskerville" w:cs="Arabic Typesetting"/>
        </w:rPr>
        <w:t xml:space="preserve"> American school</w:t>
      </w:r>
      <w:r w:rsidR="000D1438" w:rsidRPr="007B25AE">
        <w:rPr>
          <w:rFonts w:ascii="Baskerville" w:eastAsia="MS PMincho" w:hAnsi="Baskerville" w:cs="Arabic Typesetting"/>
        </w:rPr>
        <w:t xml:space="preserve"> door</w:t>
      </w:r>
      <w:r w:rsidRPr="007B25AE">
        <w:rPr>
          <w:rFonts w:ascii="Baskerville" w:eastAsia="MS PMincho" w:hAnsi="Baskerville" w:cs="Arabic Typesetting"/>
        </w:rPr>
        <w:t>s</w:t>
      </w:r>
      <w:r w:rsidR="000D1438" w:rsidRPr="007B25AE">
        <w:rPr>
          <w:rFonts w:ascii="Baskerville" w:eastAsia="MS PMincho" w:hAnsi="Baskerville" w:cs="Arabic Typesetting"/>
        </w:rPr>
        <w:t xml:space="preserve"> in the faces of teachers of color</w:t>
      </w:r>
      <w:r w:rsidR="007772C0" w:rsidRPr="007B25AE">
        <w:rPr>
          <w:rFonts w:ascii="Baskerville" w:eastAsia="MS PMincho" w:hAnsi="Baskerville" w:cs="Arabic Typesetting"/>
        </w:rPr>
        <w:t>.  S</w:t>
      </w:r>
      <w:r w:rsidR="00D8214F" w:rsidRPr="007B25AE">
        <w:rPr>
          <w:rFonts w:ascii="Baskerville" w:eastAsia="MS PMincho" w:hAnsi="Baskerville" w:cs="Arabic Typesetting"/>
        </w:rPr>
        <w:t xml:space="preserve">imply </w:t>
      </w:r>
      <w:r w:rsidR="007772C0" w:rsidRPr="007B25AE">
        <w:rPr>
          <w:rFonts w:ascii="Baskerville" w:eastAsia="MS PMincho" w:hAnsi="Baskerville" w:cs="Arabic Typesetting"/>
        </w:rPr>
        <w:t>put,</w:t>
      </w:r>
      <w:r w:rsidR="00D8214F" w:rsidRPr="007B25AE">
        <w:rPr>
          <w:rFonts w:ascii="Baskerville" w:eastAsia="MS PMincho" w:hAnsi="Baskerville" w:cs="Arabic Typesetting"/>
        </w:rPr>
        <w:t xml:space="preserve"> </w:t>
      </w:r>
      <w:r w:rsidR="00486D67" w:rsidRPr="007B25AE">
        <w:rPr>
          <w:rFonts w:ascii="Baskerville" w:eastAsia="MS PMincho" w:hAnsi="Baskerville" w:cs="Arabic Typesetting"/>
        </w:rPr>
        <w:t>Brown</w:t>
      </w:r>
      <w:r w:rsidR="00D8214F" w:rsidRPr="007B25AE">
        <w:rPr>
          <w:rFonts w:ascii="Baskerville" w:eastAsia="MS PMincho" w:hAnsi="Baskerville" w:cs="Arabic Typesetting"/>
        </w:rPr>
        <w:t xml:space="preserve"> did not go far enough</w:t>
      </w:r>
      <w:r w:rsidR="000D1438" w:rsidRPr="007B25AE">
        <w:rPr>
          <w:rFonts w:ascii="Baskerville" w:eastAsia="MS PMincho" w:hAnsi="Baskerville" w:cs="Arabic Typesetting"/>
        </w:rPr>
        <w:t>.</w:t>
      </w:r>
    </w:p>
    <w:p w14:paraId="333DC001" w14:textId="423581DF" w:rsidR="009B0627" w:rsidRPr="007B25AE" w:rsidRDefault="00BE35D7" w:rsidP="00471B0D">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 </w:t>
      </w:r>
      <w:r w:rsidR="00977DE7" w:rsidRPr="007B25AE">
        <w:rPr>
          <w:rFonts w:ascii="Baskerville" w:eastAsia="MS PMincho" w:hAnsi="Baskerville" w:cs="Arabic Typesetting"/>
        </w:rPr>
        <w:t xml:space="preserve">A decade </w:t>
      </w:r>
      <w:r w:rsidR="00891BA2" w:rsidRPr="007B25AE">
        <w:rPr>
          <w:rFonts w:ascii="Baskerville" w:eastAsia="MS PMincho" w:hAnsi="Baskerville" w:cs="Arabic Typesetting"/>
        </w:rPr>
        <w:t>after the Brown decision</w:t>
      </w:r>
      <w:r w:rsidR="00977DE7" w:rsidRPr="007B25AE">
        <w:rPr>
          <w:rFonts w:ascii="Baskerville" w:eastAsia="MS PMincho" w:hAnsi="Baskerville" w:cs="Arabic Typesetting"/>
        </w:rPr>
        <w:t xml:space="preserve">, </w:t>
      </w:r>
      <w:r w:rsidR="00BA709D" w:rsidRPr="007B25AE">
        <w:rPr>
          <w:rFonts w:ascii="Baskerville" w:eastAsia="MS PMincho" w:hAnsi="Baskerville" w:cs="Arabic Typesetting"/>
        </w:rPr>
        <w:t>a law was passe</w:t>
      </w:r>
      <w:r w:rsidR="00FA291F" w:rsidRPr="007B25AE">
        <w:rPr>
          <w:rFonts w:ascii="Baskerville" w:eastAsia="MS PMincho" w:hAnsi="Baskerville" w:cs="Arabic Typesetting"/>
        </w:rPr>
        <w:t>d</w:t>
      </w:r>
      <w:r w:rsidR="00596155" w:rsidRPr="007B25AE">
        <w:rPr>
          <w:rFonts w:ascii="Baskerville" w:eastAsia="MS PMincho" w:hAnsi="Baskerville" w:cs="Arabic Typesetting"/>
        </w:rPr>
        <w:t xml:space="preserve"> </w:t>
      </w:r>
      <w:r w:rsidR="00BA709D" w:rsidRPr="007B25AE">
        <w:rPr>
          <w:rFonts w:ascii="Baskerville" w:eastAsia="MS PMincho" w:hAnsi="Baskerville" w:cs="Arabic Typesetting"/>
        </w:rPr>
        <w:t>(Title VII of the Civil Rights Act of 1964; amended in vol.42, US Code. SEC. 2000e-2. [section 703])</w:t>
      </w:r>
      <w:r w:rsidR="00596155" w:rsidRPr="007B25AE">
        <w:rPr>
          <w:rFonts w:ascii="Baskerville" w:eastAsia="MS PMincho" w:hAnsi="Baskerville" w:cs="Arabic Typesetting"/>
        </w:rPr>
        <w:t xml:space="preserve"> </w:t>
      </w:r>
      <w:r w:rsidR="009C26DF" w:rsidRPr="007B25AE">
        <w:rPr>
          <w:rFonts w:ascii="Baskerville" w:eastAsia="MS PMincho" w:hAnsi="Baskerville" w:cs="Arabic Typesetting"/>
        </w:rPr>
        <w:t>t</w:t>
      </w:r>
      <w:r w:rsidR="00D8214F" w:rsidRPr="007B25AE">
        <w:rPr>
          <w:rFonts w:ascii="Baskerville" w:eastAsia="MS PMincho" w:hAnsi="Baskerville" w:cs="Arabic Typesetting"/>
        </w:rPr>
        <w:t>h</w:t>
      </w:r>
      <w:r w:rsidR="009C26DF" w:rsidRPr="007B25AE">
        <w:rPr>
          <w:rFonts w:ascii="Baskerville" w:eastAsia="MS PMincho" w:hAnsi="Baskerville" w:cs="Arabic Typesetting"/>
        </w:rPr>
        <w:t>at</w:t>
      </w:r>
      <w:r w:rsidR="00977DE7" w:rsidRPr="007B25AE">
        <w:rPr>
          <w:rFonts w:ascii="Baskerville" w:eastAsia="MS PMincho" w:hAnsi="Baskerville" w:cs="Arabic Typesetting"/>
        </w:rPr>
        <w:t xml:space="preserve"> </w:t>
      </w:r>
      <w:r w:rsidR="00FA291F" w:rsidRPr="007B25AE">
        <w:rPr>
          <w:rFonts w:ascii="Baskerville" w:eastAsia="MS PMincho" w:hAnsi="Baskerville" w:cs="Arabic Typesetting"/>
        </w:rPr>
        <w:t xml:space="preserve">provided </w:t>
      </w:r>
      <w:r w:rsidR="00105626" w:rsidRPr="007B25AE">
        <w:rPr>
          <w:rFonts w:ascii="Baskerville" w:eastAsia="MS PMincho" w:hAnsi="Baskerville" w:cs="Arabic Typesetting"/>
        </w:rPr>
        <w:t>that</w:t>
      </w:r>
      <w:r w:rsidR="002E76EE" w:rsidRPr="007B25AE">
        <w:rPr>
          <w:rFonts w:ascii="Baskerville" w:eastAsia="MS PMincho" w:hAnsi="Baskerville" w:cs="Arabic Typesetting"/>
        </w:rPr>
        <w:t xml:space="preserve"> vital</w:t>
      </w:r>
      <w:r w:rsidR="00FA291F" w:rsidRPr="007B25AE">
        <w:rPr>
          <w:rFonts w:ascii="Baskerville" w:eastAsia="MS PMincho" w:hAnsi="Baskerville" w:cs="Arabic Typesetting"/>
        </w:rPr>
        <w:t xml:space="preserve"> </w:t>
      </w:r>
      <w:r w:rsidR="00D85A14" w:rsidRPr="007B25AE">
        <w:rPr>
          <w:rFonts w:ascii="Baskerville" w:eastAsia="MS PMincho" w:hAnsi="Baskerville" w:cs="Arabic Typesetting"/>
        </w:rPr>
        <w:t>missing</w:t>
      </w:r>
      <w:r w:rsidR="00977DE7" w:rsidRPr="007B25AE">
        <w:rPr>
          <w:rFonts w:ascii="Baskerville" w:eastAsia="MS PMincho" w:hAnsi="Baskerville" w:cs="Arabic Typesetting"/>
        </w:rPr>
        <w:t xml:space="preserve"> piece </w:t>
      </w:r>
      <w:r w:rsidR="00B53DBD" w:rsidRPr="007B25AE">
        <w:rPr>
          <w:rFonts w:ascii="Baskerville" w:eastAsia="MS PMincho" w:hAnsi="Baskerville" w:cs="Arabic Typesetting"/>
        </w:rPr>
        <w:t>which</w:t>
      </w:r>
      <w:r w:rsidR="00977DE7" w:rsidRPr="007B25AE">
        <w:rPr>
          <w:rFonts w:ascii="Baskerville" w:eastAsia="MS PMincho" w:hAnsi="Baskerville" w:cs="Arabic Typesetting"/>
        </w:rPr>
        <w:t xml:space="preserve"> </w:t>
      </w:r>
      <w:r w:rsidR="007772C0" w:rsidRPr="007B25AE">
        <w:rPr>
          <w:rFonts w:ascii="Baskerville" w:eastAsia="MS PMincho" w:hAnsi="Baskerville" w:cs="Arabic Typesetting"/>
        </w:rPr>
        <w:t xml:space="preserve">should have snapped right in </w:t>
      </w:r>
      <w:r w:rsidR="001C1D11" w:rsidRPr="007B25AE">
        <w:rPr>
          <w:rFonts w:ascii="Baskerville" w:eastAsia="MS PMincho" w:hAnsi="Baskerville" w:cs="Arabic Typesetting"/>
        </w:rPr>
        <w:t xml:space="preserve">place </w:t>
      </w:r>
      <w:r w:rsidR="007772C0" w:rsidRPr="007B25AE">
        <w:rPr>
          <w:rFonts w:ascii="Baskerville" w:eastAsia="MS PMincho" w:hAnsi="Baskerville" w:cs="Arabic Typesetting"/>
        </w:rPr>
        <w:t xml:space="preserve">to </w:t>
      </w:r>
      <w:r w:rsidR="00154BD4" w:rsidRPr="007B25AE">
        <w:rPr>
          <w:rFonts w:ascii="Baskerville" w:eastAsia="MS PMincho" w:hAnsi="Baskerville" w:cs="Arabic Typesetting"/>
        </w:rPr>
        <w:t xml:space="preserve">optimize </w:t>
      </w:r>
      <w:r w:rsidR="00FA291F" w:rsidRPr="007B25AE">
        <w:rPr>
          <w:rFonts w:ascii="Baskerville" w:eastAsia="MS PMincho" w:hAnsi="Baskerville" w:cs="Arabic Typesetting"/>
        </w:rPr>
        <w:t>Brown</w:t>
      </w:r>
      <w:r w:rsidR="002E76EE" w:rsidRPr="007B25AE">
        <w:rPr>
          <w:rFonts w:ascii="Baskerville" w:eastAsia="MS PMincho" w:hAnsi="Baskerville" w:cs="Arabic Typesetting"/>
        </w:rPr>
        <w:t xml:space="preserve">. </w:t>
      </w:r>
      <w:r w:rsidR="004E195D" w:rsidRPr="007B25AE">
        <w:rPr>
          <w:rFonts w:ascii="Baskerville" w:eastAsia="MS PMincho" w:hAnsi="Baskerville" w:cs="Arabic Typesetting"/>
        </w:rPr>
        <w:t>T</w:t>
      </w:r>
      <w:r w:rsidR="00B53DBD" w:rsidRPr="007B25AE">
        <w:rPr>
          <w:rFonts w:ascii="Baskerville" w:eastAsia="MS PMincho" w:hAnsi="Baskerville" w:cs="Arabic Typesetting"/>
        </w:rPr>
        <w:t>o me</w:t>
      </w:r>
      <w:r w:rsidR="007772C0" w:rsidRPr="007B25AE">
        <w:rPr>
          <w:rFonts w:ascii="Baskerville" w:eastAsia="MS PMincho" w:hAnsi="Baskerville" w:cs="Arabic Typesetting"/>
        </w:rPr>
        <w:t>,</w:t>
      </w:r>
      <w:r w:rsidR="00B53DBD" w:rsidRPr="007B25AE">
        <w:rPr>
          <w:rFonts w:ascii="Baskerville" w:eastAsia="MS PMincho" w:hAnsi="Baskerville" w:cs="Arabic Typesetting"/>
        </w:rPr>
        <w:t xml:space="preserve"> t</w:t>
      </w:r>
      <w:r w:rsidR="004E195D" w:rsidRPr="007B25AE">
        <w:rPr>
          <w:rFonts w:ascii="Baskerville" w:eastAsia="MS PMincho" w:hAnsi="Baskerville" w:cs="Arabic Typesetting"/>
        </w:rPr>
        <w:t>he</w:t>
      </w:r>
      <w:r w:rsidR="00105626" w:rsidRPr="007B25AE">
        <w:rPr>
          <w:rFonts w:ascii="Baskerville" w:eastAsia="MS PMincho" w:hAnsi="Baskerville" w:cs="Arabic Typesetting"/>
        </w:rPr>
        <w:t>re is</w:t>
      </w:r>
      <w:r w:rsidR="004E195D" w:rsidRPr="007B25AE">
        <w:rPr>
          <w:rFonts w:ascii="Baskerville" w:eastAsia="MS PMincho" w:hAnsi="Baskerville" w:cs="Arabic Typesetting"/>
        </w:rPr>
        <w:t xml:space="preserve"> </w:t>
      </w:r>
      <w:r w:rsidR="007772C0" w:rsidRPr="007B25AE">
        <w:rPr>
          <w:rFonts w:ascii="Baskerville" w:eastAsia="MS PMincho" w:hAnsi="Baskerville" w:cs="Arabic Typesetting"/>
        </w:rPr>
        <w:t>a natural</w:t>
      </w:r>
      <w:r w:rsidR="00471B0D" w:rsidRPr="007B25AE">
        <w:rPr>
          <w:rFonts w:ascii="Baskerville" w:eastAsia="MS PMincho" w:hAnsi="Baskerville" w:cs="Arabic Typesetting"/>
        </w:rPr>
        <w:t xml:space="preserve"> connection between </w:t>
      </w:r>
      <w:r w:rsidR="00BA5C8B" w:rsidRPr="007B25AE">
        <w:rPr>
          <w:rFonts w:ascii="Baskerville" w:eastAsia="MS PMincho" w:hAnsi="Baskerville" w:cs="Arabic Typesetting"/>
        </w:rPr>
        <w:t>th</w:t>
      </w:r>
      <w:r w:rsidR="00B53DBD" w:rsidRPr="007B25AE">
        <w:rPr>
          <w:rFonts w:ascii="Baskerville" w:eastAsia="MS PMincho" w:hAnsi="Baskerville" w:cs="Arabic Typesetting"/>
        </w:rPr>
        <w:t>e 1954</w:t>
      </w:r>
      <w:r w:rsidR="00BA5C8B" w:rsidRPr="007B25AE">
        <w:rPr>
          <w:rFonts w:ascii="Baskerville" w:eastAsia="MS PMincho" w:hAnsi="Baskerville" w:cs="Arabic Typesetting"/>
        </w:rPr>
        <w:t xml:space="preserve"> school desegregation decision and </w:t>
      </w:r>
      <w:r w:rsidR="00471B0D" w:rsidRPr="007B25AE">
        <w:rPr>
          <w:rFonts w:ascii="Baskerville" w:eastAsia="MS PMincho" w:hAnsi="Baskerville" w:cs="Arabic Typesetting"/>
        </w:rPr>
        <w:t>the</w:t>
      </w:r>
      <w:r w:rsidR="00BA5C8B" w:rsidRPr="007B25AE">
        <w:rPr>
          <w:rFonts w:ascii="Baskerville" w:eastAsia="MS PMincho" w:hAnsi="Baskerville" w:cs="Arabic Typesetting"/>
        </w:rPr>
        <w:t xml:space="preserve"> </w:t>
      </w:r>
      <w:r w:rsidR="00B53DBD" w:rsidRPr="007B25AE">
        <w:rPr>
          <w:rFonts w:ascii="Baskerville" w:eastAsia="MS PMincho" w:hAnsi="Baskerville" w:cs="Arabic Typesetting"/>
        </w:rPr>
        <w:t xml:space="preserve">1964 </w:t>
      </w:r>
      <w:r w:rsidR="004E195D" w:rsidRPr="007B25AE">
        <w:rPr>
          <w:rFonts w:ascii="Baskerville" w:eastAsia="MS PMincho" w:hAnsi="Baskerville" w:cs="Arabic Typesetting"/>
        </w:rPr>
        <w:t>equal</w:t>
      </w:r>
      <w:r w:rsidR="00471B0D" w:rsidRPr="007B25AE">
        <w:rPr>
          <w:rFonts w:ascii="Baskerville" w:eastAsia="MS PMincho" w:hAnsi="Baskerville" w:cs="Arabic Typesetting"/>
        </w:rPr>
        <w:t xml:space="preserve"> employment law</w:t>
      </w:r>
      <w:r w:rsidR="00105626" w:rsidRPr="007B25AE">
        <w:rPr>
          <w:rFonts w:ascii="Baskerville" w:eastAsia="MS PMincho" w:hAnsi="Baskerville" w:cs="Arabic Typesetting"/>
        </w:rPr>
        <w:t xml:space="preserve">. </w:t>
      </w:r>
      <w:r w:rsidR="00E13C0C" w:rsidRPr="007B25AE">
        <w:rPr>
          <w:rFonts w:ascii="Baskerville" w:eastAsia="MS PMincho" w:hAnsi="Baskerville" w:cs="Arabic Typesetting"/>
        </w:rPr>
        <w:t xml:space="preserve"> </w:t>
      </w:r>
      <w:r w:rsidR="00105626" w:rsidRPr="007B25AE">
        <w:rPr>
          <w:rFonts w:ascii="Baskerville" w:eastAsia="MS PMincho" w:hAnsi="Baskerville" w:cs="Arabic Typesetting"/>
        </w:rPr>
        <w:t>A</w:t>
      </w:r>
      <w:r w:rsidR="00E16EDA" w:rsidRPr="007B25AE">
        <w:rPr>
          <w:rFonts w:ascii="Baskerville" w:eastAsia="MS PMincho" w:hAnsi="Baskerville" w:cs="Arabic Typesetting"/>
        </w:rPr>
        <w:t>lthough</w:t>
      </w:r>
      <w:r w:rsidR="001C1D11" w:rsidRPr="007B25AE">
        <w:rPr>
          <w:rFonts w:ascii="Baskerville" w:eastAsia="MS PMincho" w:hAnsi="Baskerville" w:cs="Arabic Typesetting"/>
        </w:rPr>
        <w:t>,</w:t>
      </w:r>
      <w:r w:rsidR="00EF77C6" w:rsidRPr="007B25AE">
        <w:rPr>
          <w:rFonts w:ascii="Baskerville" w:eastAsia="MS PMincho" w:hAnsi="Baskerville" w:cs="Arabic Typesetting"/>
        </w:rPr>
        <w:t xml:space="preserve"> </w:t>
      </w:r>
      <w:r w:rsidR="00AE54EF" w:rsidRPr="007B25AE">
        <w:rPr>
          <w:rFonts w:ascii="Baskerville" w:eastAsia="MS PMincho" w:hAnsi="Baskerville" w:cs="Arabic Typesetting"/>
        </w:rPr>
        <w:t xml:space="preserve">apparently </w:t>
      </w:r>
      <w:r w:rsidR="00E16EDA" w:rsidRPr="007B25AE">
        <w:rPr>
          <w:rFonts w:ascii="Baskerville" w:eastAsia="MS PMincho" w:hAnsi="Baskerville" w:cs="Arabic Typesetting"/>
        </w:rPr>
        <w:t>uninten</w:t>
      </w:r>
      <w:r w:rsidR="00E13C0C" w:rsidRPr="007B25AE">
        <w:rPr>
          <w:rFonts w:ascii="Baskerville" w:eastAsia="MS PMincho" w:hAnsi="Baskerville" w:cs="Arabic Typesetting"/>
        </w:rPr>
        <w:t>tional</w:t>
      </w:r>
      <w:r w:rsidR="004263F9" w:rsidRPr="007B25AE">
        <w:rPr>
          <w:rFonts w:ascii="Baskerville" w:eastAsia="MS PMincho" w:hAnsi="Baskerville" w:cs="Arabic Typesetting"/>
        </w:rPr>
        <w:t xml:space="preserve">, </w:t>
      </w:r>
      <w:r w:rsidR="00105626" w:rsidRPr="007B25AE">
        <w:rPr>
          <w:rFonts w:ascii="Baskerville" w:eastAsia="MS PMincho" w:hAnsi="Baskerville" w:cs="Arabic Typesetting"/>
        </w:rPr>
        <w:t>the latter law</w:t>
      </w:r>
      <w:r w:rsidR="004263F9" w:rsidRPr="007B25AE">
        <w:rPr>
          <w:rFonts w:ascii="Baskerville" w:eastAsia="MS PMincho" w:hAnsi="Baskerville" w:cs="Arabic Typesetting"/>
        </w:rPr>
        <w:t xml:space="preserve"> </w:t>
      </w:r>
      <w:r w:rsidR="00105626" w:rsidRPr="007B25AE">
        <w:rPr>
          <w:rFonts w:ascii="Baskerville" w:eastAsia="MS PMincho" w:hAnsi="Baskerville" w:cs="Arabic Typesetting"/>
        </w:rPr>
        <w:t xml:space="preserve">seems </w:t>
      </w:r>
      <w:r w:rsidR="00A46935" w:rsidRPr="007B25AE">
        <w:rPr>
          <w:rFonts w:ascii="Baskerville" w:eastAsia="MS PMincho" w:hAnsi="Baskerville" w:cs="Arabic Typesetting"/>
        </w:rPr>
        <w:t xml:space="preserve">perfectly </w:t>
      </w:r>
      <w:r w:rsidR="00105626" w:rsidRPr="007B25AE">
        <w:rPr>
          <w:rFonts w:ascii="Baskerville" w:eastAsia="MS PMincho" w:hAnsi="Baskerville" w:cs="Arabic Typesetting"/>
        </w:rPr>
        <w:t>position</w:t>
      </w:r>
      <w:r w:rsidR="00A46935" w:rsidRPr="007B25AE">
        <w:rPr>
          <w:rFonts w:ascii="Baskerville" w:eastAsia="MS PMincho" w:hAnsi="Baskerville" w:cs="Arabic Typesetting"/>
        </w:rPr>
        <w:t xml:space="preserve">ed </w:t>
      </w:r>
      <w:r w:rsidR="00105626" w:rsidRPr="007B25AE">
        <w:rPr>
          <w:rFonts w:ascii="Baskerville" w:eastAsia="MS PMincho" w:hAnsi="Baskerville" w:cs="Arabic Typesetting"/>
        </w:rPr>
        <w:t xml:space="preserve">to serve </w:t>
      </w:r>
      <w:r w:rsidR="00A46935" w:rsidRPr="007B25AE">
        <w:rPr>
          <w:rFonts w:ascii="Baskerville" w:eastAsia="MS PMincho" w:hAnsi="Baskerville" w:cs="Arabic Typesetting"/>
        </w:rPr>
        <w:t xml:space="preserve">as </w:t>
      </w:r>
      <w:r w:rsidR="00587367" w:rsidRPr="007B25AE">
        <w:rPr>
          <w:rFonts w:ascii="Baskerville" w:eastAsia="MS PMincho" w:hAnsi="Baskerville" w:cs="Arabic Typesetting"/>
        </w:rPr>
        <w:t>t</w:t>
      </w:r>
      <w:r w:rsidR="00A46935" w:rsidRPr="007B25AE">
        <w:rPr>
          <w:rFonts w:ascii="Baskerville" w:eastAsia="MS PMincho" w:hAnsi="Baskerville" w:cs="Arabic Typesetting"/>
        </w:rPr>
        <w:t>he</w:t>
      </w:r>
      <w:r w:rsidR="00495BF6" w:rsidRPr="007B25AE">
        <w:rPr>
          <w:rFonts w:ascii="Baskerville" w:eastAsia="MS PMincho" w:hAnsi="Baskerville" w:cs="Arabic Typesetting"/>
        </w:rPr>
        <w:t xml:space="preserve"> </w:t>
      </w:r>
      <w:r w:rsidR="00A300E4" w:rsidRPr="007B25AE">
        <w:rPr>
          <w:rFonts w:ascii="Baskerville" w:eastAsia="MS PMincho" w:hAnsi="Baskerville" w:cs="Arabic Typesetting"/>
        </w:rPr>
        <w:t>much</w:t>
      </w:r>
      <w:r w:rsidR="00F44382" w:rsidRPr="007B25AE">
        <w:rPr>
          <w:rFonts w:ascii="Baskerville" w:eastAsia="MS PMincho" w:hAnsi="Baskerville" w:cs="Arabic Typesetting"/>
        </w:rPr>
        <w:t>-</w:t>
      </w:r>
      <w:r w:rsidR="00A300E4" w:rsidRPr="007B25AE">
        <w:rPr>
          <w:rFonts w:ascii="Baskerville" w:eastAsia="MS PMincho" w:hAnsi="Baskerville" w:cs="Arabic Typesetting"/>
        </w:rPr>
        <w:t>needed addendum</w:t>
      </w:r>
      <w:r w:rsidR="00AE54EF" w:rsidRPr="007B25AE">
        <w:rPr>
          <w:rFonts w:ascii="Baskerville" w:eastAsia="MS PMincho" w:hAnsi="Baskerville" w:cs="Arabic Typesetting"/>
        </w:rPr>
        <w:t xml:space="preserve"> </w:t>
      </w:r>
      <w:r w:rsidR="00B53DBD" w:rsidRPr="007B25AE">
        <w:rPr>
          <w:rFonts w:ascii="Baskerville" w:eastAsia="MS PMincho" w:hAnsi="Baskerville" w:cs="Arabic Typesetting"/>
        </w:rPr>
        <w:t xml:space="preserve">that </w:t>
      </w:r>
      <w:r w:rsidR="00E90A40" w:rsidRPr="007B25AE">
        <w:rPr>
          <w:rFonts w:ascii="Baskerville" w:eastAsia="MS PMincho" w:hAnsi="Baskerville" w:cs="Arabic Typesetting"/>
        </w:rPr>
        <w:t>c</w:t>
      </w:r>
      <w:r w:rsidR="00B53DBD" w:rsidRPr="007B25AE">
        <w:rPr>
          <w:rFonts w:ascii="Baskerville" w:eastAsia="MS PMincho" w:hAnsi="Baskerville" w:cs="Arabic Typesetting"/>
        </w:rPr>
        <w:t>ould</w:t>
      </w:r>
      <w:r w:rsidR="00D8214F" w:rsidRPr="007B25AE">
        <w:rPr>
          <w:rFonts w:ascii="Baskerville" w:eastAsia="MS PMincho" w:hAnsi="Baskerville" w:cs="Arabic Typesetting"/>
        </w:rPr>
        <w:t xml:space="preserve"> </w:t>
      </w:r>
      <w:r w:rsidR="00105626" w:rsidRPr="007B25AE">
        <w:rPr>
          <w:rFonts w:ascii="Baskerville" w:eastAsia="MS PMincho" w:hAnsi="Baskerville" w:cs="Arabic Typesetting"/>
        </w:rPr>
        <w:t xml:space="preserve">help </w:t>
      </w:r>
      <w:r w:rsidR="00D8214F" w:rsidRPr="007B25AE">
        <w:rPr>
          <w:rFonts w:ascii="Baskerville" w:eastAsia="MS PMincho" w:hAnsi="Baskerville" w:cs="Arabic Typesetting"/>
        </w:rPr>
        <w:t>Brown</w:t>
      </w:r>
      <w:r w:rsidR="00105626" w:rsidRPr="007B25AE">
        <w:rPr>
          <w:rFonts w:ascii="Baskerville" w:eastAsia="MS PMincho" w:hAnsi="Baskerville" w:cs="Arabic Typesetting"/>
        </w:rPr>
        <w:t xml:space="preserve"> achieve</w:t>
      </w:r>
      <w:r w:rsidR="00AE54EF" w:rsidRPr="007B25AE">
        <w:rPr>
          <w:rFonts w:ascii="Baskerville" w:eastAsia="MS PMincho" w:hAnsi="Baskerville" w:cs="Arabic Typesetting"/>
        </w:rPr>
        <w:t xml:space="preserve"> its ultimate objective of equal education in </w:t>
      </w:r>
      <w:r w:rsidR="00EF77C6" w:rsidRPr="007B25AE">
        <w:rPr>
          <w:rFonts w:ascii="Baskerville" w:eastAsia="MS PMincho" w:hAnsi="Baskerville" w:cs="Arabic Typesetting"/>
        </w:rPr>
        <w:t>th</w:t>
      </w:r>
      <w:r w:rsidR="00891BA2" w:rsidRPr="007B25AE">
        <w:rPr>
          <w:rFonts w:ascii="Baskerville" w:eastAsia="MS PMincho" w:hAnsi="Baskerville" w:cs="Arabic Typesetting"/>
        </w:rPr>
        <w:t>is</w:t>
      </w:r>
      <w:r w:rsidR="00EF77C6" w:rsidRPr="007B25AE">
        <w:rPr>
          <w:rFonts w:ascii="Baskerville" w:eastAsia="MS PMincho" w:hAnsi="Baskerville" w:cs="Arabic Typesetting"/>
        </w:rPr>
        <w:t xml:space="preserve"> extremely</w:t>
      </w:r>
      <w:r w:rsidR="00AE54EF" w:rsidRPr="007B25AE">
        <w:rPr>
          <w:rFonts w:ascii="Baskerville" w:eastAsia="MS PMincho" w:hAnsi="Baskerville" w:cs="Arabic Typesetting"/>
        </w:rPr>
        <w:t xml:space="preserve"> demographically diverse </w:t>
      </w:r>
      <w:r w:rsidR="00EF77C6" w:rsidRPr="007B25AE">
        <w:rPr>
          <w:rFonts w:ascii="Baskerville" w:eastAsia="MS PMincho" w:hAnsi="Baskerville" w:cs="Arabic Typesetting"/>
        </w:rPr>
        <w:t>American society</w:t>
      </w:r>
      <w:r w:rsidR="00A300E4" w:rsidRPr="007B25AE">
        <w:rPr>
          <w:rFonts w:ascii="Baskerville" w:eastAsia="MS PMincho" w:hAnsi="Baskerville" w:cs="Arabic Typesetting"/>
        </w:rPr>
        <w:t xml:space="preserve">. </w:t>
      </w:r>
    </w:p>
    <w:p w14:paraId="0F8F27BA" w14:textId="3FFFE4B4" w:rsidR="001C1D11" w:rsidRPr="007B25AE" w:rsidRDefault="009E6921" w:rsidP="00471B0D">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 By</w:t>
      </w:r>
      <w:r w:rsidR="00AE2374" w:rsidRPr="007B25AE">
        <w:rPr>
          <w:rFonts w:ascii="Baskerville" w:eastAsia="MS PMincho" w:hAnsi="Baskerville" w:cs="Arabic Typesetting"/>
        </w:rPr>
        <w:t xml:space="preserve"> applying Title VII</w:t>
      </w:r>
      <w:r w:rsidR="00486D67" w:rsidRPr="007B25AE">
        <w:rPr>
          <w:rFonts w:ascii="Baskerville" w:eastAsia="MS PMincho" w:hAnsi="Baskerville" w:cs="Arabic Typesetting"/>
        </w:rPr>
        <w:t xml:space="preserve"> to education, </w:t>
      </w:r>
      <w:r w:rsidR="00AE2374" w:rsidRPr="007B25AE">
        <w:rPr>
          <w:rFonts w:ascii="Baskerville" w:eastAsia="MS PMincho" w:hAnsi="Baskerville" w:cs="Arabic Typesetting"/>
        </w:rPr>
        <w:t xml:space="preserve">there would </w:t>
      </w:r>
      <w:r w:rsidRPr="007B25AE">
        <w:rPr>
          <w:rFonts w:ascii="Baskerville" w:eastAsia="MS PMincho" w:hAnsi="Baskerville" w:cs="Arabic Typesetting"/>
        </w:rPr>
        <w:t xml:space="preserve">obviously </w:t>
      </w:r>
      <w:r w:rsidR="00AE2374" w:rsidRPr="007B25AE">
        <w:rPr>
          <w:rFonts w:ascii="Baskerville" w:eastAsia="MS PMincho" w:hAnsi="Baskerville" w:cs="Arabic Typesetting"/>
        </w:rPr>
        <w:t xml:space="preserve">be some assurance </w:t>
      </w:r>
      <w:r w:rsidR="00D6600F" w:rsidRPr="007B25AE">
        <w:rPr>
          <w:rFonts w:ascii="Baskerville" w:eastAsia="MS PMincho" w:hAnsi="Baskerville" w:cs="Arabic Typesetting"/>
        </w:rPr>
        <w:t xml:space="preserve">that </w:t>
      </w:r>
      <w:r w:rsidR="00800D49" w:rsidRPr="007B25AE">
        <w:rPr>
          <w:rFonts w:ascii="Baskerville" w:eastAsia="MS PMincho" w:hAnsi="Baskerville" w:cs="Arabic Typesetting"/>
        </w:rPr>
        <w:t xml:space="preserve">Black </w:t>
      </w:r>
      <w:r w:rsidR="00D6600F" w:rsidRPr="007B25AE">
        <w:rPr>
          <w:rFonts w:ascii="Baskerville" w:eastAsia="MS PMincho" w:hAnsi="Baskerville" w:cs="Arabic Typesetting"/>
        </w:rPr>
        <w:t>teachers</w:t>
      </w:r>
      <w:r w:rsidR="00E16EDA" w:rsidRPr="007B25AE">
        <w:rPr>
          <w:rFonts w:ascii="Baskerville" w:eastAsia="MS PMincho" w:hAnsi="Baskerville" w:cs="Arabic Typesetting"/>
        </w:rPr>
        <w:t xml:space="preserve">, like </w:t>
      </w:r>
      <w:r w:rsidR="00800D49" w:rsidRPr="007B25AE">
        <w:rPr>
          <w:rFonts w:ascii="Baskerville" w:eastAsia="MS PMincho" w:hAnsi="Baskerville" w:cs="Arabic Typesetting"/>
        </w:rPr>
        <w:t xml:space="preserve">their </w:t>
      </w:r>
      <w:r w:rsidR="00E16EDA" w:rsidRPr="007B25AE">
        <w:rPr>
          <w:rFonts w:ascii="Baskerville" w:eastAsia="MS PMincho" w:hAnsi="Baskerville" w:cs="Arabic Typesetting"/>
        </w:rPr>
        <w:t xml:space="preserve">little </w:t>
      </w:r>
      <w:r w:rsidRPr="007B25AE">
        <w:rPr>
          <w:rFonts w:ascii="Baskerville" w:eastAsia="MS PMincho" w:hAnsi="Baskerville" w:cs="Arabic Typesetting"/>
        </w:rPr>
        <w:t>Black</w:t>
      </w:r>
      <w:r w:rsidR="00E16EDA" w:rsidRPr="007B25AE">
        <w:rPr>
          <w:rFonts w:ascii="Baskerville" w:eastAsia="MS PMincho" w:hAnsi="Baskerville" w:cs="Arabic Typesetting"/>
        </w:rPr>
        <w:t xml:space="preserve"> </w:t>
      </w:r>
      <w:r w:rsidR="00EF77C6" w:rsidRPr="007B25AE">
        <w:rPr>
          <w:rFonts w:ascii="Baskerville" w:eastAsia="MS PMincho" w:hAnsi="Baskerville" w:cs="Arabic Typesetting"/>
        </w:rPr>
        <w:t>students</w:t>
      </w:r>
      <w:r w:rsidR="00E16EDA" w:rsidRPr="007B25AE">
        <w:rPr>
          <w:rFonts w:ascii="Baskerville" w:eastAsia="MS PMincho" w:hAnsi="Baskerville" w:cs="Arabic Typesetting"/>
        </w:rPr>
        <w:t xml:space="preserve"> </w:t>
      </w:r>
      <w:r w:rsidR="00800D49" w:rsidRPr="007B25AE">
        <w:rPr>
          <w:rFonts w:ascii="Baskerville" w:eastAsia="MS PMincho" w:hAnsi="Baskerville" w:cs="Arabic Typesetting"/>
        </w:rPr>
        <w:t xml:space="preserve">who </w:t>
      </w:r>
      <w:r w:rsidR="00EF77C6" w:rsidRPr="007B25AE">
        <w:rPr>
          <w:rFonts w:ascii="Baskerville" w:eastAsia="MS PMincho" w:hAnsi="Baskerville" w:cs="Arabic Typesetting"/>
        </w:rPr>
        <w:t>had be</w:t>
      </w:r>
      <w:r w:rsidR="00C70743" w:rsidRPr="007B25AE">
        <w:rPr>
          <w:rFonts w:ascii="Baskerville" w:eastAsia="MS PMincho" w:hAnsi="Baskerville" w:cs="Arabic Typesetting"/>
        </w:rPr>
        <w:t>en</w:t>
      </w:r>
      <w:r w:rsidR="00E16EDA" w:rsidRPr="007B25AE">
        <w:rPr>
          <w:rFonts w:ascii="Baskerville" w:eastAsia="MS PMincho" w:hAnsi="Baskerville" w:cs="Arabic Typesetting"/>
        </w:rPr>
        <w:t xml:space="preserve"> sit</w:t>
      </w:r>
      <w:r w:rsidR="00C70743" w:rsidRPr="007B25AE">
        <w:rPr>
          <w:rFonts w:ascii="Baskerville" w:eastAsia="MS PMincho" w:hAnsi="Baskerville" w:cs="Arabic Typesetting"/>
        </w:rPr>
        <w:t>ting</w:t>
      </w:r>
      <w:r w:rsidR="00E16EDA" w:rsidRPr="007B25AE">
        <w:rPr>
          <w:rFonts w:ascii="Baskerville" w:eastAsia="MS PMincho" w:hAnsi="Baskerville" w:cs="Arabic Typesetting"/>
        </w:rPr>
        <w:t xml:space="preserve"> next to little White children</w:t>
      </w:r>
      <w:r w:rsidR="00EF77C6" w:rsidRPr="007B25AE">
        <w:rPr>
          <w:rFonts w:ascii="Baskerville" w:eastAsia="MS PMincho" w:hAnsi="Baskerville" w:cs="Arabic Typesetting"/>
        </w:rPr>
        <w:t xml:space="preserve"> in the same classrooms</w:t>
      </w:r>
      <w:r w:rsidR="009C26DF" w:rsidRPr="007B25AE">
        <w:rPr>
          <w:rFonts w:ascii="Baskerville" w:eastAsia="MS PMincho" w:hAnsi="Baskerville" w:cs="Arabic Typesetting"/>
        </w:rPr>
        <w:t>,</w:t>
      </w:r>
      <w:r w:rsidR="00486D67" w:rsidRPr="007B25AE">
        <w:rPr>
          <w:rFonts w:ascii="Baskerville" w:eastAsia="MS PMincho" w:hAnsi="Baskerville" w:cs="Arabic Typesetting"/>
        </w:rPr>
        <w:t xml:space="preserve"> since Brown</w:t>
      </w:r>
      <w:r w:rsidR="00800D49" w:rsidRPr="007B25AE">
        <w:rPr>
          <w:rFonts w:ascii="Baskerville" w:eastAsia="MS PMincho" w:hAnsi="Baskerville" w:cs="Arabic Typesetting"/>
        </w:rPr>
        <w:t>,</w:t>
      </w:r>
      <w:r w:rsidR="00E16EDA" w:rsidRPr="007B25AE">
        <w:rPr>
          <w:rFonts w:ascii="Baskerville" w:eastAsia="MS PMincho" w:hAnsi="Baskerville" w:cs="Arabic Typesetting"/>
        </w:rPr>
        <w:t xml:space="preserve"> </w:t>
      </w:r>
      <w:r w:rsidR="00D6600F" w:rsidRPr="007B25AE">
        <w:rPr>
          <w:rFonts w:ascii="Baskerville" w:eastAsia="MS PMincho" w:hAnsi="Baskerville" w:cs="Arabic Typesetting"/>
        </w:rPr>
        <w:t xml:space="preserve">could no longer </w:t>
      </w:r>
      <w:r w:rsidR="00D510D9" w:rsidRPr="007B25AE">
        <w:rPr>
          <w:rFonts w:ascii="Baskerville" w:eastAsia="MS PMincho" w:hAnsi="Baskerville" w:cs="Arabic Typesetting"/>
        </w:rPr>
        <w:t xml:space="preserve">be denied </w:t>
      </w:r>
      <w:r w:rsidR="008D1C3B" w:rsidRPr="007B25AE">
        <w:rPr>
          <w:rFonts w:ascii="Baskerville" w:eastAsia="MS PMincho" w:hAnsi="Baskerville" w:cs="Arabic Typesetting"/>
        </w:rPr>
        <w:t>a</w:t>
      </w:r>
      <w:r w:rsidR="00D510D9" w:rsidRPr="007B25AE">
        <w:rPr>
          <w:rFonts w:ascii="Baskerville" w:eastAsia="MS PMincho" w:hAnsi="Baskerville" w:cs="Arabic Typesetting"/>
        </w:rPr>
        <w:t xml:space="preserve"> place at the table </w:t>
      </w:r>
      <w:r w:rsidR="008D1C3B" w:rsidRPr="007B25AE">
        <w:rPr>
          <w:rFonts w:ascii="Baskerville" w:eastAsia="MS PMincho" w:hAnsi="Baskerville" w:cs="Arabic Typesetting"/>
        </w:rPr>
        <w:t>with their White counterparts</w:t>
      </w:r>
      <w:r w:rsidR="00E7646A" w:rsidRPr="007B25AE">
        <w:rPr>
          <w:rFonts w:ascii="Baskerville" w:eastAsia="MS PMincho" w:hAnsi="Baskerville" w:cs="Arabic Typesetting"/>
        </w:rPr>
        <w:t>,</w:t>
      </w:r>
      <w:r w:rsidR="00486D67" w:rsidRPr="007B25AE">
        <w:rPr>
          <w:rFonts w:ascii="Baskerville" w:eastAsia="MS PMincho" w:hAnsi="Baskerville" w:cs="Arabic Typesetting"/>
        </w:rPr>
        <w:t xml:space="preserve"> in faculty lounges</w:t>
      </w:r>
      <w:r w:rsidR="00690D4A" w:rsidRPr="007B25AE">
        <w:rPr>
          <w:rFonts w:ascii="Baskerville" w:eastAsia="MS PMincho" w:hAnsi="Baskerville" w:cs="Arabic Typesetting"/>
        </w:rPr>
        <w:t>, when they grow up</w:t>
      </w:r>
      <w:r w:rsidR="00D17EF3" w:rsidRPr="007B25AE">
        <w:rPr>
          <w:rFonts w:ascii="Baskerville" w:eastAsia="MS PMincho" w:hAnsi="Baskerville" w:cs="Arabic Typesetting"/>
        </w:rPr>
        <w:t xml:space="preserve">. </w:t>
      </w:r>
      <w:r w:rsidR="00800D49" w:rsidRPr="007B25AE">
        <w:rPr>
          <w:rFonts w:ascii="Baskerville" w:eastAsia="MS PMincho" w:hAnsi="Baskerville" w:cs="Arabic Typesetting"/>
        </w:rPr>
        <w:t xml:space="preserve"> Even </w:t>
      </w:r>
      <w:r w:rsidR="002676CD" w:rsidRPr="007B25AE">
        <w:rPr>
          <w:rFonts w:ascii="Baskerville" w:eastAsia="MS PMincho" w:hAnsi="Baskerville" w:cs="Arabic Typesetting"/>
        </w:rPr>
        <w:t xml:space="preserve">so, the failure of </w:t>
      </w:r>
      <w:r w:rsidR="00637E2B" w:rsidRPr="007B25AE">
        <w:rPr>
          <w:rFonts w:ascii="Baskerville" w:eastAsia="MS PMincho" w:hAnsi="Baskerville" w:cs="Arabic Typesetting"/>
        </w:rPr>
        <w:t xml:space="preserve">school systems </w:t>
      </w:r>
      <w:r w:rsidR="002676CD" w:rsidRPr="007B25AE">
        <w:rPr>
          <w:rFonts w:ascii="Baskerville" w:eastAsia="MS PMincho" w:hAnsi="Baskerville" w:cs="Arabic Typesetting"/>
        </w:rPr>
        <w:t>to consistently enforce both laws, separately</w:t>
      </w:r>
      <w:r w:rsidR="00AE0788" w:rsidRPr="007B25AE">
        <w:rPr>
          <w:rFonts w:ascii="Baskerville" w:eastAsia="MS PMincho" w:hAnsi="Baskerville" w:cs="Arabic Typesetting"/>
        </w:rPr>
        <w:t>,</w:t>
      </w:r>
      <w:r w:rsidR="002676CD" w:rsidRPr="007B25AE">
        <w:rPr>
          <w:rFonts w:ascii="Baskerville" w:eastAsia="MS PMincho" w:hAnsi="Baskerville" w:cs="Arabic Typesetting"/>
        </w:rPr>
        <w:t xml:space="preserve"> or </w:t>
      </w:r>
      <w:r w:rsidR="00C70743" w:rsidRPr="007B25AE">
        <w:rPr>
          <w:rFonts w:ascii="Baskerville" w:eastAsia="MS PMincho" w:hAnsi="Baskerville" w:cs="Arabic Typesetting"/>
        </w:rPr>
        <w:t>in tandem</w:t>
      </w:r>
      <w:r w:rsidR="002676CD" w:rsidRPr="007B25AE">
        <w:rPr>
          <w:rFonts w:ascii="Baskerville" w:eastAsia="MS PMincho" w:hAnsi="Baskerville" w:cs="Arabic Typesetting"/>
        </w:rPr>
        <w:t xml:space="preserve">, meant that the inspirational </w:t>
      </w:r>
      <w:r w:rsidR="001456B4" w:rsidRPr="007B25AE">
        <w:rPr>
          <w:rFonts w:ascii="Baskerville" w:eastAsia="MS PMincho" w:hAnsi="Baskerville" w:cs="Arabic Typesetting"/>
        </w:rPr>
        <w:t xml:space="preserve">influence of Black teachers upon </w:t>
      </w:r>
      <w:r w:rsidR="00C70743" w:rsidRPr="007B25AE">
        <w:rPr>
          <w:rFonts w:ascii="Baskerville" w:eastAsia="MS PMincho" w:hAnsi="Baskerville" w:cs="Arabic Typesetting"/>
        </w:rPr>
        <w:t xml:space="preserve">Black </w:t>
      </w:r>
      <w:r w:rsidR="001456B4" w:rsidRPr="007B25AE">
        <w:rPr>
          <w:rFonts w:ascii="Baskerville" w:eastAsia="MS PMincho" w:hAnsi="Baskerville" w:cs="Arabic Typesetting"/>
        </w:rPr>
        <w:t>children remained woefully lacking. Over the last sixty years,</w:t>
      </w:r>
      <w:r w:rsidR="00800D49" w:rsidRPr="007B25AE">
        <w:rPr>
          <w:rFonts w:ascii="Baskerville" w:eastAsia="MS PMincho" w:hAnsi="Baskerville" w:cs="Arabic Typesetting"/>
        </w:rPr>
        <w:t xml:space="preserve"> </w:t>
      </w:r>
      <w:r w:rsidR="00B53DBD" w:rsidRPr="007B25AE">
        <w:rPr>
          <w:rFonts w:ascii="Baskerville" w:eastAsia="MS PMincho" w:hAnsi="Baskerville" w:cs="Arabic Typesetting"/>
        </w:rPr>
        <w:t>since the passage of Title VII</w:t>
      </w:r>
      <w:r w:rsidR="003A6A12" w:rsidRPr="007B25AE">
        <w:rPr>
          <w:rFonts w:ascii="Baskerville" w:eastAsia="MS PMincho" w:hAnsi="Baskerville" w:cs="Arabic Typesetting"/>
        </w:rPr>
        <w:t xml:space="preserve">, </w:t>
      </w:r>
      <w:r w:rsidR="00800D49" w:rsidRPr="007B25AE">
        <w:rPr>
          <w:rFonts w:ascii="Baskerville" w:eastAsia="MS PMincho" w:hAnsi="Baskerville" w:cs="Arabic Typesetting"/>
        </w:rPr>
        <w:t xml:space="preserve">a considerable body of literature has </w:t>
      </w:r>
      <w:r w:rsidR="00C70743" w:rsidRPr="007B25AE">
        <w:rPr>
          <w:rFonts w:ascii="Baskerville" w:eastAsia="MS PMincho" w:hAnsi="Baskerville" w:cs="Arabic Typesetting"/>
        </w:rPr>
        <w:t>sprung up</w:t>
      </w:r>
      <w:r w:rsidR="00800D49" w:rsidRPr="007B25AE">
        <w:rPr>
          <w:rFonts w:ascii="Baskerville" w:eastAsia="MS PMincho" w:hAnsi="Baskerville" w:cs="Arabic Typesetting"/>
        </w:rPr>
        <w:t xml:space="preserve"> </w:t>
      </w:r>
      <w:r w:rsidR="001456B4" w:rsidRPr="007B25AE">
        <w:rPr>
          <w:rFonts w:ascii="Baskerville" w:eastAsia="MS PMincho" w:hAnsi="Baskerville" w:cs="Arabic Typesetting"/>
        </w:rPr>
        <w:t>o</w:t>
      </w:r>
      <w:r w:rsidR="0099377B" w:rsidRPr="007B25AE">
        <w:rPr>
          <w:rFonts w:ascii="Baskerville" w:eastAsia="MS PMincho" w:hAnsi="Baskerville" w:cs="Arabic Typesetting"/>
        </w:rPr>
        <w:t>ut of</w:t>
      </w:r>
      <w:r w:rsidR="001456B4" w:rsidRPr="007B25AE">
        <w:rPr>
          <w:rFonts w:ascii="Baskerville" w:eastAsia="MS PMincho" w:hAnsi="Baskerville" w:cs="Arabic Typesetting"/>
        </w:rPr>
        <w:t xml:space="preserve"> the failure of school districts </w:t>
      </w:r>
      <w:r w:rsidR="00C70743" w:rsidRPr="007B25AE">
        <w:rPr>
          <w:rFonts w:ascii="Baskerville" w:eastAsia="MS PMincho" w:hAnsi="Baskerville" w:cs="Arabic Typesetting"/>
        </w:rPr>
        <w:t xml:space="preserve">across America </w:t>
      </w:r>
      <w:r w:rsidR="001456B4" w:rsidRPr="007B25AE">
        <w:rPr>
          <w:rFonts w:ascii="Baskerville" w:eastAsia="MS PMincho" w:hAnsi="Baskerville" w:cs="Arabic Typesetting"/>
        </w:rPr>
        <w:t>to</w:t>
      </w:r>
      <w:r w:rsidR="005928A1" w:rsidRPr="007B25AE">
        <w:rPr>
          <w:rFonts w:ascii="Baskerville" w:eastAsia="MS PMincho" w:hAnsi="Baskerville" w:cs="Arabic Typesetting"/>
        </w:rPr>
        <w:t xml:space="preserve"> help Black children realize the American promise </w:t>
      </w:r>
      <w:r w:rsidR="008534F5" w:rsidRPr="007B25AE">
        <w:rPr>
          <w:rFonts w:ascii="Baskerville" w:eastAsia="MS PMincho" w:hAnsi="Baskerville" w:cs="Arabic Typesetting"/>
        </w:rPr>
        <w:t xml:space="preserve">of </w:t>
      </w:r>
      <w:r w:rsidR="00690D4A" w:rsidRPr="007B25AE">
        <w:rPr>
          <w:rFonts w:ascii="Baskerville" w:eastAsia="MS PMincho" w:hAnsi="Baskerville" w:cs="Arabic Typesetting"/>
        </w:rPr>
        <w:t xml:space="preserve">access to </w:t>
      </w:r>
      <w:r w:rsidR="008534F5" w:rsidRPr="007B25AE">
        <w:rPr>
          <w:rFonts w:ascii="Baskerville" w:eastAsia="MS PMincho" w:hAnsi="Baskerville" w:cs="Arabic Typesetting"/>
        </w:rPr>
        <w:t xml:space="preserve">a teaching force </w:t>
      </w:r>
      <w:r w:rsidRPr="007B25AE">
        <w:rPr>
          <w:rFonts w:ascii="Baskerville" w:eastAsia="MS PMincho" w:hAnsi="Baskerville" w:cs="Arabic Typesetting"/>
        </w:rPr>
        <w:t>that looks</w:t>
      </w:r>
      <w:r w:rsidR="005928A1" w:rsidRPr="007B25AE">
        <w:rPr>
          <w:rFonts w:ascii="Baskerville" w:eastAsia="MS PMincho" w:hAnsi="Baskerville" w:cs="Arabic Typesetting"/>
        </w:rPr>
        <w:t xml:space="preserve"> more like the</w:t>
      </w:r>
      <w:r w:rsidR="00690D4A" w:rsidRPr="007B25AE">
        <w:rPr>
          <w:rFonts w:ascii="Baskerville" w:eastAsia="MS PMincho" w:hAnsi="Baskerville" w:cs="Arabic Typesetting"/>
        </w:rPr>
        <w:t>m</w:t>
      </w:r>
      <w:r w:rsidR="005928A1" w:rsidRPr="007B25AE">
        <w:rPr>
          <w:rFonts w:ascii="Baskerville" w:eastAsia="MS PMincho" w:hAnsi="Baskerville" w:cs="Arabic Typesetting"/>
        </w:rPr>
        <w:t>. But few</w:t>
      </w:r>
      <w:r w:rsidR="00BC4602" w:rsidRPr="007B25AE">
        <w:rPr>
          <w:rFonts w:ascii="Baskerville" w:eastAsia="MS PMincho" w:hAnsi="Baskerville" w:cs="Arabic Typesetting"/>
        </w:rPr>
        <w:t xml:space="preserve">, </w:t>
      </w:r>
      <w:r w:rsidR="005928A1" w:rsidRPr="007B25AE">
        <w:rPr>
          <w:rFonts w:ascii="Baskerville" w:eastAsia="MS PMincho" w:hAnsi="Baskerville" w:cs="Arabic Typesetting"/>
        </w:rPr>
        <w:t>to none</w:t>
      </w:r>
      <w:r w:rsidR="00BC4602" w:rsidRPr="007B25AE">
        <w:rPr>
          <w:rFonts w:ascii="Baskerville" w:eastAsia="MS PMincho" w:hAnsi="Baskerville" w:cs="Arabic Typesetting"/>
        </w:rPr>
        <w:t>,</w:t>
      </w:r>
      <w:r w:rsidR="005928A1" w:rsidRPr="007B25AE">
        <w:rPr>
          <w:rFonts w:ascii="Baskerville" w:eastAsia="MS PMincho" w:hAnsi="Baskerville" w:cs="Arabic Typesetting"/>
        </w:rPr>
        <w:t xml:space="preserve"> of th</w:t>
      </w:r>
      <w:r w:rsidR="0099377B" w:rsidRPr="007B25AE">
        <w:rPr>
          <w:rFonts w:ascii="Baskerville" w:eastAsia="MS PMincho" w:hAnsi="Baskerville" w:cs="Arabic Typesetting"/>
        </w:rPr>
        <w:t>at</w:t>
      </w:r>
      <w:r w:rsidR="005928A1" w:rsidRPr="007B25AE">
        <w:rPr>
          <w:rFonts w:ascii="Baskerville" w:eastAsia="MS PMincho" w:hAnsi="Baskerville" w:cs="Arabic Typesetting"/>
        </w:rPr>
        <w:t xml:space="preserve"> literature has </w:t>
      </w:r>
      <w:r w:rsidR="0099377B" w:rsidRPr="007B25AE">
        <w:rPr>
          <w:rFonts w:ascii="Baskerville" w:eastAsia="MS PMincho" w:hAnsi="Baskerville" w:cs="Arabic Typesetting"/>
        </w:rPr>
        <w:t xml:space="preserve">been </w:t>
      </w:r>
      <w:r w:rsidR="005928A1" w:rsidRPr="007B25AE">
        <w:rPr>
          <w:rFonts w:ascii="Baskerville" w:eastAsia="MS PMincho" w:hAnsi="Baskerville" w:cs="Arabic Typesetting"/>
        </w:rPr>
        <w:t>address</w:t>
      </w:r>
      <w:r w:rsidR="0099377B" w:rsidRPr="007B25AE">
        <w:rPr>
          <w:rFonts w:ascii="Baskerville" w:eastAsia="MS PMincho" w:hAnsi="Baskerville" w:cs="Arabic Typesetting"/>
        </w:rPr>
        <w:t>ing</w:t>
      </w:r>
      <w:r w:rsidR="005928A1" w:rsidRPr="007B25AE">
        <w:rPr>
          <w:rFonts w:ascii="Baskerville" w:eastAsia="MS PMincho" w:hAnsi="Baskerville" w:cs="Arabic Typesetting"/>
        </w:rPr>
        <w:t xml:space="preserve"> the need for government </w:t>
      </w:r>
      <w:r w:rsidR="003A6A12" w:rsidRPr="007B25AE">
        <w:rPr>
          <w:rFonts w:ascii="Baskerville" w:eastAsia="MS PMincho" w:hAnsi="Baskerville" w:cs="Arabic Typesetting"/>
        </w:rPr>
        <w:t xml:space="preserve">and, </w:t>
      </w:r>
      <w:r w:rsidR="007C4E51" w:rsidRPr="007B25AE">
        <w:rPr>
          <w:rFonts w:ascii="Baskerville" w:eastAsia="MS PMincho" w:hAnsi="Baskerville" w:cs="Arabic Typesetting"/>
        </w:rPr>
        <w:t xml:space="preserve">or school official </w:t>
      </w:r>
      <w:r w:rsidR="00E7646A" w:rsidRPr="007B25AE">
        <w:rPr>
          <w:rFonts w:ascii="Baskerville" w:eastAsia="MS PMincho" w:hAnsi="Baskerville" w:cs="Arabic Typesetting"/>
        </w:rPr>
        <w:t>intervention</w:t>
      </w:r>
      <w:r w:rsidR="005928A1" w:rsidRPr="007B25AE">
        <w:rPr>
          <w:rFonts w:ascii="Baskerville" w:eastAsia="MS PMincho" w:hAnsi="Baskerville" w:cs="Arabic Typesetting"/>
        </w:rPr>
        <w:t xml:space="preserve"> </w:t>
      </w:r>
      <w:r w:rsidR="004C6D45" w:rsidRPr="007B25AE">
        <w:rPr>
          <w:rFonts w:ascii="Baskerville" w:eastAsia="MS PMincho" w:hAnsi="Baskerville" w:cs="Arabic Typesetting"/>
        </w:rPr>
        <w:t>in</w:t>
      </w:r>
      <w:r w:rsidR="008534F5" w:rsidRPr="007B25AE">
        <w:rPr>
          <w:rFonts w:ascii="Baskerville" w:eastAsia="MS PMincho" w:hAnsi="Baskerville" w:cs="Arabic Typesetting"/>
        </w:rPr>
        <w:t xml:space="preserve"> </w:t>
      </w:r>
      <w:r w:rsidR="00AE0788" w:rsidRPr="007B25AE">
        <w:rPr>
          <w:rFonts w:ascii="Baskerville" w:eastAsia="MS PMincho" w:hAnsi="Baskerville" w:cs="Arabic Typesetting"/>
        </w:rPr>
        <w:t>its effort</w:t>
      </w:r>
      <w:r w:rsidR="00564B3D" w:rsidRPr="007B25AE">
        <w:rPr>
          <w:rFonts w:ascii="Baskerville" w:eastAsia="MS PMincho" w:hAnsi="Baskerville" w:cs="Arabic Typesetting"/>
        </w:rPr>
        <w:t xml:space="preserve"> to </w:t>
      </w:r>
      <w:r w:rsidR="005928A1" w:rsidRPr="007B25AE">
        <w:rPr>
          <w:rFonts w:ascii="Baskerville" w:eastAsia="MS PMincho" w:hAnsi="Baskerville" w:cs="Arabic Typesetting"/>
        </w:rPr>
        <w:t>cemen</w:t>
      </w:r>
      <w:r w:rsidR="003A6A12" w:rsidRPr="007B25AE">
        <w:rPr>
          <w:rFonts w:ascii="Baskerville" w:eastAsia="MS PMincho" w:hAnsi="Baskerville" w:cs="Arabic Typesetting"/>
        </w:rPr>
        <w:t>t th</w:t>
      </w:r>
      <w:r w:rsidR="005928A1" w:rsidRPr="007B25AE">
        <w:rPr>
          <w:rFonts w:ascii="Baskerville" w:eastAsia="MS PMincho" w:hAnsi="Baskerville" w:cs="Arabic Typesetting"/>
        </w:rPr>
        <w:t xml:space="preserve">e bond between </w:t>
      </w:r>
      <w:r w:rsidR="00E7646A" w:rsidRPr="007B25AE">
        <w:rPr>
          <w:rFonts w:ascii="Baskerville" w:eastAsia="MS PMincho" w:hAnsi="Baskerville" w:cs="Arabic Typesetting"/>
        </w:rPr>
        <w:t xml:space="preserve">Brown and </w:t>
      </w:r>
      <w:r w:rsidR="005928A1" w:rsidRPr="007B25AE">
        <w:rPr>
          <w:rFonts w:ascii="Baskerville" w:eastAsia="MS PMincho" w:hAnsi="Baskerville" w:cs="Arabic Typesetting"/>
        </w:rPr>
        <w:t>Title VII</w:t>
      </w:r>
      <w:r w:rsidR="00AE0788" w:rsidRPr="007B25AE">
        <w:rPr>
          <w:rFonts w:ascii="Baskerville" w:eastAsia="MS PMincho" w:hAnsi="Baskerville" w:cs="Arabic Typesetting"/>
        </w:rPr>
        <w:t>,</w:t>
      </w:r>
      <w:r w:rsidR="007C4E51" w:rsidRPr="007B25AE">
        <w:rPr>
          <w:rFonts w:ascii="Baskerville" w:eastAsia="MS PMincho" w:hAnsi="Baskerville" w:cs="Arabic Typesetting"/>
        </w:rPr>
        <w:t xml:space="preserve"> in </w:t>
      </w:r>
      <w:proofErr w:type="gramStart"/>
      <w:r w:rsidR="00690D4A" w:rsidRPr="007B25AE">
        <w:rPr>
          <w:rFonts w:ascii="Baskerville" w:eastAsia="MS PMincho" w:hAnsi="Baskerville" w:cs="Arabic Typesetting"/>
        </w:rPr>
        <w:t xml:space="preserve">really </w:t>
      </w:r>
      <w:r w:rsidR="007C4E51" w:rsidRPr="007B25AE">
        <w:rPr>
          <w:rFonts w:ascii="Baskerville" w:eastAsia="MS PMincho" w:hAnsi="Baskerville" w:cs="Arabic Typesetting"/>
        </w:rPr>
        <w:t>practical</w:t>
      </w:r>
      <w:proofErr w:type="gramEnd"/>
      <w:r w:rsidR="007C4E51" w:rsidRPr="007B25AE">
        <w:rPr>
          <w:rFonts w:ascii="Baskerville" w:eastAsia="MS PMincho" w:hAnsi="Baskerville" w:cs="Arabic Typesetting"/>
        </w:rPr>
        <w:t xml:space="preserve"> terms</w:t>
      </w:r>
      <w:r w:rsidR="003A6A12" w:rsidRPr="007B25AE">
        <w:rPr>
          <w:rFonts w:ascii="Baskerville" w:eastAsia="MS PMincho" w:hAnsi="Baskerville" w:cs="Arabic Typesetting"/>
        </w:rPr>
        <w:t xml:space="preserve">. </w:t>
      </w:r>
      <w:r w:rsidR="005928A1" w:rsidRPr="007B25AE">
        <w:rPr>
          <w:rFonts w:ascii="Baskerville" w:eastAsia="MS PMincho" w:hAnsi="Baskerville" w:cs="Arabic Typesetting"/>
        </w:rPr>
        <w:t xml:space="preserve"> </w:t>
      </w:r>
      <w:r w:rsidR="003A6A12" w:rsidRPr="007B25AE">
        <w:rPr>
          <w:rFonts w:ascii="Baskerville" w:eastAsia="MS PMincho" w:hAnsi="Baskerville" w:cs="Arabic Typesetting"/>
        </w:rPr>
        <w:t>A</w:t>
      </w:r>
      <w:r w:rsidR="00873457" w:rsidRPr="007B25AE">
        <w:rPr>
          <w:rFonts w:ascii="Baskerville" w:eastAsia="MS PMincho" w:hAnsi="Baskerville" w:cs="Arabic Typesetting"/>
        </w:rPr>
        <w:t>nd</w:t>
      </w:r>
      <w:r w:rsidR="00D774D0" w:rsidRPr="007B25AE">
        <w:rPr>
          <w:rFonts w:ascii="Baskerville" w:eastAsia="MS PMincho" w:hAnsi="Baskerville" w:cs="Arabic Typesetting"/>
        </w:rPr>
        <w:t xml:space="preserve"> </w:t>
      </w:r>
      <w:r w:rsidR="00C70743" w:rsidRPr="007B25AE">
        <w:rPr>
          <w:rFonts w:ascii="Baskerville" w:eastAsia="MS PMincho" w:hAnsi="Baskerville" w:cs="Arabic Typesetting"/>
        </w:rPr>
        <w:t>thus</w:t>
      </w:r>
      <w:r w:rsidR="00AE0788" w:rsidRPr="007B25AE">
        <w:rPr>
          <w:rFonts w:ascii="Baskerville" w:eastAsia="MS PMincho" w:hAnsi="Baskerville" w:cs="Arabic Typesetting"/>
        </w:rPr>
        <w:t>,</w:t>
      </w:r>
      <w:r w:rsidR="004C6D45" w:rsidRPr="007B25AE">
        <w:rPr>
          <w:rFonts w:ascii="Baskerville" w:eastAsia="MS PMincho" w:hAnsi="Baskerville" w:cs="Arabic Typesetting"/>
        </w:rPr>
        <w:t xml:space="preserve"> </w:t>
      </w:r>
      <w:r w:rsidR="00690D4A" w:rsidRPr="007B25AE">
        <w:rPr>
          <w:rFonts w:ascii="Baskerville" w:eastAsia="MS PMincho" w:hAnsi="Baskerville" w:cs="Arabic Typesetting"/>
        </w:rPr>
        <w:t xml:space="preserve">there is </w:t>
      </w:r>
      <w:r w:rsidR="004C6D45" w:rsidRPr="007B25AE">
        <w:rPr>
          <w:rFonts w:ascii="Baskerville" w:eastAsia="MS PMincho" w:hAnsi="Baskerville" w:cs="Arabic Typesetting"/>
        </w:rPr>
        <w:t>th</w:t>
      </w:r>
      <w:r w:rsidR="00C70743" w:rsidRPr="007B25AE">
        <w:rPr>
          <w:rFonts w:ascii="Baskerville" w:eastAsia="MS PMincho" w:hAnsi="Baskerville" w:cs="Arabic Typesetting"/>
        </w:rPr>
        <w:t xml:space="preserve">at nagging </w:t>
      </w:r>
      <w:r w:rsidR="004C6D45" w:rsidRPr="007B25AE">
        <w:rPr>
          <w:rFonts w:ascii="Baskerville" w:eastAsia="MS PMincho" w:hAnsi="Baskerville" w:cs="Arabic Typesetting"/>
        </w:rPr>
        <w:t>question</w:t>
      </w:r>
      <w:r w:rsidR="00637E2B" w:rsidRPr="007B25AE">
        <w:rPr>
          <w:rFonts w:ascii="Baskerville" w:eastAsia="MS PMincho" w:hAnsi="Baskerville" w:cs="Arabic Typesetting"/>
        </w:rPr>
        <w:t xml:space="preserve"> </w:t>
      </w:r>
      <w:r w:rsidR="001C1D11" w:rsidRPr="007B25AE">
        <w:rPr>
          <w:rFonts w:ascii="Baskerville" w:eastAsia="MS PMincho" w:hAnsi="Baskerville" w:cs="Arabic Typesetting"/>
        </w:rPr>
        <w:t>swirling in the head of the little Black child—</w:t>
      </w:r>
      <w:r w:rsidR="00637E2B" w:rsidRPr="007B25AE">
        <w:rPr>
          <w:rFonts w:ascii="Baskerville" w:eastAsia="MS PMincho" w:hAnsi="Baskerville" w:cs="Arabic Typesetting"/>
        </w:rPr>
        <w:t xml:space="preserve">“Why Doesn’t My Teacher Look Like </w:t>
      </w:r>
      <w:proofErr w:type="gramStart"/>
      <w:r w:rsidR="00637E2B" w:rsidRPr="007B25AE">
        <w:rPr>
          <w:rFonts w:ascii="Baskerville" w:eastAsia="MS PMincho" w:hAnsi="Baskerville" w:cs="Arabic Typesetting"/>
        </w:rPr>
        <w:t>Me?</w:t>
      </w:r>
      <w:r w:rsidR="00690D4A" w:rsidRPr="007B25AE">
        <w:rPr>
          <w:rFonts w:ascii="Baskerville" w:eastAsia="MS PMincho" w:hAnsi="Baskerville" w:cs="Arabic Typesetting"/>
        </w:rPr>
        <w:t>.</w:t>
      </w:r>
      <w:proofErr w:type="gramEnd"/>
      <w:r w:rsidR="00637E2B" w:rsidRPr="007B25AE">
        <w:rPr>
          <w:rFonts w:ascii="Baskerville" w:eastAsia="MS PMincho" w:hAnsi="Baskerville" w:cs="Arabic Typesetting"/>
        </w:rPr>
        <w:t>”</w:t>
      </w:r>
    </w:p>
    <w:p w14:paraId="0242E67A" w14:textId="77777777" w:rsidR="003E3023" w:rsidRPr="007B25AE" w:rsidRDefault="003A6A12" w:rsidP="006005B3">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 </w:t>
      </w:r>
      <w:r w:rsidR="001778FB" w:rsidRPr="007B25AE">
        <w:rPr>
          <w:rFonts w:ascii="Baskerville" w:eastAsia="MS PMincho" w:hAnsi="Baskerville" w:cs="Arabic Typesetting"/>
        </w:rPr>
        <w:t xml:space="preserve">From </w:t>
      </w:r>
      <w:r w:rsidR="000F245F" w:rsidRPr="007B25AE">
        <w:rPr>
          <w:rFonts w:ascii="Baskerville" w:eastAsia="MS PMincho" w:hAnsi="Baskerville" w:cs="Arabic Typesetting"/>
        </w:rPr>
        <w:t xml:space="preserve">the </w:t>
      </w:r>
      <w:r w:rsidRPr="007B25AE">
        <w:rPr>
          <w:rFonts w:ascii="Baskerville" w:eastAsia="MS PMincho" w:hAnsi="Baskerville" w:cs="Arabic Typesetting"/>
        </w:rPr>
        <w:t xml:space="preserve">time of the </w:t>
      </w:r>
      <w:r w:rsidR="001778FB" w:rsidRPr="007B25AE">
        <w:rPr>
          <w:rFonts w:ascii="Baskerville" w:eastAsia="MS PMincho" w:hAnsi="Baskerville" w:cs="Arabic Typesetting"/>
        </w:rPr>
        <w:t xml:space="preserve">Brown </w:t>
      </w:r>
      <w:r w:rsidRPr="007B25AE">
        <w:rPr>
          <w:rFonts w:ascii="Baskerville" w:eastAsia="MS PMincho" w:hAnsi="Baskerville" w:cs="Arabic Typesetting"/>
        </w:rPr>
        <w:t xml:space="preserve">decision </w:t>
      </w:r>
      <w:r w:rsidR="00CD5338" w:rsidRPr="007B25AE">
        <w:rPr>
          <w:rFonts w:ascii="Baskerville" w:eastAsia="MS PMincho" w:hAnsi="Baskerville" w:cs="Arabic Typesetting"/>
        </w:rPr>
        <w:t xml:space="preserve">and </w:t>
      </w:r>
      <w:r w:rsidR="00E7646A" w:rsidRPr="007B25AE">
        <w:rPr>
          <w:rFonts w:ascii="Baskerville" w:eastAsia="MS PMincho" w:hAnsi="Baskerville" w:cs="Arabic Typesetting"/>
        </w:rPr>
        <w:t xml:space="preserve">the passage of </w:t>
      </w:r>
      <w:r w:rsidR="00CD5338" w:rsidRPr="007B25AE">
        <w:rPr>
          <w:rFonts w:ascii="Baskerville" w:eastAsia="MS PMincho" w:hAnsi="Baskerville" w:cs="Arabic Typesetting"/>
        </w:rPr>
        <w:t>Title VII</w:t>
      </w:r>
      <w:r w:rsidR="00E7646A" w:rsidRPr="007B25AE">
        <w:rPr>
          <w:rFonts w:ascii="Baskerville" w:eastAsia="MS PMincho" w:hAnsi="Baskerville" w:cs="Arabic Typesetting"/>
        </w:rPr>
        <w:t>,</w:t>
      </w:r>
      <w:r w:rsidR="00CD5338" w:rsidRPr="007B25AE">
        <w:rPr>
          <w:rFonts w:ascii="Baskerville" w:eastAsia="MS PMincho" w:hAnsi="Baskerville" w:cs="Arabic Typesetting"/>
        </w:rPr>
        <w:t xml:space="preserve"> </w:t>
      </w:r>
      <w:r w:rsidR="001778FB" w:rsidRPr="007B25AE">
        <w:rPr>
          <w:rFonts w:ascii="Baskerville" w:eastAsia="MS PMincho" w:hAnsi="Baskerville" w:cs="Arabic Typesetting"/>
        </w:rPr>
        <w:t xml:space="preserve">until </w:t>
      </w:r>
      <w:r w:rsidR="00E7646A" w:rsidRPr="007B25AE">
        <w:rPr>
          <w:rFonts w:ascii="Baskerville" w:eastAsia="MS PMincho" w:hAnsi="Baskerville" w:cs="Arabic Typesetting"/>
        </w:rPr>
        <w:t>today</w:t>
      </w:r>
      <w:r w:rsidR="001778FB" w:rsidRPr="007B25AE">
        <w:rPr>
          <w:rFonts w:ascii="Baskerville" w:eastAsia="MS PMincho" w:hAnsi="Baskerville" w:cs="Arabic Typesetting"/>
        </w:rPr>
        <w:t>,</w:t>
      </w:r>
      <w:r w:rsidR="00F1096E" w:rsidRPr="007B25AE">
        <w:rPr>
          <w:rFonts w:ascii="Baskerville" w:eastAsia="MS PMincho" w:hAnsi="Baskerville" w:cs="Arabic Typesetting"/>
        </w:rPr>
        <w:t xml:space="preserve"> there </w:t>
      </w:r>
      <w:r w:rsidR="00C70743" w:rsidRPr="007B25AE">
        <w:rPr>
          <w:rFonts w:ascii="Baskerville" w:eastAsia="MS PMincho" w:hAnsi="Baskerville" w:cs="Arabic Typesetting"/>
        </w:rPr>
        <w:t>ha</w:t>
      </w:r>
      <w:r w:rsidR="001778FB" w:rsidRPr="007B25AE">
        <w:rPr>
          <w:rFonts w:ascii="Baskerville" w:eastAsia="MS PMincho" w:hAnsi="Baskerville" w:cs="Arabic Typesetting"/>
        </w:rPr>
        <w:t>s</w:t>
      </w:r>
      <w:r w:rsidR="00873457" w:rsidRPr="007B25AE">
        <w:rPr>
          <w:rFonts w:ascii="Baskerville" w:eastAsia="MS PMincho" w:hAnsi="Baskerville" w:cs="Arabic Typesetting"/>
        </w:rPr>
        <w:t xml:space="preserve"> </w:t>
      </w:r>
      <w:r w:rsidR="00C70743" w:rsidRPr="007B25AE">
        <w:rPr>
          <w:rFonts w:ascii="Baskerville" w:eastAsia="MS PMincho" w:hAnsi="Baskerville" w:cs="Arabic Typesetting"/>
        </w:rPr>
        <w:t xml:space="preserve">been </w:t>
      </w:r>
      <w:r w:rsidR="001778FB" w:rsidRPr="007B25AE">
        <w:rPr>
          <w:rFonts w:ascii="Baskerville" w:eastAsia="MS PMincho" w:hAnsi="Baskerville" w:cs="Arabic Typesetting"/>
        </w:rPr>
        <w:t xml:space="preserve">a </w:t>
      </w:r>
      <w:r w:rsidR="005156FD" w:rsidRPr="007B25AE">
        <w:rPr>
          <w:rFonts w:ascii="Baskerville" w:eastAsia="MS PMincho" w:hAnsi="Baskerville" w:cs="Arabic Typesetting"/>
        </w:rPr>
        <w:t xml:space="preserve">considerable amount of research about the diminishing presence of the already disproportionately few Black teachers </w:t>
      </w:r>
      <w:r w:rsidR="00CD5338" w:rsidRPr="007B25AE">
        <w:rPr>
          <w:rFonts w:ascii="Baskerville" w:eastAsia="MS PMincho" w:hAnsi="Baskerville" w:cs="Arabic Typesetting"/>
        </w:rPr>
        <w:t>in</w:t>
      </w:r>
      <w:r w:rsidR="005156FD" w:rsidRPr="007B25AE">
        <w:rPr>
          <w:rFonts w:ascii="Baskerville" w:eastAsia="MS PMincho" w:hAnsi="Baskerville" w:cs="Arabic Typesetting"/>
        </w:rPr>
        <w:t xml:space="preserve"> the </w:t>
      </w:r>
      <w:r w:rsidR="00CD5338" w:rsidRPr="007B25AE">
        <w:rPr>
          <w:rFonts w:ascii="Baskerville" w:eastAsia="MS PMincho" w:hAnsi="Baskerville" w:cs="Arabic Typesetting"/>
        </w:rPr>
        <w:t xml:space="preserve">American </w:t>
      </w:r>
      <w:r w:rsidR="005156FD" w:rsidRPr="007B25AE">
        <w:rPr>
          <w:rFonts w:ascii="Baskerville" w:eastAsia="MS PMincho" w:hAnsi="Baskerville" w:cs="Arabic Typesetting"/>
        </w:rPr>
        <w:t>classroom</w:t>
      </w:r>
      <w:r w:rsidR="009504BD" w:rsidRPr="007B25AE">
        <w:rPr>
          <w:rFonts w:ascii="Baskerville" w:eastAsia="MS PMincho" w:hAnsi="Baskerville" w:cs="Arabic Typesetting"/>
        </w:rPr>
        <w:t xml:space="preserve"> together</w:t>
      </w:r>
      <w:r w:rsidR="00E7646A" w:rsidRPr="007B25AE">
        <w:rPr>
          <w:rFonts w:ascii="Baskerville" w:eastAsia="MS PMincho" w:hAnsi="Baskerville" w:cs="Arabic Typesetting"/>
        </w:rPr>
        <w:t xml:space="preserve"> with</w:t>
      </w:r>
      <w:r w:rsidR="00A07E4F" w:rsidRPr="007B25AE">
        <w:rPr>
          <w:rFonts w:ascii="Baskerville" w:eastAsia="MS PMincho" w:hAnsi="Baskerville" w:cs="Arabic Typesetting"/>
        </w:rPr>
        <w:t xml:space="preserve"> its </w:t>
      </w:r>
      <w:r w:rsidR="00717AD2" w:rsidRPr="007B25AE">
        <w:rPr>
          <w:rFonts w:ascii="Baskerville" w:eastAsia="MS PMincho" w:hAnsi="Baskerville" w:cs="Arabic Typesetting"/>
        </w:rPr>
        <w:t>negative effect on the</w:t>
      </w:r>
      <w:r w:rsidR="005156FD" w:rsidRPr="007B25AE">
        <w:rPr>
          <w:rFonts w:ascii="Baskerville" w:eastAsia="MS PMincho" w:hAnsi="Baskerville" w:cs="Arabic Typesetting"/>
        </w:rPr>
        <w:t xml:space="preserve"> </w:t>
      </w:r>
      <w:r w:rsidR="00717AD2" w:rsidRPr="007B25AE">
        <w:rPr>
          <w:rFonts w:ascii="Baskerville" w:eastAsia="MS PMincho" w:hAnsi="Baskerville" w:cs="Arabic Typesetting"/>
        </w:rPr>
        <w:t>achievement</w:t>
      </w:r>
      <w:r w:rsidR="00CD5338" w:rsidRPr="007B25AE">
        <w:rPr>
          <w:rFonts w:ascii="Baskerville" w:eastAsia="MS PMincho" w:hAnsi="Baskerville" w:cs="Arabic Typesetting"/>
        </w:rPr>
        <w:t>s</w:t>
      </w:r>
      <w:r w:rsidR="00717AD2" w:rsidRPr="007B25AE">
        <w:rPr>
          <w:rFonts w:ascii="Baskerville" w:eastAsia="MS PMincho" w:hAnsi="Baskerville" w:cs="Arabic Typesetting"/>
        </w:rPr>
        <w:t xml:space="preserve"> of Black children</w:t>
      </w:r>
      <w:r w:rsidR="00E7646A" w:rsidRPr="007B25AE">
        <w:rPr>
          <w:rFonts w:ascii="Baskerville" w:eastAsia="MS PMincho" w:hAnsi="Baskerville" w:cs="Arabic Typesetting"/>
        </w:rPr>
        <w:t>.</w:t>
      </w:r>
      <w:r w:rsidR="00A07E4F" w:rsidRPr="007B25AE">
        <w:rPr>
          <w:rFonts w:ascii="Baskerville" w:eastAsia="MS PMincho" w:hAnsi="Baskerville" w:cs="Arabic Typesetting"/>
        </w:rPr>
        <w:t xml:space="preserve"> </w:t>
      </w:r>
      <w:r w:rsidR="009504BD" w:rsidRPr="007B25AE">
        <w:rPr>
          <w:rFonts w:ascii="Baskerville" w:eastAsia="MS PMincho" w:hAnsi="Baskerville" w:cs="Arabic Typesetting"/>
        </w:rPr>
        <w:t>Despite that,</w:t>
      </w:r>
      <w:r w:rsidR="00A07E4F" w:rsidRPr="007B25AE">
        <w:rPr>
          <w:rFonts w:ascii="Baskerville" w:eastAsia="MS PMincho" w:hAnsi="Baskerville" w:cs="Arabic Typesetting"/>
        </w:rPr>
        <w:t xml:space="preserve"> </w:t>
      </w:r>
      <w:r w:rsidR="009504BD" w:rsidRPr="007B25AE">
        <w:rPr>
          <w:rFonts w:ascii="Baskerville" w:eastAsia="MS PMincho" w:hAnsi="Baskerville" w:cs="Arabic Typesetting"/>
        </w:rPr>
        <w:t xml:space="preserve">there is </w:t>
      </w:r>
      <w:r w:rsidR="00A07E4F" w:rsidRPr="007B25AE">
        <w:rPr>
          <w:rFonts w:ascii="Baskerville" w:eastAsia="MS PMincho" w:hAnsi="Baskerville" w:cs="Arabic Typesetting"/>
        </w:rPr>
        <w:t xml:space="preserve">very little research in respect to the reasons for the </w:t>
      </w:r>
      <w:r w:rsidR="00C5054B" w:rsidRPr="007B25AE">
        <w:rPr>
          <w:rFonts w:ascii="Baskerville" w:eastAsia="MS PMincho" w:hAnsi="Baskerville" w:cs="Arabic Typesetting"/>
        </w:rPr>
        <w:t xml:space="preserve">rapidly shrinking presence of Black teachers and the </w:t>
      </w:r>
      <w:r w:rsidR="002D27EE" w:rsidRPr="007B25AE">
        <w:rPr>
          <w:rFonts w:ascii="Baskerville" w:eastAsia="MS PMincho" w:hAnsi="Baskerville" w:cs="Arabic Typesetting"/>
        </w:rPr>
        <w:t>drying</w:t>
      </w:r>
      <w:r w:rsidR="00690D4A" w:rsidRPr="007B25AE">
        <w:rPr>
          <w:rFonts w:ascii="Baskerville" w:eastAsia="MS PMincho" w:hAnsi="Baskerville" w:cs="Arabic Typesetting"/>
        </w:rPr>
        <w:t>-</w:t>
      </w:r>
      <w:r w:rsidR="002D27EE" w:rsidRPr="007B25AE">
        <w:rPr>
          <w:rFonts w:ascii="Baskerville" w:eastAsia="MS PMincho" w:hAnsi="Baskerville" w:cs="Arabic Typesetting"/>
        </w:rPr>
        <w:t>up of the</w:t>
      </w:r>
      <w:r w:rsidR="00C5054B" w:rsidRPr="007B25AE">
        <w:rPr>
          <w:rFonts w:ascii="Baskerville" w:eastAsia="MS PMincho" w:hAnsi="Baskerville" w:cs="Arabic Typesetting"/>
        </w:rPr>
        <w:t xml:space="preserve"> pool from which </w:t>
      </w:r>
      <w:r w:rsidR="00D73179" w:rsidRPr="007B25AE">
        <w:rPr>
          <w:rFonts w:ascii="Baskerville" w:eastAsia="MS PMincho" w:hAnsi="Baskerville" w:cs="Arabic Typesetting"/>
        </w:rPr>
        <w:t xml:space="preserve">those teachers </w:t>
      </w:r>
      <w:r w:rsidR="002D27EE" w:rsidRPr="007B25AE">
        <w:rPr>
          <w:rFonts w:ascii="Baskerville" w:eastAsia="MS PMincho" w:hAnsi="Baskerville" w:cs="Arabic Typesetting"/>
        </w:rPr>
        <w:t xml:space="preserve">are </w:t>
      </w:r>
      <w:r w:rsidR="00E90A40" w:rsidRPr="007B25AE">
        <w:rPr>
          <w:rFonts w:ascii="Baskerville" w:eastAsia="MS PMincho" w:hAnsi="Baskerville" w:cs="Arabic Typesetting"/>
        </w:rPr>
        <w:t>pulled</w:t>
      </w:r>
      <w:r w:rsidR="00A07E4F" w:rsidRPr="007B25AE">
        <w:rPr>
          <w:rFonts w:ascii="Baskerville" w:eastAsia="MS PMincho" w:hAnsi="Baskerville" w:cs="Arabic Typesetting"/>
        </w:rPr>
        <w:t xml:space="preserve">. Foremost among the several reasons for the </w:t>
      </w:r>
      <w:r w:rsidR="001014AC" w:rsidRPr="007B25AE">
        <w:rPr>
          <w:rFonts w:ascii="Baskerville" w:eastAsia="MS PMincho" w:hAnsi="Baskerville" w:cs="Arabic Typesetting"/>
        </w:rPr>
        <w:t xml:space="preserve">rapidly </w:t>
      </w:r>
      <w:r w:rsidR="00A07E4F" w:rsidRPr="007B25AE">
        <w:rPr>
          <w:rFonts w:ascii="Baskerville" w:eastAsia="MS PMincho" w:hAnsi="Baskerville" w:cs="Arabic Typesetting"/>
        </w:rPr>
        <w:t>diminishing presence of</w:t>
      </w:r>
      <w:r w:rsidR="00E7646A" w:rsidRPr="007B25AE">
        <w:rPr>
          <w:rFonts w:ascii="Baskerville" w:eastAsia="MS PMincho" w:hAnsi="Baskerville" w:cs="Arabic Typesetting"/>
        </w:rPr>
        <w:t xml:space="preserve"> </w:t>
      </w:r>
      <w:r w:rsidR="00A07E4F" w:rsidRPr="007B25AE">
        <w:rPr>
          <w:rFonts w:ascii="Baskerville" w:eastAsia="MS PMincho" w:hAnsi="Baskerville" w:cs="Arabic Typesetting"/>
        </w:rPr>
        <w:t>Black teacher</w:t>
      </w:r>
      <w:r w:rsidR="00C5054B" w:rsidRPr="007B25AE">
        <w:rPr>
          <w:rFonts w:ascii="Baskerville" w:eastAsia="MS PMincho" w:hAnsi="Baskerville" w:cs="Arabic Typesetting"/>
        </w:rPr>
        <w:t>s</w:t>
      </w:r>
      <w:r w:rsidR="00A07E4F" w:rsidRPr="007B25AE">
        <w:rPr>
          <w:rFonts w:ascii="Baskerville" w:eastAsia="MS PMincho" w:hAnsi="Baskerville" w:cs="Arabic Typesetting"/>
        </w:rPr>
        <w:t xml:space="preserve"> </w:t>
      </w:r>
      <w:r w:rsidR="00D73179" w:rsidRPr="007B25AE">
        <w:rPr>
          <w:rFonts w:ascii="Baskerville" w:eastAsia="MS PMincho" w:hAnsi="Baskerville" w:cs="Arabic Typesetting"/>
        </w:rPr>
        <w:t>appears to be</w:t>
      </w:r>
      <w:r w:rsidR="00D30358" w:rsidRPr="007B25AE">
        <w:rPr>
          <w:rFonts w:ascii="Baskerville" w:eastAsia="MS PMincho" w:hAnsi="Baskerville" w:cs="Arabic Typesetting"/>
        </w:rPr>
        <w:t xml:space="preserve"> a wanton</w:t>
      </w:r>
      <w:r w:rsidR="001778FB" w:rsidRPr="007B25AE">
        <w:rPr>
          <w:rFonts w:ascii="Baskerville" w:eastAsia="MS PMincho" w:hAnsi="Baskerville" w:cs="Arabic Typesetting"/>
        </w:rPr>
        <w:t xml:space="preserve"> </w:t>
      </w:r>
      <w:r w:rsidR="00873457" w:rsidRPr="007B25AE">
        <w:rPr>
          <w:rFonts w:ascii="Baskerville" w:eastAsia="MS PMincho" w:hAnsi="Baskerville" w:cs="Arabic Typesetting"/>
        </w:rPr>
        <w:t xml:space="preserve">disinclination </w:t>
      </w:r>
      <w:r w:rsidR="001778FB" w:rsidRPr="007B25AE">
        <w:rPr>
          <w:rFonts w:ascii="Baskerville" w:eastAsia="MS PMincho" w:hAnsi="Baskerville" w:cs="Arabic Typesetting"/>
        </w:rPr>
        <w:t>of the nation’s public</w:t>
      </w:r>
      <w:r w:rsidR="000F245F" w:rsidRPr="007B25AE">
        <w:rPr>
          <w:rFonts w:ascii="Baskerville" w:eastAsia="MS PMincho" w:hAnsi="Baskerville" w:cs="Arabic Typesetting"/>
        </w:rPr>
        <w:t>-</w:t>
      </w:r>
      <w:r w:rsidR="001778FB" w:rsidRPr="007B25AE">
        <w:rPr>
          <w:rFonts w:ascii="Baskerville" w:eastAsia="MS PMincho" w:hAnsi="Baskerville" w:cs="Arabic Typesetting"/>
        </w:rPr>
        <w:t xml:space="preserve">school systems </w:t>
      </w:r>
      <w:r w:rsidR="00873457" w:rsidRPr="007B25AE">
        <w:rPr>
          <w:rFonts w:ascii="Baskerville" w:eastAsia="MS PMincho" w:hAnsi="Baskerville" w:cs="Arabic Typesetting"/>
        </w:rPr>
        <w:t>to</w:t>
      </w:r>
      <w:r w:rsidR="00124138" w:rsidRPr="007B25AE">
        <w:rPr>
          <w:rFonts w:ascii="Baskerville" w:eastAsia="MS PMincho" w:hAnsi="Baskerville" w:cs="Arabic Typesetting"/>
        </w:rPr>
        <w:t xml:space="preserve"> </w:t>
      </w:r>
      <w:r w:rsidR="001014AC" w:rsidRPr="007B25AE">
        <w:rPr>
          <w:rFonts w:ascii="Baskerville" w:eastAsia="MS PMincho" w:hAnsi="Baskerville" w:cs="Arabic Typesetting"/>
        </w:rPr>
        <w:t xml:space="preserve">work toward </w:t>
      </w:r>
      <w:r w:rsidR="00F8529A" w:rsidRPr="007B25AE">
        <w:rPr>
          <w:rFonts w:ascii="Baskerville" w:eastAsia="MS PMincho" w:hAnsi="Baskerville" w:cs="Arabic Typesetting"/>
        </w:rPr>
        <w:t>forg</w:t>
      </w:r>
      <w:r w:rsidR="001014AC" w:rsidRPr="007B25AE">
        <w:rPr>
          <w:rFonts w:ascii="Baskerville" w:eastAsia="MS PMincho" w:hAnsi="Baskerville" w:cs="Arabic Typesetting"/>
        </w:rPr>
        <w:t>ing</w:t>
      </w:r>
      <w:r w:rsidR="00F8529A" w:rsidRPr="007B25AE">
        <w:rPr>
          <w:rFonts w:ascii="Baskerville" w:eastAsia="MS PMincho" w:hAnsi="Baskerville" w:cs="Arabic Typesetting"/>
        </w:rPr>
        <w:t xml:space="preserve"> </w:t>
      </w:r>
      <w:r w:rsidR="00C5054B" w:rsidRPr="007B25AE">
        <w:rPr>
          <w:rFonts w:ascii="Baskerville" w:eastAsia="MS PMincho" w:hAnsi="Baskerville" w:cs="Arabic Typesetting"/>
        </w:rPr>
        <w:t>that</w:t>
      </w:r>
      <w:r w:rsidR="00F8529A" w:rsidRPr="007B25AE">
        <w:rPr>
          <w:rFonts w:ascii="Baskerville" w:eastAsia="MS PMincho" w:hAnsi="Baskerville" w:cs="Arabic Typesetting"/>
        </w:rPr>
        <w:t xml:space="preserve"> critical bond between Brown and Title VII </w:t>
      </w:r>
      <w:r w:rsidR="001778FB" w:rsidRPr="007B25AE">
        <w:rPr>
          <w:rFonts w:ascii="Baskerville" w:eastAsia="MS PMincho" w:hAnsi="Baskerville" w:cs="Arabic Typesetting"/>
        </w:rPr>
        <w:t xml:space="preserve">in </w:t>
      </w:r>
      <w:r w:rsidR="00D30358" w:rsidRPr="007B25AE">
        <w:rPr>
          <w:rFonts w:ascii="Baskerville" w:eastAsia="MS PMincho" w:hAnsi="Baskerville" w:cs="Arabic Typesetting"/>
        </w:rPr>
        <w:t>their</w:t>
      </w:r>
      <w:r w:rsidR="001778FB" w:rsidRPr="007B25AE">
        <w:rPr>
          <w:rFonts w:ascii="Baskerville" w:eastAsia="MS PMincho" w:hAnsi="Baskerville" w:cs="Arabic Typesetting"/>
        </w:rPr>
        <w:t xml:space="preserve"> effort to</w:t>
      </w:r>
      <w:r w:rsidR="00F1096E" w:rsidRPr="007B25AE">
        <w:rPr>
          <w:rFonts w:ascii="Baskerville" w:eastAsia="MS PMincho" w:hAnsi="Baskerville" w:cs="Arabic Typesetting"/>
        </w:rPr>
        <w:t xml:space="preserve"> answer the</w:t>
      </w:r>
      <w:r w:rsidR="00AF7BDF" w:rsidRPr="007B25AE">
        <w:rPr>
          <w:rFonts w:ascii="Baskerville" w:eastAsia="MS PMincho" w:hAnsi="Baskerville" w:cs="Arabic Typesetting"/>
        </w:rPr>
        <w:t xml:space="preserve"> </w:t>
      </w:r>
      <w:r w:rsidR="00D30358" w:rsidRPr="007B25AE">
        <w:rPr>
          <w:rFonts w:ascii="Baskerville" w:eastAsia="MS PMincho" w:hAnsi="Baskerville" w:cs="Arabic Typesetting"/>
        </w:rPr>
        <w:t xml:space="preserve">Black </w:t>
      </w:r>
      <w:r w:rsidR="001540D0" w:rsidRPr="007B25AE">
        <w:rPr>
          <w:rFonts w:ascii="Baskerville" w:eastAsia="MS PMincho" w:hAnsi="Baskerville" w:cs="Arabic Typesetting"/>
        </w:rPr>
        <w:t>child</w:t>
      </w:r>
      <w:r w:rsidR="00C5054B" w:rsidRPr="007B25AE">
        <w:rPr>
          <w:rFonts w:ascii="Baskerville" w:eastAsia="MS PMincho" w:hAnsi="Baskerville" w:cs="Arabic Typesetting"/>
        </w:rPr>
        <w:t>’s question of</w:t>
      </w:r>
      <w:r w:rsidR="00F1096E" w:rsidRPr="007B25AE">
        <w:rPr>
          <w:rFonts w:ascii="Baskerville" w:eastAsia="MS PMincho" w:hAnsi="Baskerville" w:cs="Arabic Typesetting"/>
        </w:rPr>
        <w:t>, “Why Doesn’t My Teacher Look Like Me?”</w:t>
      </w:r>
      <w:r w:rsidR="00BC4602" w:rsidRPr="007B25AE">
        <w:rPr>
          <w:rFonts w:ascii="Baskerville" w:eastAsia="MS PMincho" w:hAnsi="Baskerville" w:cs="Arabic Typesetting"/>
        </w:rPr>
        <w:t xml:space="preserve"> </w:t>
      </w:r>
    </w:p>
    <w:p w14:paraId="2CF1F2AC" w14:textId="60EC05C9" w:rsidR="00AF7BDF" w:rsidRPr="007B25AE" w:rsidRDefault="001778FB" w:rsidP="006005B3">
      <w:pPr>
        <w:spacing w:line="360" w:lineRule="auto"/>
        <w:ind w:firstLine="720"/>
        <w:rPr>
          <w:rFonts w:ascii="Baskerville" w:eastAsia="MS PMincho" w:hAnsi="Baskerville" w:cs="Arabic Typesetting"/>
        </w:rPr>
      </w:pPr>
      <w:r w:rsidRPr="007B25AE">
        <w:rPr>
          <w:rFonts w:ascii="Baskerville" w:eastAsia="MS PMincho" w:hAnsi="Baskerville" w:cs="Arabic Typesetting"/>
        </w:rPr>
        <w:t>The New York City DOE</w:t>
      </w:r>
      <w:r w:rsidR="00AF4346" w:rsidRPr="007B25AE">
        <w:rPr>
          <w:rFonts w:ascii="Baskerville" w:eastAsia="MS PMincho" w:hAnsi="Baskerville" w:cs="Arabic Typesetting"/>
        </w:rPr>
        <w:t xml:space="preserve">, the nation’s largest </w:t>
      </w:r>
      <w:r w:rsidR="00AF7BDF" w:rsidRPr="007B25AE">
        <w:rPr>
          <w:rFonts w:ascii="Baskerville" w:eastAsia="MS PMincho" w:hAnsi="Baskerville" w:cs="Arabic Typesetting"/>
        </w:rPr>
        <w:t xml:space="preserve">public </w:t>
      </w:r>
      <w:r w:rsidR="00AF4346" w:rsidRPr="007B25AE">
        <w:rPr>
          <w:rFonts w:ascii="Baskerville" w:eastAsia="MS PMincho" w:hAnsi="Baskerville" w:cs="Arabic Typesetting"/>
        </w:rPr>
        <w:t xml:space="preserve">school </w:t>
      </w:r>
      <w:r w:rsidR="00AF7BDF" w:rsidRPr="007B25AE">
        <w:rPr>
          <w:rFonts w:ascii="Baskerville" w:eastAsia="MS PMincho" w:hAnsi="Baskerville" w:cs="Arabic Typesetting"/>
        </w:rPr>
        <w:t>system</w:t>
      </w:r>
      <w:r w:rsidR="00171BE5" w:rsidRPr="007B25AE">
        <w:rPr>
          <w:rFonts w:ascii="Baskerville" w:eastAsia="MS PMincho" w:hAnsi="Baskerville" w:cs="Arabic Typesetting"/>
        </w:rPr>
        <w:t>,</w:t>
      </w:r>
      <w:r w:rsidR="00AF4346" w:rsidRPr="007B25AE">
        <w:rPr>
          <w:rFonts w:ascii="Baskerville" w:eastAsia="MS PMincho" w:hAnsi="Baskerville" w:cs="Arabic Typesetting"/>
        </w:rPr>
        <w:t xml:space="preserve"> with an</w:t>
      </w:r>
      <w:r w:rsidR="00124138" w:rsidRPr="007B25AE">
        <w:rPr>
          <w:rFonts w:ascii="Baskerville" w:eastAsia="MS PMincho" w:hAnsi="Baskerville" w:cs="Arabic Typesetting"/>
        </w:rPr>
        <w:t xml:space="preserve"> approximate </w:t>
      </w:r>
      <w:r w:rsidR="00AF4346" w:rsidRPr="007B25AE">
        <w:rPr>
          <w:rFonts w:ascii="Baskerville" w:eastAsia="MS PMincho" w:hAnsi="Baskerville" w:cs="Arabic Typesetting"/>
        </w:rPr>
        <w:t>student</w:t>
      </w:r>
      <w:r w:rsidR="001014AC" w:rsidRPr="007B25AE">
        <w:rPr>
          <w:rFonts w:ascii="Baskerville" w:eastAsia="MS PMincho" w:hAnsi="Baskerville" w:cs="Arabic Typesetting"/>
        </w:rPr>
        <w:t>-</w:t>
      </w:r>
      <w:r w:rsidR="00AF7BDF" w:rsidRPr="007B25AE">
        <w:rPr>
          <w:rFonts w:ascii="Baskerville" w:eastAsia="MS PMincho" w:hAnsi="Baskerville" w:cs="Arabic Typesetting"/>
        </w:rPr>
        <w:t>body</w:t>
      </w:r>
      <w:r w:rsidR="00124138" w:rsidRPr="007B25AE">
        <w:rPr>
          <w:rFonts w:ascii="Baskerville" w:eastAsia="MS PMincho" w:hAnsi="Baskerville" w:cs="Arabic Typesetting"/>
        </w:rPr>
        <w:t xml:space="preserve"> of </w:t>
      </w:r>
      <w:r w:rsidR="0030687D" w:rsidRPr="007B25AE">
        <w:rPr>
          <w:rFonts w:ascii="Baskerville" w:eastAsia="MS PMincho" w:hAnsi="Baskerville" w:cs="Arabic Typesetting"/>
        </w:rPr>
        <w:t>1.1 million</w:t>
      </w:r>
      <w:r w:rsidR="00F0735B" w:rsidRPr="007B25AE">
        <w:rPr>
          <w:rFonts w:ascii="Baskerville" w:eastAsia="MS PMincho" w:hAnsi="Baskerville" w:cs="Arabic Typesetting"/>
        </w:rPr>
        <w:t>,</w:t>
      </w:r>
      <w:r w:rsidR="00124138" w:rsidRPr="007B25AE">
        <w:rPr>
          <w:rFonts w:ascii="Baskerville" w:eastAsia="MS PMincho" w:hAnsi="Baskerville" w:cs="Arabic Typesetting"/>
        </w:rPr>
        <w:t xml:space="preserve"> housed in more than 1,</w:t>
      </w:r>
      <w:r w:rsidR="0030687D" w:rsidRPr="007B25AE">
        <w:rPr>
          <w:rFonts w:ascii="Baskerville" w:eastAsia="MS PMincho" w:hAnsi="Baskerville" w:cs="Arabic Typesetting"/>
        </w:rPr>
        <w:t>7</w:t>
      </w:r>
      <w:r w:rsidR="00124138" w:rsidRPr="007B25AE">
        <w:rPr>
          <w:rFonts w:ascii="Baskerville" w:eastAsia="MS PMincho" w:hAnsi="Baskerville" w:cs="Arabic Typesetting"/>
        </w:rPr>
        <w:t>00</w:t>
      </w:r>
      <w:r w:rsidR="005507F7" w:rsidRPr="007B25AE">
        <w:rPr>
          <w:rFonts w:ascii="Baskerville" w:eastAsia="MS PMincho" w:hAnsi="Baskerville" w:cs="Arabic Typesetting"/>
        </w:rPr>
        <w:t xml:space="preserve"> schools</w:t>
      </w:r>
      <w:r w:rsidR="00AF7BDF" w:rsidRPr="007B25AE">
        <w:rPr>
          <w:rFonts w:ascii="Baskerville" w:eastAsia="MS PMincho" w:hAnsi="Baskerville" w:cs="Arabic Typesetting"/>
        </w:rPr>
        <w:t xml:space="preserve"> </w:t>
      </w:r>
      <w:r w:rsidR="0030687D" w:rsidRPr="007B25AE">
        <w:rPr>
          <w:rFonts w:ascii="Baskerville" w:eastAsia="MS PMincho" w:hAnsi="Baskerville" w:cs="Arabic Typesetting"/>
        </w:rPr>
        <w:t>(</w:t>
      </w:r>
      <w:r w:rsidR="000F010E" w:rsidRPr="007B25AE">
        <w:rPr>
          <w:rFonts w:ascii="Baskerville" w:eastAsia="MS PMincho" w:hAnsi="Baskerville" w:cs="Arabic Typesetting"/>
        </w:rPr>
        <w:t>Chen, 2023</w:t>
      </w:r>
      <w:r w:rsidR="00AF7BDF" w:rsidRPr="007B25AE">
        <w:rPr>
          <w:rFonts w:ascii="Baskerville" w:eastAsia="MS PMincho" w:hAnsi="Baskerville" w:cs="Arabic Typesetting"/>
        </w:rPr>
        <w:t>)</w:t>
      </w:r>
      <w:r w:rsidR="003B4E11" w:rsidRPr="007B25AE">
        <w:rPr>
          <w:rFonts w:ascii="Baskerville" w:eastAsia="MS PMincho" w:hAnsi="Baskerville" w:cs="Arabic Typesetting"/>
        </w:rPr>
        <w:t>,</w:t>
      </w:r>
      <w:r w:rsidR="0076750F" w:rsidRPr="007B25AE">
        <w:rPr>
          <w:rFonts w:ascii="Baskerville" w:eastAsia="MS PMincho" w:hAnsi="Baskerville" w:cs="Arabic Typesetting"/>
        </w:rPr>
        <w:t xml:space="preserve"> </w:t>
      </w:r>
      <w:r w:rsidR="00AF7BDF" w:rsidRPr="007B25AE">
        <w:rPr>
          <w:rFonts w:ascii="Baskerville" w:eastAsia="MS PMincho" w:hAnsi="Baskerville" w:cs="Arabic Typesetting"/>
        </w:rPr>
        <w:t>i</w:t>
      </w:r>
      <w:r w:rsidR="001014AC" w:rsidRPr="007B25AE">
        <w:rPr>
          <w:rFonts w:ascii="Baskerville" w:eastAsia="MS PMincho" w:hAnsi="Baskerville" w:cs="Arabic Typesetting"/>
        </w:rPr>
        <w:t>s</w:t>
      </w:r>
      <w:r w:rsidR="00AF7BDF" w:rsidRPr="007B25AE">
        <w:rPr>
          <w:rFonts w:ascii="Baskerville" w:eastAsia="MS PMincho" w:hAnsi="Baskerville" w:cs="Arabic Typesetting"/>
        </w:rPr>
        <w:t xml:space="preserve"> the</w:t>
      </w:r>
      <w:r w:rsidRPr="007B25AE">
        <w:rPr>
          <w:rFonts w:ascii="Baskerville" w:eastAsia="MS PMincho" w:hAnsi="Baskerville" w:cs="Arabic Typesetting"/>
        </w:rPr>
        <w:t xml:space="preserve"> prime </w:t>
      </w:r>
      <w:r w:rsidR="00B75BE2" w:rsidRPr="007B25AE">
        <w:rPr>
          <w:rFonts w:ascii="Baskerville" w:eastAsia="MS PMincho" w:hAnsi="Baskerville" w:cs="Arabic Typesetting"/>
        </w:rPr>
        <w:t>offender in</w:t>
      </w:r>
      <w:r w:rsidRPr="007B25AE">
        <w:rPr>
          <w:rFonts w:ascii="Baskerville" w:eastAsia="MS PMincho" w:hAnsi="Baskerville" w:cs="Arabic Typesetting"/>
        </w:rPr>
        <w:t xml:space="preserve"> </w:t>
      </w:r>
      <w:r w:rsidR="00D31C6D" w:rsidRPr="007B25AE">
        <w:rPr>
          <w:rFonts w:ascii="Baskerville" w:eastAsia="MS PMincho" w:hAnsi="Baskerville" w:cs="Arabic Typesetting"/>
        </w:rPr>
        <w:t xml:space="preserve">its </w:t>
      </w:r>
      <w:r w:rsidR="00500007" w:rsidRPr="007B25AE">
        <w:rPr>
          <w:rFonts w:ascii="Baskerville" w:eastAsia="MS PMincho" w:hAnsi="Baskerville" w:cs="Arabic Typesetting"/>
        </w:rPr>
        <w:t>seem</w:t>
      </w:r>
      <w:r w:rsidR="00E90A40" w:rsidRPr="007B25AE">
        <w:rPr>
          <w:rFonts w:ascii="Baskerville" w:eastAsia="MS PMincho" w:hAnsi="Baskerville" w:cs="Arabic Typesetting"/>
        </w:rPr>
        <w:t>ing</w:t>
      </w:r>
      <w:r w:rsidR="00500007" w:rsidRPr="007B25AE">
        <w:rPr>
          <w:rFonts w:ascii="Baskerville" w:eastAsia="MS PMincho" w:hAnsi="Baskerville" w:cs="Arabic Typesetting"/>
        </w:rPr>
        <w:t xml:space="preserve"> </w:t>
      </w:r>
      <w:r w:rsidR="008974A4" w:rsidRPr="007B25AE">
        <w:rPr>
          <w:rFonts w:ascii="Baskerville" w:eastAsia="MS PMincho" w:hAnsi="Baskerville" w:cs="Arabic Typesetting"/>
        </w:rPr>
        <w:t>wil</w:t>
      </w:r>
      <w:r w:rsidR="0022423A" w:rsidRPr="007B25AE">
        <w:rPr>
          <w:rFonts w:ascii="Baskerville" w:eastAsia="MS PMincho" w:hAnsi="Baskerville" w:cs="Arabic Typesetting"/>
        </w:rPr>
        <w:t>l</w:t>
      </w:r>
      <w:r w:rsidR="008974A4" w:rsidRPr="007B25AE">
        <w:rPr>
          <w:rFonts w:ascii="Baskerville" w:eastAsia="MS PMincho" w:hAnsi="Baskerville" w:cs="Arabic Typesetting"/>
        </w:rPr>
        <w:t xml:space="preserve">ful </w:t>
      </w:r>
      <w:r w:rsidR="00500007" w:rsidRPr="007B25AE">
        <w:rPr>
          <w:rFonts w:ascii="Baskerville" w:eastAsia="MS PMincho" w:hAnsi="Baskerville" w:cs="Arabic Typesetting"/>
        </w:rPr>
        <w:t>disinterest in desegregating the schools and maintaining an ample p</w:t>
      </w:r>
      <w:r w:rsidR="0022423A" w:rsidRPr="007B25AE">
        <w:rPr>
          <w:rFonts w:ascii="Baskerville" w:eastAsia="MS PMincho" w:hAnsi="Baskerville" w:cs="Arabic Typesetting"/>
        </w:rPr>
        <w:t>resence</w:t>
      </w:r>
      <w:r w:rsidR="00500007" w:rsidRPr="007B25AE">
        <w:rPr>
          <w:rFonts w:ascii="Baskerville" w:eastAsia="MS PMincho" w:hAnsi="Baskerville" w:cs="Arabic Typesetting"/>
        </w:rPr>
        <w:t xml:space="preserve"> of Black teachers</w:t>
      </w:r>
      <w:r w:rsidR="0022423A" w:rsidRPr="007B25AE">
        <w:rPr>
          <w:rFonts w:ascii="Baskerville" w:eastAsia="MS PMincho" w:hAnsi="Baskerville" w:cs="Arabic Typesetting"/>
        </w:rPr>
        <w:t>,</w:t>
      </w:r>
      <w:r w:rsidR="008974A4" w:rsidRPr="007B25AE">
        <w:rPr>
          <w:rFonts w:ascii="Baskerville" w:eastAsia="MS PMincho" w:hAnsi="Baskerville" w:cs="Arabic Typesetting"/>
        </w:rPr>
        <w:t xml:space="preserve"> </w:t>
      </w:r>
      <w:r w:rsidR="0022423A" w:rsidRPr="007B25AE">
        <w:rPr>
          <w:rFonts w:ascii="Baskerville" w:eastAsia="MS PMincho" w:hAnsi="Baskerville" w:cs="Arabic Typesetting"/>
        </w:rPr>
        <w:t xml:space="preserve">enough </w:t>
      </w:r>
      <w:r w:rsidR="008974A4" w:rsidRPr="007B25AE">
        <w:rPr>
          <w:rFonts w:ascii="Baskerville" w:eastAsia="MS PMincho" w:hAnsi="Baskerville" w:cs="Arabic Typesetting"/>
        </w:rPr>
        <w:t xml:space="preserve">to help Black children grow </w:t>
      </w:r>
      <w:r w:rsidR="00AF7BDF" w:rsidRPr="007B25AE">
        <w:rPr>
          <w:rFonts w:ascii="Baskerville" w:eastAsia="MS PMincho" w:hAnsi="Baskerville" w:cs="Arabic Typesetting"/>
        </w:rPr>
        <w:t>(</w:t>
      </w:r>
      <w:r w:rsidR="000F010E" w:rsidRPr="007B25AE">
        <w:rPr>
          <w:rFonts w:ascii="Baskerville" w:eastAsia="MS PMincho" w:hAnsi="Baskerville" w:cs="Arabic Typesetting"/>
        </w:rPr>
        <w:t>Chen, 2023</w:t>
      </w:r>
      <w:r w:rsidR="00AF7BDF" w:rsidRPr="007B25AE">
        <w:rPr>
          <w:rFonts w:ascii="Baskerville" w:eastAsia="MS PMincho" w:hAnsi="Baskerville" w:cs="Arabic Typesetting"/>
        </w:rPr>
        <w:t xml:space="preserve">). </w:t>
      </w:r>
      <w:r w:rsidR="00221842" w:rsidRPr="007B25AE">
        <w:rPr>
          <w:rFonts w:ascii="Baskerville" w:eastAsia="MS PMincho" w:hAnsi="Baskerville" w:cs="Arabic Typesetting"/>
        </w:rPr>
        <w:t xml:space="preserve"> Y</w:t>
      </w:r>
      <w:r w:rsidR="0022423A" w:rsidRPr="007B25AE">
        <w:rPr>
          <w:rFonts w:ascii="Baskerville" w:eastAsia="MS PMincho" w:hAnsi="Baskerville" w:cs="Arabic Typesetting"/>
        </w:rPr>
        <w:t xml:space="preserve">et, while </w:t>
      </w:r>
      <w:r w:rsidR="00E90A40" w:rsidRPr="007B25AE">
        <w:rPr>
          <w:rFonts w:ascii="Baskerville" w:eastAsia="MS PMincho" w:hAnsi="Baskerville" w:cs="Arabic Typesetting"/>
        </w:rPr>
        <w:t>many researchers</w:t>
      </w:r>
      <w:r w:rsidR="0022423A" w:rsidRPr="007B25AE">
        <w:rPr>
          <w:rFonts w:ascii="Baskerville" w:eastAsia="MS PMincho" w:hAnsi="Baskerville" w:cs="Arabic Typesetting"/>
        </w:rPr>
        <w:t xml:space="preserve"> </w:t>
      </w:r>
      <w:r w:rsidR="00221842" w:rsidRPr="007B25AE">
        <w:rPr>
          <w:rFonts w:ascii="Baskerville" w:eastAsia="MS PMincho" w:hAnsi="Baskerville" w:cs="Arabic Typesetting"/>
        </w:rPr>
        <w:t xml:space="preserve">may </w:t>
      </w:r>
      <w:r w:rsidR="0022423A" w:rsidRPr="007B25AE">
        <w:rPr>
          <w:rFonts w:ascii="Baskerville" w:eastAsia="MS PMincho" w:hAnsi="Baskerville" w:cs="Arabic Typesetting"/>
        </w:rPr>
        <w:t>ha</w:t>
      </w:r>
      <w:r w:rsidR="00E90A40" w:rsidRPr="007B25AE">
        <w:rPr>
          <w:rFonts w:ascii="Baskerville" w:eastAsia="MS PMincho" w:hAnsi="Baskerville" w:cs="Arabic Typesetting"/>
        </w:rPr>
        <w:t>ve</w:t>
      </w:r>
      <w:r w:rsidR="003E3023" w:rsidRPr="007B25AE">
        <w:rPr>
          <w:rFonts w:ascii="Baskerville" w:eastAsia="MS PMincho" w:hAnsi="Baskerville" w:cs="Arabic Typesetting"/>
        </w:rPr>
        <w:t xml:space="preserve"> </w:t>
      </w:r>
      <w:r w:rsidR="0022423A" w:rsidRPr="007B25AE">
        <w:rPr>
          <w:rFonts w:ascii="Baskerville" w:eastAsia="MS PMincho" w:hAnsi="Baskerville" w:cs="Arabic Typesetting"/>
        </w:rPr>
        <w:t xml:space="preserve">something to say about </w:t>
      </w:r>
      <w:r w:rsidR="009033A9" w:rsidRPr="007B25AE">
        <w:rPr>
          <w:rFonts w:ascii="Baskerville" w:eastAsia="MS PMincho" w:hAnsi="Baskerville" w:cs="Arabic Typesetting"/>
        </w:rPr>
        <w:t xml:space="preserve">segregated schools </w:t>
      </w:r>
      <w:r w:rsidR="003E3023" w:rsidRPr="007B25AE">
        <w:rPr>
          <w:rFonts w:ascii="Baskerville" w:eastAsia="MS PMincho" w:hAnsi="Baskerville" w:cs="Arabic Typesetting"/>
        </w:rPr>
        <w:t>as a thing by itself without seriously considering</w:t>
      </w:r>
      <w:r w:rsidR="009033A9" w:rsidRPr="007B25AE">
        <w:rPr>
          <w:rFonts w:ascii="Baskerville" w:eastAsia="MS PMincho" w:hAnsi="Baskerville" w:cs="Arabic Typesetting"/>
        </w:rPr>
        <w:t xml:space="preserve"> the </w:t>
      </w:r>
      <w:r w:rsidR="003E3023" w:rsidRPr="007B25AE">
        <w:rPr>
          <w:rFonts w:ascii="Baskerville" w:eastAsia="MS PMincho" w:hAnsi="Baskerville" w:cs="Arabic Typesetting"/>
        </w:rPr>
        <w:t xml:space="preserve">part played by the </w:t>
      </w:r>
      <w:r w:rsidR="009033A9" w:rsidRPr="007B25AE">
        <w:rPr>
          <w:rFonts w:ascii="Baskerville" w:eastAsia="MS PMincho" w:hAnsi="Baskerville" w:cs="Arabic Typesetting"/>
        </w:rPr>
        <w:t xml:space="preserve">insufficiency of Black teachers, </w:t>
      </w:r>
      <w:r w:rsidR="0022423A" w:rsidRPr="007B25AE">
        <w:rPr>
          <w:rFonts w:ascii="Baskerville" w:eastAsia="MS PMincho" w:hAnsi="Baskerville" w:cs="Arabic Typesetting"/>
        </w:rPr>
        <w:t xml:space="preserve">almost no one </w:t>
      </w:r>
      <w:r w:rsidR="009033A9" w:rsidRPr="007B25AE">
        <w:rPr>
          <w:rFonts w:ascii="Baskerville" w:eastAsia="MS PMincho" w:hAnsi="Baskerville" w:cs="Arabic Typesetting"/>
        </w:rPr>
        <w:t xml:space="preserve">has an opinion </w:t>
      </w:r>
      <w:r w:rsidR="00E90A40" w:rsidRPr="007B25AE">
        <w:rPr>
          <w:rFonts w:ascii="Baskerville" w:eastAsia="MS PMincho" w:hAnsi="Baskerville" w:cs="Arabic Typesetting"/>
        </w:rPr>
        <w:t xml:space="preserve">on </w:t>
      </w:r>
      <w:r w:rsidR="009033A9" w:rsidRPr="007B25AE">
        <w:rPr>
          <w:rFonts w:ascii="Baskerville" w:eastAsia="MS PMincho" w:hAnsi="Baskerville" w:cs="Arabic Typesetting"/>
        </w:rPr>
        <w:t xml:space="preserve">the question </w:t>
      </w:r>
      <w:r w:rsidR="003E3023" w:rsidRPr="007B25AE">
        <w:rPr>
          <w:rFonts w:ascii="Baskerville" w:eastAsia="MS PMincho" w:hAnsi="Baskerville" w:cs="Arabic Typesetting"/>
        </w:rPr>
        <w:t xml:space="preserve">of </w:t>
      </w:r>
      <w:r w:rsidR="009033A9" w:rsidRPr="007B25AE">
        <w:rPr>
          <w:rFonts w:ascii="Baskerville" w:eastAsia="MS PMincho" w:hAnsi="Baskerville" w:cs="Arabic Typesetting"/>
        </w:rPr>
        <w:t>“Why</w:t>
      </w:r>
      <w:r w:rsidR="000F010E" w:rsidRPr="007B25AE">
        <w:rPr>
          <w:rFonts w:ascii="Baskerville" w:eastAsia="MS PMincho" w:hAnsi="Baskerville" w:cs="Arabic Typesetting"/>
        </w:rPr>
        <w:t xml:space="preserve"> are Brown and Title VII not being applied</w:t>
      </w:r>
      <w:r w:rsidR="003E3023" w:rsidRPr="007B25AE">
        <w:rPr>
          <w:rFonts w:ascii="Baskerville" w:eastAsia="MS PMincho" w:hAnsi="Baskerville" w:cs="Arabic Typesetting"/>
        </w:rPr>
        <w:t xml:space="preserve"> in tandem</w:t>
      </w:r>
      <w:r w:rsidR="009033A9" w:rsidRPr="007B25AE">
        <w:rPr>
          <w:rFonts w:ascii="Baskerville" w:eastAsia="MS PMincho" w:hAnsi="Baskerville" w:cs="Arabic Typesetting"/>
        </w:rPr>
        <w:t xml:space="preserve">?” </w:t>
      </w:r>
      <w:r w:rsidR="0022423A" w:rsidRPr="007B25AE">
        <w:rPr>
          <w:rFonts w:ascii="Baskerville" w:eastAsia="MS PMincho" w:hAnsi="Baskerville" w:cs="Arabic Typesetting"/>
        </w:rPr>
        <w:t xml:space="preserve"> M</w:t>
      </w:r>
      <w:r w:rsidR="000F245F" w:rsidRPr="007B25AE">
        <w:rPr>
          <w:rFonts w:ascii="Baskerville" w:eastAsia="MS PMincho" w:hAnsi="Baskerville" w:cs="Arabic Typesetting"/>
        </w:rPr>
        <w:t>y</w:t>
      </w:r>
      <w:r w:rsidR="00CC2E2B" w:rsidRPr="007B25AE">
        <w:rPr>
          <w:rFonts w:ascii="Baskerville" w:eastAsia="MS PMincho" w:hAnsi="Baskerville" w:cs="Arabic Typesetting"/>
        </w:rPr>
        <w:t xml:space="preserve"> recognition of this </w:t>
      </w:r>
      <w:r w:rsidR="00CC2E2B" w:rsidRPr="007B25AE">
        <w:rPr>
          <w:rFonts w:ascii="Baskerville" w:eastAsia="MS PMincho" w:hAnsi="Baskerville" w:cs="Arabic Typesetting"/>
          <w:color w:val="FF0000"/>
        </w:rPr>
        <w:t>gap</w:t>
      </w:r>
      <w:r w:rsidR="00F1096E" w:rsidRPr="007B25AE">
        <w:rPr>
          <w:rFonts w:ascii="Baskerville" w:eastAsia="MS PMincho" w:hAnsi="Baskerville" w:cs="Arabic Typesetting"/>
        </w:rPr>
        <w:t xml:space="preserve"> </w:t>
      </w:r>
      <w:r w:rsidR="00D048BF" w:rsidRPr="007B25AE">
        <w:rPr>
          <w:rFonts w:ascii="Baskerville" w:eastAsia="MS PMincho" w:hAnsi="Baskerville" w:cs="Arabic Typesetting"/>
        </w:rPr>
        <w:t>in the body of the research</w:t>
      </w:r>
      <w:r w:rsidR="00E90A40" w:rsidRPr="007B25AE">
        <w:rPr>
          <w:rFonts w:ascii="Baskerville" w:eastAsia="MS PMincho" w:hAnsi="Baskerville" w:cs="Arabic Typesetting"/>
        </w:rPr>
        <w:t>,</w:t>
      </w:r>
      <w:r w:rsidR="00D048BF" w:rsidRPr="007B25AE">
        <w:rPr>
          <w:rFonts w:ascii="Baskerville" w:eastAsia="MS PMincho" w:hAnsi="Baskerville" w:cs="Arabic Typesetting"/>
        </w:rPr>
        <w:t xml:space="preserve"> having to do with the adverse effect from the failure </w:t>
      </w:r>
      <w:r w:rsidR="007772C0" w:rsidRPr="007B25AE">
        <w:rPr>
          <w:rFonts w:ascii="Baskerville" w:eastAsia="MS PMincho" w:hAnsi="Baskerville" w:cs="Arabic Typesetting"/>
        </w:rPr>
        <w:t xml:space="preserve">of school systems </w:t>
      </w:r>
      <w:r w:rsidR="00D048BF" w:rsidRPr="007B25AE">
        <w:rPr>
          <w:rFonts w:ascii="Baskerville" w:eastAsia="MS PMincho" w:hAnsi="Baskerville" w:cs="Arabic Typesetting"/>
        </w:rPr>
        <w:t>to forge the two laws together</w:t>
      </w:r>
      <w:r w:rsidR="007772C0" w:rsidRPr="007B25AE">
        <w:rPr>
          <w:rFonts w:ascii="Baskerville" w:eastAsia="MS PMincho" w:hAnsi="Baskerville" w:cs="Arabic Typesetting"/>
        </w:rPr>
        <w:t>,</w:t>
      </w:r>
      <w:r w:rsidR="00D048BF" w:rsidRPr="007B25AE">
        <w:rPr>
          <w:rFonts w:ascii="Baskerville" w:eastAsia="MS PMincho" w:hAnsi="Baskerville" w:cs="Arabic Typesetting"/>
        </w:rPr>
        <w:t xml:space="preserve"> </w:t>
      </w:r>
      <w:r w:rsidR="00F1096E" w:rsidRPr="007B25AE">
        <w:rPr>
          <w:rFonts w:ascii="Baskerville" w:eastAsia="MS PMincho" w:hAnsi="Baskerville" w:cs="Arabic Typesetting"/>
        </w:rPr>
        <w:t xml:space="preserve">in </w:t>
      </w:r>
      <w:r w:rsidR="00D048BF" w:rsidRPr="007B25AE">
        <w:rPr>
          <w:rFonts w:ascii="Baskerville" w:eastAsia="MS PMincho" w:hAnsi="Baskerville" w:cs="Arabic Typesetting"/>
        </w:rPr>
        <w:t>practice</w:t>
      </w:r>
      <w:r w:rsidR="007772C0" w:rsidRPr="007B25AE">
        <w:rPr>
          <w:rFonts w:ascii="Baskerville" w:eastAsia="MS PMincho" w:hAnsi="Baskerville" w:cs="Arabic Typesetting"/>
        </w:rPr>
        <w:t>,</w:t>
      </w:r>
      <w:r w:rsidR="00CC2E2B" w:rsidRPr="007B25AE">
        <w:rPr>
          <w:rFonts w:ascii="Baskerville" w:eastAsia="MS PMincho" w:hAnsi="Baskerville" w:cs="Arabic Typesetting"/>
        </w:rPr>
        <w:t xml:space="preserve"> </w:t>
      </w:r>
      <w:r w:rsidR="00D048BF" w:rsidRPr="007B25AE">
        <w:rPr>
          <w:rFonts w:ascii="Baskerville" w:eastAsia="MS PMincho" w:hAnsi="Baskerville" w:cs="Arabic Typesetting"/>
        </w:rPr>
        <w:t>is my</w:t>
      </w:r>
      <w:r w:rsidR="00924EF1" w:rsidRPr="007B25AE">
        <w:rPr>
          <w:rFonts w:ascii="Baskerville" w:eastAsia="MS PMincho" w:hAnsi="Baskerville" w:cs="Arabic Typesetting"/>
        </w:rPr>
        <w:t xml:space="preserve"> </w:t>
      </w:r>
      <w:r w:rsidR="00CC2E2B" w:rsidRPr="007B25AE">
        <w:rPr>
          <w:rFonts w:ascii="Baskerville" w:eastAsia="MS PMincho" w:hAnsi="Baskerville" w:cs="Arabic Typesetting"/>
          <w:color w:val="FF0000"/>
        </w:rPr>
        <w:t>rational</w:t>
      </w:r>
      <w:r w:rsidR="00924EF1" w:rsidRPr="007B25AE">
        <w:rPr>
          <w:rFonts w:ascii="Baskerville" w:eastAsia="MS PMincho" w:hAnsi="Baskerville" w:cs="Arabic Typesetting"/>
          <w:color w:val="FF0000"/>
        </w:rPr>
        <w:t>e</w:t>
      </w:r>
      <w:r w:rsidR="00CC2E2B" w:rsidRPr="007B25AE">
        <w:rPr>
          <w:rFonts w:ascii="Baskerville" w:eastAsia="MS PMincho" w:hAnsi="Baskerville" w:cs="Arabic Typesetting"/>
        </w:rPr>
        <w:t xml:space="preserve"> for </w:t>
      </w:r>
      <w:r w:rsidR="00D048BF" w:rsidRPr="007B25AE">
        <w:rPr>
          <w:rFonts w:ascii="Baskerville" w:eastAsia="MS PMincho" w:hAnsi="Baskerville" w:cs="Arabic Typesetting"/>
        </w:rPr>
        <w:t xml:space="preserve">writing this </w:t>
      </w:r>
      <w:r w:rsidR="00CC2E2B" w:rsidRPr="007B25AE">
        <w:rPr>
          <w:rFonts w:ascii="Baskerville" w:eastAsia="MS PMincho" w:hAnsi="Baskerville" w:cs="Arabic Typesetting"/>
        </w:rPr>
        <w:t>dissertation.</w:t>
      </w:r>
      <w:r w:rsidR="00D17EF3" w:rsidRPr="007B25AE">
        <w:rPr>
          <w:rFonts w:ascii="Baskerville" w:eastAsia="MS PMincho" w:hAnsi="Baskerville" w:cs="Arabic Typesetting"/>
        </w:rPr>
        <w:t xml:space="preserve"> </w:t>
      </w:r>
    </w:p>
    <w:p w14:paraId="3FF70C25" w14:textId="42B63F85" w:rsidR="00A4192D" w:rsidRPr="007B25AE" w:rsidRDefault="00A4192D" w:rsidP="006005B3">
      <w:pPr>
        <w:spacing w:line="360" w:lineRule="auto"/>
        <w:ind w:firstLine="720"/>
        <w:rPr>
          <w:rFonts w:ascii="Baskerville" w:eastAsia="MS PMincho" w:hAnsi="Baskerville" w:cs="Arabic Typesetting"/>
        </w:rPr>
      </w:pPr>
    </w:p>
    <w:p w14:paraId="2BF55EA7" w14:textId="43DCB8EF" w:rsidR="00AF7BDF" w:rsidRPr="007B25AE" w:rsidRDefault="00A51818" w:rsidP="00A51818">
      <w:pPr>
        <w:spacing w:line="360" w:lineRule="auto"/>
        <w:ind w:firstLine="720"/>
        <w:jc w:val="center"/>
        <w:rPr>
          <w:rFonts w:ascii="Baskerville" w:eastAsia="MS PMincho" w:hAnsi="Baskerville" w:cs="Arabic Typesetting"/>
        </w:rPr>
      </w:pPr>
      <w:r w:rsidRPr="007B25AE">
        <w:rPr>
          <w:rFonts w:ascii="Baskerville" w:eastAsia="MS PMincho" w:hAnsi="Baskerville" w:cs="Arabic Typesetting"/>
        </w:rPr>
        <w:t>HYPOTHESES</w:t>
      </w:r>
    </w:p>
    <w:p w14:paraId="623622B0" w14:textId="77777777" w:rsidR="00A51818" w:rsidRPr="007B25AE" w:rsidRDefault="00A51818" w:rsidP="00A4192D">
      <w:pPr>
        <w:spacing w:line="360" w:lineRule="auto"/>
        <w:rPr>
          <w:rFonts w:ascii="Baskerville" w:eastAsia="MS PMincho" w:hAnsi="Baskerville" w:cs="Arabic Typesetting"/>
        </w:rPr>
      </w:pPr>
    </w:p>
    <w:p w14:paraId="0754108E" w14:textId="1321F804" w:rsidR="00280B86" w:rsidRPr="007B25AE" w:rsidRDefault="00F93509" w:rsidP="007E7684">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Under </w:t>
      </w:r>
      <w:r w:rsidR="00726440" w:rsidRPr="007B25AE">
        <w:rPr>
          <w:rFonts w:ascii="Baskerville" w:eastAsia="MS PMincho" w:hAnsi="Baskerville" w:cs="Arabic Typesetting"/>
        </w:rPr>
        <w:t xml:space="preserve">the </w:t>
      </w:r>
      <w:r w:rsidR="00247B5A" w:rsidRPr="007B25AE">
        <w:rPr>
          <w:rFonts w:ascii="Baskerville" w:eastAsia="MS PMincho" w:hAnsi="Baskerville" w:cs="Arabic Typesetting"/>
        </w:rPr>
        <w:t>Level 1 H</w:t>
      </w:r>
      <w:r w:rsidR="00726440" w:rsidRPr="007B25AE">
        <w:rPr>
          <w:rFonts w:ascii="Baskerville" w:eastAsia="MS PMincho" w:hAnsi="Baskerville" w:cs="Arabic Typesetting"/>
        </w:rPr>
        <w:t>eading</w:t>
      </w:r>
      <w:r w:rsidR="00A94269" w:rsidRPr="007B25AE">
        <w:rPr>
          <w:rFonts w:ascii="Baskerville" w:eastAsia="MS PMincho" w:hAnsi="Baskerville" w:cs="Arabic Typesetting"/>
        </w:rPr>
        <w:t xml:space="preserve"> entitled</w:t>
      </w:r>
      <w:r w:rsidR="00726440" w:rsidRPr="007B25AE">
        <w:rPr>
          <w:rFonts w:ascii="Baskerville" w:eastAsia="MS PMincho" w:hAnsi="Baskerville" w:cs="Arabic Typesetting"/>
        </w:rPr>
        <w:t xml:space="preserve">, </w:t>
      </w:r>
      <w:r w:rsidR="00A94269" w:rsidRPr="007B25AE">
        <w:rPr>
          <w:rFonts w:ascii="Baskerville" w:eastAsia="MS PMincho" w:hAnsi="Baskerville" w:cs="Arabic Typesetting"/>
        </w:rPr>
        <w:t>“</w:t>
      </w:r>
      <w:r w:rsidR="00726440" w:rsidRPr="007B25AE">
        <w:rPr>
          <w:rFonts w:ascii="Baskerville" w:eastAsia="MS PMincho" w:hAnsi="Baskerville" w:cs="Arabic Typesetting"/>
        </w:rPr>
        <w:t>WORKING HYPOTHESES,</w:t>
      </w:r>
      <w:r w:rsidR="00A94269" w:rsidRPr="007B25AE">
        <w:rPr>
          <w:rFonts w:ascii="Baskerville" w:eastAsia="MS PMincho" w:hAnsi="Baskerville" w:cs="Arabic Typesetting"/>
        </w:rPr>
        <w:t>”</w:t>
      </w:r>
      <w:r w:rsidR="00726440" w:rsidRPr="007B25AE">
        <w:rPr>
          <w:rFonts w:ascii="Baskerville" w:eastAsia="MS PMincho" w:hAnsi="Baskerville" w:cs="Arabic Typesetting"/>
        </w:rPr>
        <w:t xml:space="preserve"> </w:t>
      </w:r>
      <w:proofErr w:type="spellStart"/>
      <w:r w:rsidR="00726440" w:rsidRPr="007B25AE">
        <w:rPr>
          <w:rFonts w:ascii="Baskerville" w:eastAsia="MS PMincho" w:hAnsi="Baskerville" w:cs="Arabic Typesetting"/>
        </w:rPr>
        <w:t>Ogundimu</w:t>
      </w:r>
      <w:proofErr w:type="spellEnd"/>
      <w:r w:rsidR="00726440" w:rsidRPr="007B25AE">
        <w:rPr>
          <w:rFonts w:ascii="Baskerville" w:eastAsia="MS PMincho" w:hAnsi="Baskerville" w:cs="Arabic Typesetting"/>
        </w:rPr>
        <w:t xml:space="preserve"> (2014) writes</w:t>
      </w:r>
      <w:r w:rsidR="009677EE" w:rsidRPr="007B25AE">
        <w:rPr>
          <w:rFonts w:ascii="Baskerville" w:eastAsia="MS PMincho" w:hAnsi="Baskerville" w:cs="Arabic Typesetting"/>
        </w:rPr>
        <w:t xml:space="preserve"> that his “…</w:t>
      </w:r>
      <w:r w:rsidR="00A94269" w:rsidRPr="007B25AE">
        <w:rPr>
          <w:rFonts w:ascii="Baskerville" w:eastAsia="MS PMincho" w:hAnsi="Baskerville" w:cs="Arabic Typesetting"/>
        </w:rPr>
        <w:t xml:space="preserve"> [Since his] </w:t>
      </w:r>
      <w:r w:rsidR="009677EE" w:rsidRPr="007B25AE">
        <w:rPr>
          <w:rFonts w:ascii="Baskerville" w:eastAsia="MS PMincho" w:hAnsi="Baskerville" w:cs="Arabic Typesetting"/>
        </w:rPr>
        <w:t xml:space="preserve">working hypotheses are directly linked to the rationale for </w:t>
      </w:r>
      <w:r w:rsidR="00A94269" w:rsidRPr="007B25AE">
        <w:rPr>
          <w:rFonts w:ascii="Baskerville" w:eastAsia="MS PMincho" w:hAnsi="Baskerville" w:cs="Arabic Typesetting"/>
        </w:rPr>
        <w:t>… [his]</w:t>
      </w:r>
      <w:r w:rsidR="009677EE" w:rsidRPr="007B25AE">
        <w:rPr>
          <w:rFonts w:ascii="Baskerville" w:eastAsia="MS PMincho" w:hAnsi="Baskerville" w:cs="Arabic Typesetting"/>
        </w:rPr>
        <w:t xml:space="preserve"> study</w:t>
      </w:r>
      <w:r w:rsidR="00D31FB1" w:rsidRPr="007B25AE">
        <w:rPr>
          <w:rFonts w:ascii="Baskerville" w:eastAsia="MS PMincho" w:hAnsi="Baskerville" w:cs="Arabic Typesetting"/>
        </w:rPr>
        <w:t>….</w:t>
      </w:r>
      <w:r w:rsidR="00874707" w:rsidRPr="007B25AE">
        <w:rPr>
          <w:rFonts w:ascii="Baskerville" w:eastAsia="MS PMincho" w:hAnsi="Baskerville" w:cs="Arabic Typesetting"/>
        </w:rPr>
        <w:t xml:space="preserve">[His] </w:t>
      </w:r>
      <w:r w:rsidR="00D31FB1" w:rsidRPr="007B25AE">
        <w:rPr>
          <w:rFonts w:ascii="Baskerville" w:eastAsia="MS PMincho" w:hAnsi="Baskerville" w:cs="Arabic Typesetting"/>
        </w:rPr>
        <w:t>rationale can be ca</w:t>
      </w:r>
      <w:r w:rsidR="00874707" w:rsidRPr="007B25AE">
        <w:rPr>
          <w:rFonts w:ascii="Baskerville" w:eastAsia="MS PMincho" w:hAnsi="Baskerville" w:cs="Arabic Typesetting"/>
        </w:rPr>
        <w:t>tegor</w:t>
      </w:r>
      <w:r w:rsidR="00D31FB1" w:rsidRPr="007B25AE">
        <w:rPr>
          <w:rFonts w:ascii="Baskerville" w:eastAsia="MS PMincho" w:hAnsi="Baskerville" w:cs="Arabic Typesetting"/>
        </w:rPr>
        <w:t xml:space="preserve">ized into four distinct arguments/questions.” He lists five arguments (viz., questions) that give rise to five </w:t>
      </w:r>
      <w:r w:rsidR="00874707" w:rsidRPr="007B25AE">
        <w:rPr>
          <w:rFonts w:ascii="Baskerville" w:eastAsia="MS PMincho" w:hAnsi="Baskerville" w:cs="Arabic Typesetting"/>
        </w:rPr>
        <w:t xml:space="preserve">respective </w:t>
      </w:r>
      <w:r w:rsidR="00D31FB1" w:rsidRPr="007B25AE">
        <w:rPr>
          <w:rFonts w:ascii="Baskerville" w:eastAsia="MS PMincho" w:hAnsi="Baskerville" w:cs="Arabic Typesetting"/>
        </w:rPr>
        <w:t>hypotheses</w:t>
      </w:r>
      <w:r w:rsidR="00874707" w:rsidRPr="007B25AE">
        <w:rPr>
          <w:rFonts w:ascii="Baskerville" w:eastAsia="MS PMincho" w:hAnsi="Baskerville" w:cs="Arabic Typesetting"/>
        </w:rPr>
        <w:t>, the first of which</w:t>
      </w:r>
      <w:r w:rsidR="00A94269" w:rsidRPr="007B25AE">
        <w:rPr>
          <w:rFonts w:ascii="Baskerville" w:eastAsia="MS PMincho" w:hAnsi="Baskerville" w:cs="Arabic Typesetting"/>
        </w:rPr>
        <w:t>,</w:t>
      </w:r>
      <w:r w:rsidR="00874707" w:rsidRPr="007B25AE">
        <w:rPr>
          <w:rFonts w:ascii="Baskerville" w:eastAsia="MS PMincho" w:hAnsi="Baskerville" w:cs="Arabic Typesetting"/>
        </w:rPr>
        <w:t xml:space="preserve"> is “the proponents’ conventional</w:t>
      </w:r>
      <w:r w:rsidR="00687123" w:rsidRPr="007B25AE">
        <w:rPr>
          <w:rFonts w:ascii="Baskerville" w:eastAsia="MS PMincho" w:hAnsi="Baskerville" w:cs="Arabic Typesetting"/>
        </w:rPr>
        <w:t xml:space="preserve"> wisdom </w:t>
      </w:r>
      <w:r w:rsidR="00874707" w:rsidRPr="007B25AE">
        <w:rPr>
          <w:rFonts w:ascii="Baskerville" w:eastAsia="MS PMincho" w:hAnsi="Baskerville" w:cs="Arabic Typesetting"/>
        </w:rPr>
        <w:t>arguments</w:t>
      </w:r>
      <w:r w:rsidR="00687123" w:rsidRPr="007B25AE">
        <w:rPr>
          <w:rFonts w:ascii="Baskerville" w:eastAsia="MS PMincho" w:hAnsi="Baskerville" w:cs="Arabic Typesetting"/>
        </w:rPr>
        <w:t>.</w:t>
      </w:r>
      <w:r w:rsidR="00874707" w:rsidRPr="007B25AE">
        <w:rPr>
          <w:rFonts w:ascii="Baskerville" w:eastAsia="MS PMincho" w:hAnsi="Baskerville" w:cs="Arabic Typesetting"/>
        </w:rPr>
        <w:t>”</w:t>
      </w:r>
      <w:r w:rsidR="00687123" w:rsidRPr="007B25AE">
        <w:rPr>
          <w:rFonts w:ascii="Baskerville" w:eastAsia="MS PMincho" w:hAnsi="Baskerville" w:cs="Arabic Typesetting"/>
        </w:rPr>
        <w:t xml:space="preserve"> S</w:t>
      </w:r>
      <w:r w:rsidR="00874707" w:rsidRPr="007B25AE">
        <w:rPr>
          <w:rFonts w:ascii="Baskerville" w:eastAsia="MS PMincho" w:hAnsi="Baskerville" w:cs="Arabic Typesetting"/>
        </w:rPr>
        <w:t xml:space="preserve">imply put, </w:t>
      </w:r>
      <w:r w:rsidR="00687123" w:rsidRPr="007B25AE">
        <w:rPr>
          <w:rFonts w:ascii="Baskerville" w:eastAsia="MS PMincho" w:hAnsi="Baskerville" w:cs="Arabic Typesetting"/>
        </w:rPr>
        <w:t xml:space="preserve">this is about the need for the researcher to review </w:t>
      </w:r>
      <w:r w:rsidR="00874707" w:rsidRPr="007B25AE">
        <w:rPr>
          <w:rFonts w:ascii="Baskerville" w:eastAsia="MS PMincho" w:hAnsi="Baskerville" w:cs="Arabic Typesetting"/>
        </w:rPr>
        <w:t>the</w:t>
      </w:r>
      <w:r w:rsidR="00280B86" w:rsidRPr="007B25AE">
        <w:rPr>
          <w:rFonts w:ascii="Baskerville" w:eastAsia="MS PMincho" w:hAnsi="Baskerville" w:cs="Arabic Typesetting"/>
        </w:rPr>
        <w:t xml:space="preserve"> </w:t>
      </w:r>
      <w:r w:rsidR="00874707" w:rsidRPr="007B25AE">
        <w:rPr>
          <w:rFonts w:ascii="Baskerville" w:eastAsia="MS PMincho" w:hAnsi="Baskerville" w:cs="Arabic Typesetting"/>
        </w:rPr>
        <w:t>body of literature amassed by experts in the field.</w:t>
      </w:r>
    </w:p>
    <w:p w14:paraId="3EAF4C29" w14:textId="59E72E54" w:rsidR="007B4D38" w:rsidRPr="007B25AE" w:rsidRDefault="00A94269" w:rsidP="007E7684">
      <w:pPr>
        <w:spacing w:line="360" w:lineRule="auto"/>
        <w:ind w:firstLine="720"/>
        <w:rPr>
          <w:rFonts w:ascii="Baskerville" w:eastAsia="MS PMincho" w:hAnsi="Baskerville" w:cs="Arabic Typesetting"/>
        </w:rPr>
      </w:pPr>
      <w:r w:rsidRPr="007B25AE">
        <w:rPr>
          <w:rFonts w:ascii="Baskerville" w:eastAsia="MS PMincho" w:hAnsi="Baskerville" w:cs="Arabic Typesetting"/>
        </w:rPr>
        <w:t>So, by u</w:t>
      </w:r>
      <w:r w:rsidR="007B4D38" w:rsidRPr="007B25AE">
        <w:rPr>
          <w:rFonts w:ascii="Baskerville" w:eastAsia="MS PMincho" w:hAnsi="Baskerville" w:cs="Arabic Typesetting"/>
        </w:rPr>
        <w:t xml:space="preserve">sing the </w:t>
      </w:r>
      <w:proofErr w:type="spellStart"/>
      <w:r w:rsidR="007B4D38" w:rsidRPr="007B25AE">
        <w:rPr>
          <w:rFonts w:ascii="Baskerville" w:eastAsia="MS PMincho" w:hAnsi="Baskerville" w:cs="Arabic Typesetting"/>
        </w:rPr>
        <w:t>Ogundimu</w:t>
      </w:r>
      <w:proofErr w:type="spellEnd"/>
      <w:r w:rsidR="007B4D38" w:rsidRPr="007B25AE">
        <w:rPr>
          <w:rFonts w:ascii="Baskerville" w:eastAsia="MS PMincho" w:hAnsi="Baskerville" w:cs="Arabic Typesetting"/>
        </w:rPr>
        <w:t xml:space="preserve"> approach as a template for </w:t>
      </w:r>
      <w:r w:rsidR="00280B86" w:rsidRPr="007B25AE">
        <w:rPr>
          <w:rFonts w:ascii="Baskerville" w:eastAsia="MS PMincho" w:hAnsi="Baskerville" w:cs="Arabic Typesetting"/>
        </w:rPr>
        <w:t>m</w:t>
      </w:r>
      <w:r w:rsidR="007B4D38" w:rsidRPr="007B25AE">
        <w:rPr>
          <w:rFonts w:ascii="Baskerville" w:eastAsia="MS PMincho" w:hAnsi="Baskerville" w:cs="Arabic Typesetting"/>
        </w:rPr>
        <w:t>y dissertation</w:t>
      </w:r>
      <w:r w:rsidR="00280B86" w:rsidRPr="007B25AE">
        <w:rPr>
          <w:rFonts w:ascii="Baskerville" w:eastAsia="MS PMincho" w:hAnsi="Baskerville" w:cs="Arabic Typesetting"/>
        </w:rPr>
        <w:t>, I ask the following arguments/questions</w:t>
      </w:r>
      <w:r w:rsidR="007B4D38" w:rsidRPr="007B25AE">
        <w:rPr>
          <w:rFonts w:ascii="Baskerville" w:eastAsia="MS PMincho" w:hAnsi="Baskerville" w:cs="Arabic Typesetting"/>
        </w:rPr>
        <w:t>:</w:t>
      </w:r>
    </w:p>
    <w:p w14:paraId="0F5A0EB4" w14:textId="1904789F" w:rsidR="00B414F4" w:rsidRPr="007B25AE" w:rsidRDefault="00A94269" w:rsidP="00B414F4">
      <w:pPr>
        <w:pStyle w:val="ListParagraph"/>
        <w:numPr>
          <w:ilvl w:val="0"/>
          <w:numId w:val="5"/>
        </w:numPr>
        <w:spacing w:line="360" w:lineRule="auto"/>
        <w:rPr>
          <w:rFonts w:ascii="Baskerville" w:eastAsia="MS PMincho" w:hAnsi="Baskerville" w:cs="Arabic Typesetting"/>
        </w:rPr>
      </w:pPr>
      <w:r w:rsidRPr="007B25AE">
        <w:rPr>
          <w:rFonts w:ascii="Baskerville" w:eastAsia="MS PMincho" w:hAnsi="Baskerville" w:cs="Arabic Typesetting"/>
        </w:rPr>
        <w:t xml:space="preserve">In what way </w:t>
      </w:r>
      <w:r w:rsidR="00A82174" w:rsidRPr="007B25AE">
        <w:rPr>
          <w:rFonts w:ascii="Baskerville" w:eastAsia="MS PMincho" w:hAnsi="Baskerville" w:cs="Arabic Typesetting"/>
        </w:rPr>
        <w:t>has</w:t>
      </w:r>
      <w:r w:rsidRPr="007B25AE">
        <w:rPr>
          <w:rFonts w:ascii="Baskerville" w:eastAsia="MS PMincho" w:hAnsi="Baskerville" w:cs="Arabic Typesetting"/>
        </w:rPr>
        <w:t xml:space="preserve"> </w:t>
      </w:r>
      <w:r w:rsidR="00B414F4" w:rsidRPr="007B25AE">
        <w:rPr>
          <w:rFonts w:ascii="Baskerville" w:eastAsia="MS PMincho" w:hAnsi="Baskerville" w:cs="Arabic Typesetting"/>
        </w:rPr>
        <w:t>Brown contribute to the shortage of Black teachers in the integrated classroom?</w:t>
      </w:r>
    </w:p>
    <w:p w14:paraId="14E42510" w14:textId="1183DE30" w:rsidR="007B4D38" w:rsidRPr="007B25AE" w:rsidRDefault="007B4D38" w:rsidP="007B4D38">
      <w:pPr>
        <w:pStyle w:val="ListParagraph"/>
        <w:numPr>
          <w:ilvl w:val="0"/>
          <w:numId w:val="5"/>
        </w:numPr>
        <w:spacing w:line="360" w:lineRule="auto"/>
        <w:rPr>
          <w:rFonts w:ascii="Baskerville" w:eastAsia="MS PMincho" w:hAnsi="Baskerville" w:cs="Arabic Typesetting"/>
        </w:rPr>
      </w:pPr>
      <w:r w:rsidRPr="007B25AE">
        <w:rPr>
          <w:rFonts w:ascii="Baskerville" w:eastAsia="MS PMincho" w:hAnsi="Baskerville" w:cs="Arabic Typesetting"/>
        </w:rPr>
        <w:t xml:space="preserve">Is there a negative impact on the extrinsic motivation of </w:t>
      </w:r>
      <w:r w:rsidR="00540AC3" w:rsidRPr="007B25AE">
        <w:rPr>
          <w:rFonts w:ascii="Baskerville" w:eastAsia="MS PMincho" w:hAnsi="Baskerville" w:cs="Arabic Typesetting"/>
        </w:rPr>
        <w:t xml:space="preserve">Black </w:t>
      </w:r>
      <w:r w:rsidRPr="007B25AE">
        <w:rPr>
          <w:rFonts w:ascii="Baskerville" w:eastAsia="MS PMincho" w:hAnsi="Baskerville" w:cs="Arabic Typesetting"/>
        </w:rPr>
        <w:t>children who are taught only</w:t>
      </w:r>
      <w:r w:rsidR="00A94269" w:rsidRPr="007B25AE">
        <w:rPr>
          <w:rFonts w:ascii="Baskerville" w:eastAsia="MS PMincho" w:hAnsi="Baskerville" w:cs="Arabic Typesetting"/>
        </w:rPr>
        <w:t>,</w:t>
      </w:r>
      <w:r w:rsidRPr="007B25AE">
        <w:rPr>
          <w:rFonts w:ascii="Baskerville" w:eastAsia="MS PMincho" w:hAnsi="Baskerville" w:cs="Arabic Typesetting"/>
        </w:rPr>
        <w:t xml:space="preserve"> </w:t>
      </w:r>
      <w:r w:rsidR="00A94269" w:rsidRPr="007B25AE">
        <w:rPr>
          <w:rFonts w:ascii="Baskerville" w:eastAsia="MS PMincho" w:hAnsi="Baskerville" w:cs="Arabic Typesetting"/>
        </w:rPr>
        <w:t xml:space="preserve">or mostly, </w:t>
      </w:r>
      <w:r w:rsidRPr="007B25AE">
        <w:rPr>
          <w:rFonts w:ascii="Baskerville" w:eastAsia="MS PMincho" w:hAnsi="Baskerville" w:cs="Arabic Typesetting"/>
        </w:rPr>
        <w:t>by White teachers?</w:t>
      </w:r>
    </w:p>
    <w:p w14:paraId="69E29C08" w14:textId="5CB673F8" w:rsidR="00ED0286" w:rsidRPr="007B25AE" w:rsidRDefault="00911ADF" w:rsidP="007B4D38">
      <w:pPr>
        <w:pStyle w:val="ListParagraph"/>
        <w:numPr>
          <w:ilvl w:val="0"/>
          <w:numId w:val="5"/>
        </w:numPr>
        <w:spacing w:line="360" w:lineRule="auto"/>
        <w:rPr>
          <w:rFonts w:ascii="Baskerville" w:eastAsia="MS PMincho" w:hAnsi="Baskerville" w:cs="Arabic Typesetting"/>
        </w:rPr>
      </w:pPr>
      <w:r w:rsidRPr="007B25AE">
        <w:rPr>
          <w:rFonts w:ascii="Baskerville" w:eastAsia="MS PMincho" w:hAnsi="Baskerville" w:cs="Arabic Typesetting"/>
        </w:rPr>
        <w:t xml:space="preserve">Does </w:t>
      </w:r>
      <w:r w:rsidR="00A94269" w:rsidRPr="007B25AE">
        <w:rPr>
          <w:rFonts w:ascii="Baskerville" w:eastAsia="MS PMincho" w:hAnsi="Baskerville" w:cs="Arabic Typesetting"/>
        </w:rPr>
        <w:t>the shortage</w:t>
      </w:r>
      <w:r w:rsidRPr="007B25AE">
        <w:rPr>
          <w:rFonts w:ascii="Baskerville" w:eastAsia="MS PMincho" w:hAnsi="Baskerville" w:cs="Arabic Typesetting"/>
        </w:rPr>
        <w:t xml:space="preserve"> of Black male teachers factor into the academic </w:t>
      </w:r>
      <w:r w:rsidR="00A94269" w:rsidRPr="007B25AE">
        <w:rPr>
          <w:rFonts w:ascii="Baskerville" w:eastAsia="MS PMincho" w:hAnsi="Baskerville" w:cs="Arabic Typesetting"/>
        </w:rPr>
        <w:t xml:space="preserve">failure and disciplinary problems </w:t>
      </w:r>
      <w:r w:rsidRPr="007B25AE">
        <w:rPr>
          <w:rFonts w:ascii="Baskerville" w:eastAsia="MS PMincho" w:hAnsi="Baskerville" w:cs="Arabic Typesetting"/>
        </w:rPr>
        <w:t>of Black boys?</w:t>
      </w:r>
    </w:p>
    <w:p w14:paraId="198DEB42" w14:textId="5E172A42" w:rsidR="00B414F4" w:rsidRPr="007B25AE" w:rsidRDefault="00B414F4" w:rsidP="00B414F4">
      <w:pPr>
        <w:pStyle w:val="ListParagraph"/>
        <w:numPr>
          <w:ilvl w:val="0"/>
          <w:numId w:val="5"/>
        </w:numPr>
        <w:spacing w:line="360" w:lineRule="auto"/>
        <w:rPr>
          <w:rFonts w:ascii="Baskerville" w:eastAsia="MS PMincho" w:hAnsi="Baskerville" w:cs="Arabic Typesetting"/>
        </w:rPr>
      </w:pPr>
      <w:r w:rsidRPr="007B25AE">
        <w:rPr>
          <w:rFonts w:ascii="Baskerville" w:eastAsia="MS PMincho" w:hAnsi="Baskerville" w:cs="Arabic Typesetting"/>
        </w:rPr>
        <w:t>Does the shortage of Black teachers in the classrooms affect the college enrolment rate of Black students?</w:t>
      </w:r>
    </w:p>
    <w:p w14:paraId="5D3A6184" w14:textId="6AD1B3E4" w:rsidR="00AB27C0" w:rsidRPr="007B25AE" w:rsidRDefault="004A7533" w:rsidP="004B270F">
      <w:pPr>
        <w:pStyle w:val="ListParagraph"/>
        <w:numPr>
          <w:ilvl w:val="0"/>
          <w:numId w:val="5"/>
        </w:numPr>
        <w:spacing w:line="360" w:lineRule="auto"/>
        <w:rPr>
          <w:rFonts w:ascii="Baskerville" w:eastAsia="MS PMincho" w:hAnsi="Baskerville" w:cs="Arabic Typesetting"/>
        </w:rPr>
      </w:pPr>
      <w:r w:rsidRPr="007B25AE">
        <w:rPr>
          <w:rFonts w:ascii="Baskerville" w:eastAsia="MS PMincho" w:hAnsi="Baskerville" w:cs="Arabic Typesetting"/>
        </w:rPr>
        <w:t xml:space="preserve">What are the factors that </w:t>
      </w:r>
      <w:r w:rsidR="00EA3F9E" w:rsidRPr="007B25AE">
        <w:rPr>
          <w:rFonts w:ascii="Baskerville" w:eastAsia="MS PMincho" w:hAnsi="Baskerville" w:cs="Arabic Typesetting"/>
        </w:rPr>
        <w:t>have been contributing to the declin</w:t>
      </w:r>
      <w:r w:rsidR="00A94269" w:rsidRPr="007B25AE">
        <w:rPr>
          <w:rFonts w:ascii="Baskerville" w:eastAsia="MS PMincho" w:hAnsi="Baskerville" w:cs="Arabic Typesetting"/>
        </w:rPr>
        <w:t>e</w:t>
      </w:r>
      <w:r w:rsidRPr="007B25AE">
        <w:rPr>
          <w:rFonts w:ascii="Baskerville" w:eastAsia="MS PMincho" w:hAnsi="Baskerville" w:cs="Arabic Typesetting"/>
        </w:rPr>
        <w:t xml:space="preserve"> </w:t>
      </w:r>
      <w:r w:rsidR="00EA3F9E" w:rsidRPr="007B25AE">
        <w:rPr>
          <w:rFonts w:ascii="Baskerville" w:eastAsia="MS PMincho" w:hAnsi="Baskerville" w:cs="Arabic Typesetting"/>
        </w:rPr>
        <w:t xml:space="preserve">of the </w:t>
      </w:r>
      <w:r w:rsidRPr="007B25AE">
        <w:rPr>
          <w:rFonts w:ascii="Baskerville" w:eastAsia="MS PMincho" w:hAnsi="Baskerville" w:cs="Arabic Typesetting"/>
        </w:rPr>
        <w:t xml:space="preserve">New York City </w:t>
      </w:r>
      <w:r w:rsidR="00535CFA" w:rsidRPr="007B25AE">
        <w:rPr>
          <w:rFonts w:ascii="Baskerville" w:eastAsia="MS PMincho" w:hAnsi="Baskerville" w:cs="Arabic Typesetting"/>
        </w:rPr>
        <w:t xml:space="preserve">Black </w:t>
      </w:r>
      <w:r w:rsidRPr="007B25AE">
        <w:rPr>
          <w:rFonts w:ascii="Baskerville" w:eastAsia="MS PMincho" w:hAnsi="Baskerville" w:cs="Arabic Typesetting"/>
        </w:rPr>
        <w:t>teac</w:t>
      </w:r>
      <w:r w:rsidR="00535CFA" w:rsidRPr="007B25AE">
        <w:rPr>
          <w:rFonts w:ascii="Baskerville" w:eastAsia="MS PMincho" w:hAnsi="Baskerville" w:cs="Arabic Typesetting"/>
        </w:rPr>
        <w:t>her population?</w:t>
      </w:r>
      <w:r w:rsidR="007C49B9" w:rsidRPr="007B25AE">
        <w:rPr>
          <w:rFonts w:ascii="Baskerville" w:eastAsia="MS PMincho" w:hAnsi="Baskerville" w:cs="Arabic Typesetting"/>
        </w:rPr>
        <w:t xml:space="preserve"> </w:t>
      </w:r>
      <w:r w:rsidR="002B1715" w:rsidRPr="007B25AE">
        <w:rPr>
          <w:rFonts w:ascii="Baskerville" w:eastAsia="MS PMincho" w:hAnsi="Baskerville" w:cs="Arabic Typesetting"/>
        </w:rPr>
        <w:t xml:space="preserve"> </w:t>
      </w:r>
    </w:p>
    <w:p w14:paraId="3FF11A5D" w14:textId="1A97B3EF" w:rsidR="00AB27C0" w:rsidRPr="007B25AE" w:rsidRDefault="00AB27C0" w:rsidP="00AB27C0">
      <w:pPr>
        <w:spacing w:line="360" w:lineRule="auto"/>
        <w:rPr>
          <w:rFonts w:ascii="Baskerville" w:eastAsia="MS PMincho" w:hAnsi="Baskerville" w:cs="Arabic Typesetting"/>
        </w:rPr>
      </w:pPr>
      <w:r w:rsidRPr="007B25AE">
        <w:rPr>
          <w:rFonts w:ascii="Baskerville" w:eastAsia="MS PMincho" w:hAnsi="Baskerville" w:cs="Arabic Typesetting"/>
        </w:rPr>
        <w:t>Hypotheses:</w:t>
      </w:r>
    </w:p>
    <w:p w14:paraId="5100077E" w14:textId="35736942" w:rsidR="00C872CB" w:rsidRPr="007B25AE" w:rsidRDefault="00C872CB" w:rsidP="00C872CB">
      <w:pPr>
        <w:pStyle w:val="ListParagraph"/>
        <w:numPr>
          <w:ilvl w:val="0"/>
          <w:numId w:val="3"/>
        </w:numPr>
        <w:spacing w:line="360" w:lineRule="auto"/>
        <w:rPr>
          <w:rFonts w:ascii="Baskerville" w:eastAsia="MS PMincho" w:hAnsi="Baskerville" w:cs="Arabic Typesetting"/>
        </w:rPr>
      </w:pPr>
      <w:r w:rsidRPr="007B25AE">
        <w:rPr>
          <w:rFonts w:ascii="Baskerville" w:eastAsia="MS PMincho" w:hAnsi="Baskerville" w:cs="Arabic Typesetting"/>
        </w:rPr>
        <w:t xml:space="preserve">If </w:t>
      </w:r>
      <w:r w:rsidR="00A82174" w:rsidRPr="007B25AE">
        <w:rPr>
          <w:rFonts w:ascii="Baskerville" w:eastAsia="MS PMincho" w:hAnsi="Baskerville" w:cs="Arabic Typesetting"/>
        </w:rPr>
        <w:t>Brown v. Board of Education</w:t>
      </w:r>
      <w:r w:rsidRPr="007B25AE">
        <w:rPr>
          <w:rFonts w:ascii="Baskerville" w:eastAsia="MS PMincho" w:hAnsi="Baskerville" w:cs="Arabic Typesetting"/>
        </w:rPr>
        <w:t xml:space="preserve"> is no</w:t>
      </w:r>
      <w:r w:rsidR="00A4192D" w:rsidRPr="007B25AE">
        <w:rPr>
          <w:rFonts w:ascii="Baskerville" w:eastAsia="MS PMincho" w:hAnsi="Baskerville" w:cs="Arabic Typesetting"/>
        </w:rPr>
        <w:t>t</w:t>
      </w:r>
      <w:r w:rsidRPr="007B25AE">
        <w:rPr>
          <w:rFonts w:ascii="Baskerville" w:eastAsia="MS PMincho" w:hAnsi="Baskerville" w:cs="Arabic Typesetting"/>
        </w:rPr>
        <w:t xml:space="preserve"> enforced in conjunction with Title VII (SEC. 2000e-2. [Section 703]) by NYC DOE, then, the overall success of the Black student population in the city will fall behind. </w:t>
      </w:r>
    </w:p>
    <w:p w14:paraId="3646FD3B" w14:textId="3430D8F5" w:rsidR="00A3600A" w:rsidRPr="007B25AE" w:rsidRDefault="004670D7" w:rsidP="00470C38">
      <w:pPr>
        <w:pStyle w:val="ListParagraph"/>
        <w:numPr>
          <w:ilvl w:val="0"/>
          <w:numId w:val="3"/>
        </w:numPr>
        <w:spacing w:line="360" w:lineRule="auto"/>
        <w:rPr>
          <w:rFonts w:ascii="Baskerville" w:eastAsia="MS PMincho" w:hAnsi="Baskerville" w:cs="Arabic Typesetting"/>
        </w:rPr>
      </w:pPr>
      <w:r w:rsidRPr="007B25AE">
        <w:rPr>
          <w:rFonts w:ascii="Baskerville" w:eastAsia="MS PMincho" w:hAnsi="Baskerville" w:cs="Arabic Typesetting"/>
        </w:rPr>
        <w:t>When</w:t>
      </w:r>
      <w:r w:rsidR="006D642B" w:rsidRPr="007B25AE">
        <w:rPr>
          <w:rFonts w:ascii="Baskerville" w:eastAsia="MS PMincho" w:hAnsi="Baskerville" w:cs="Arabic Typesetting"/>
        </w:rPr>
        <w:t xml:space="preserve"> New York City public school </w:t>
      </w:r>
      <w:r w:rsidR="00F167CF" w:rsidRPr="007B25AE">
        <w:rPr>
          <w:rFonts w:ascii="Baskerville" w:eastAsia="MS PMincho" w:hAnsi="Baskerville" w:cs="Arabic Typesetting"/>
        </w:rPr>
        <w:t xml:space="preserve">with large </w:t>
      </w:r>
      <w:r w:rsidR="005400FE" w:rsidRPr="007B25AE">
        <w:rPr>
          <w:rFonts w:ascii="Baskerville" w:eastAsia="MS PMincho" w:hAnsi="Baskerville" w:cs="Arabic Typesetting"/>
        </w:rPr>
        <w:t>student</w:t>
      </w:r>
      <w:r w:rsidR="004135E1" w:rsidRPr="007B25AE">
        <w:rPr>
          <w:rFonts w:ascii="Baskerville" w:eastAsia="MS PMincho" w:hAnsi="Baskerville" w:cs="Arabic Typesetting"/>
        </w:rPr>
        <w:t>-</w:t>
      </w:r>
      <w:r w:rsidR="005400FE" w:rsidRPr="007B25AE">
        <w:rPr>
          <w:rFonts w:ascii="Baskerville" w:eastAsia="MS PMincho" w:hAnsi="Baskerville" w:cs="Arabic Typesetting"/>
        </w:rPr>
        <w:t>population of African descent</w:t>
      </w:r>
      <w:r w:rsidR="006D642B" w:rsidRPr="007B25AE">
        <w:rPr>
          <w:rFonts w:ascii="Baskerville" w:eastAsia="MS PMincho" w:hAnsi="Baskerville" w:cs="Arabic Typesetting"/>
        </w:rPr>
        <w:t xml:space="preserve"> </w:t>
      </w:r>
      <w:r w:rsidR="005400FE" w:rsidRPr="007B25AE">
        <w:rPr>
          <w:rFonts w:ascii="Baskerville" w:eastAsia="MS PMincho" w:hAnsi="Baskerville" w:cs="Arabic Typesetting"/>
        </w:rPr>
        <w:t>has</w:t>
      </w:r>
      <w:r w:rsidR="006D642B" w:rsidRPr="007B25AE">
        <w:rPr>
          <w:rFonts w:ascii="Baskerville" w:eastAsia="MS PMincho" w:hAnsi="Baskerville" w:cs="Arabic Typesetting"/>
        </w:rPr>
        <w:t xml:space="preserve"> </w:t>
      </w:r>
      <w:r w:rsidR="00F167CF" w:rsidRPr="007B25AE">
        <w:rPr>
          <w:rFonts w:ascii="Baskerville" w:eastAsia="MS PMincho" w:hAnsi="Baskerville" w:cs="Arabic Typesetting"/>
        </w:rPr>
        <w:t>10%</w:t>
      </w:r>
      <w:r w:rsidR="006D642B" w:rsidRPr="007B25AE">
        <w:rPr>
          <w:rFonts w:ascii="Baskerville" w:eastAsia="MS PMincho" w:hAnsi="Baskerville" w:cs="Arabic Typesetting"/>
        </w:rPr>
        <w:t xml:space="preserve"> or </w:t>
      </w:r>
      <w:r w:rsidR="00F167CF" w:rsidRPr="007B25AE">
        <w:rPr>
          <w:rFonts w:ascii="Baskerville" w:eastAsia="MS PMincho" w:hAnsi="Baskerville" w:cs="Arabic Typesetting"/>
        </w:rPr>
        <w:t>less</w:t>
      </w:r>
      <w:r w:rsidR="006D642B" w:rsidRPr="007B25AE">
        <w:rPr>
          <w:rFonts w:ascii="Baskerville" w:eastAsia="MS PMincho" w:hAnsi="Baskerville" w:cs="Arabic Typesetting"/>
        </w:rPr>
        <w:t xml:space="preserve"> </w:t>
      </w:r>
      <w:r w:rsidR="00F22A87" w:rsidRPr="007B25AE">
        <w:rPr>
          <w:rFonts w:ascii="Baskerville" w:eastAsia="MS PMincho" w:hAnsi="Baskerville" w:cs="Arabic Typesetting"/>
        </w:rPr>
        <w:t>Black</w:t>
      </w:r>
      <w:r w:rsidR="00A3600A" w:rsidRPr="007B25AE">
        <w:rPr>
          <w:rFonts w:ascii="Baskerville" w:eastAsia="MS PMincho" w:hAnsi="Baskerville" w:cs="Arabic Typesetting"/>
        </w:rPr>
        <w:t xml:space="preserve"> </w:t>
      </w:r>
      <w:r w:rsidR="00F22A87" w:rsidRPr="007B25AE">
        <w:rPr>
          <w:rFonts w:ascii="Baskerville" w:eastAsia="MS PMincho" w:hAnsi="Baskerville" w:cs="Arabic Typesetting"/>
        </w:rPr>
        <w:t>teacher</w:t>
      </w:r>
      <w:r w:rsidR="00A3600A" w:rsidRPr="007B25AE">
        <w:rPr>
          <w:rFonts w:ascii="Baskerville" w:eastAsia="MS PMincho" w:hAnsi="Baskerville" w:cs="Arabic Typesetting"/>
        </w:rPr>
        <w:t>-</w:t>
      </w:r>
      <w:r w:rsidR="005400FE" w:rsidRPr="007B25AE">
        <w:rPr>
          <w:rFonts w:ascii="Baskerville" w:eastAsia="MS PMincho" w:hAnsi="Baskerville" w:cs="Arabic Typesetting"/>
        </w:rPr>
        <w:t>rol</w:t>
      </w:r>
      <w:r w:rsidR="00A3600A" w:rsidRPr="007B25AE">
        <w:rPr>
          <w:rFonts w:ascii="Baskerville" w:eastAsia="MS PMincho" w:hAnsi="Baskerville" w:cs="Arabic Typesetting"/>
        </w:rPr>
        <w:t>e</w:t>
      </w:r>
      <w:r w:rsidR="005400FE" w:rsidRPr="007B25AE">
        <w:rPr>
          <w:rFonts w:ascii="Baskerville" w:eastAsia="MS PMincho" w:hAnsi="Baskerville" w:cs="Arabic Typesetting"/>
        </w:rPr>
        <w:t xml:space="preserve"> models</w:t>
      </w:r>
      <w:r w:rsidR="006D642B" w:rsidRPr="007B25AE">
        <w:rPr>
          <w:rFonts w:ascii="Baskerville" w:eastAsia="MS PMincho" w:hAnsi="Baskerville" w:cs="Arabic Typesetting"/>
        </w:rPr>
        <w:t xml:space="preserve">, </w:t>
      </w:r>
      <w:r w:rsidR="00A3600A" w:rsidRPr="007B25AE">
        <w:rPr>
          <w:rFonts w:ascii="Baskerville" w:eastAsia="MS PMincho" w:hAnsi="Baskerville" w:cs="Arabic Typesetting"/>
        </w:rPr>
        <w:t>K-12,</w:t>
      </w:r>
      <w:r w:rsidR="00F167CF" w:rsidRPr="007B25AE">
        <w:rPr>
          <w:rFonts w:ascii="Baskerville" w:eastAsia="MS PMincho" w:hAnsi="Baskerville" w:cs="Arabic Typesetting"/>
        </w:rPr>
        <w:t xml:space="preserve"> </w:t>
      </w:r>
      <w:r w:rsidR="00731840" w:rsidRPr="007B25AE">
        <w:rPr>
          <w:rFonts w:ascii="Baskerville" w:eastAsia="MS PMincho" w:hAnsi="Baskerville" w:cs="Arabic Typesetting"/>
        </w:rPr>
        <w:t xml:space="preserve">the college enrolment rate of </w:t>
      </w:r>
      <w:r w:rsidR="00A3600A" w:rsidRPr="007B25AE">
        <w:rPr>
          <w:rFonts w:ascii="Baskerville" w:eastAsia="MS PMincho" w:hAnsi="Baskerville" w:cs="Arabic Typesetting"/>
        </w:rPr>
        <w:t>Black</w:t>
      </w:r>
      <w:r w:rsidR="00731840" w:rsidRPr="007B25AE">
        <w:rPr>
          <w:rFonts w:ascii="Baskerville" w:eastAsia="MS PMincho" w:hAnsi="Baskerville" w:cs="Arabic Typesetting"/>
        </w:rPr>
        <w:t xml:space="preserve">s </w:t>
      </w:r>
      <w:r w:rsidR="00DB55E3" w:rsidRPr="007B25AE">
        <w:rPr>
          <w:rFonts w:ascii="Baskerville" w:eastAsia="MS PMincho" w:hAnsi="Baskerville" w:cs="Arabic Typesetting"/>
        </w:rPr>
        <w:t>high school graduates</w:t>
      </w:r>
      <w:r w:rsidR="00A13425" w:rsidRPr="007B25AE">
        <w:rPr>
          <w:rFonts w:ascii="Baskerville" w:eastAsia="MS PMincho" w:hAnsi="Baskerville" w:cs="Arabic Typesetting"/>
        </w:rPr>
        <w:t xml:space="preserve"> </w:t>
      </w:r>
      <w:r w:rsidR="00731840" w:rsidRPr="007B25AE">
        <w:rPr>
          <w:rFonts w:ascii="Baskerville" w:eastAsia="MS PMincho" w:hAnsi="Baskerville" w:cs="Arabic Typesetting"/>
        </w:rPr>
        <w:t>decreas</w:t>
      </w:r>
      <w:r w:rsidR="00F167CF" w:rsidRPr="007B25AE">
        <w:rPr>
          <w:rFonts w:ascii="Baskerville" w:eastAsia="MS PMincho" w:hAnsi="Baskerville" w:cs="Arabic Typesetting"/>
        </w:rPr>
        <w:t>es</w:t>
      </w:r>
      <w:r w:rsidR="00A3600A" w:rsidRPr="007B25AE">
        <w:rPr>
          <w:rFonts w:ascii="Baskerville" w:eastAsia="MS PMincho" w:hAnsi="Baskerville" w:cs="Arabic Typesetting"/>
        </w:rPr>
        <w:t xml:space="preserve">. </w:t>
      </w:r>
    </w:p>
    <w:p w14:paraId="5601366D" w14:textId="555CFB56" w:rsidR="00A414FD" w:rsidRPr="007B25AE" w:rsidRDefault="008C6B46" w:rsidP="00C872CB">
      <w:pPr>
        <w:pStyle w:val="ListParagraph"/>
        <w:numPr>
          <w:ilvl w:val="0"/>
          <w:numId w:val="3"/>
        </w:numPr>
        <w:spacing w:line="360" w:lineRule="auto"/>
        <w:rPr>
          <w:rFonts w:ascii="Baskerville" w:eastAsia="MS PMincho" w:hAnsi="Baskerville" w:cs="Arabic Typesetting"/>
        </w:rPr>
      </w:pPr>
      <w:r w:rsidRPr="007B25AE">
        <w:rPr>
          <w:rFonts w:ascii="Baskerville" w:eastAsia="MS PMincho" w:hAnsi="Baskerville" w:cs="Arabic Typesetting"/>
        </w:rPr>
        <w:t xml:space="preserve">New York City’s </w:t>
      </w:r>
      <w:r w:rsidR="00470C38" w:rsidRPr="007B25AE">
        <w:rPr>
          <w:rFonts w:ascii="Baskerville" w:eastAsia="MS PMincho" w:hAnsi="Baskerville" w:cs="Arabic Typesetting"/>
        </w:rPr>
        <w:t xml:space="preserve">Black </w:t>
      </w:r>
      <w:r w:rsidR="00540AC3" w:rsidRPr="007B25AE">
        <w:rPr>
          <w:rFonts w:ascii="Baskerville" w:eastAsia="MS PMincho" w:hAnsi="Baskerville" w:cs="Arabic Typesetting"/>
        </w:rPr>
        <w:t xml:space="preserve">male </w:t>
      </w:r>
      <w:r w:rsidRPr="007B25AE">
        <w:rPr>
          <w:rFonts w:ascii="Baskerville" w:eastAsia="MS PMincho" w:hAnsi="Baskerville" w:cs="Arabic Typesetting"/>
        </w:rPr>
        <w:t>public</w:t>
      </w:r>
      <w:r w:rsidR="00540AC3" w:rsidRPr="007B25AE">
        <w:rPr>
          <w:rFonts w:ascii="Baskerville" w:eastAsia="MS PMincho" w:hAnsi="Baskerville" w:cs="Arabic Typesetting"/>
        </w:rPr>
        <w:t>-</w:t>
      </w:r>
      <w:r w:rsidRPr="007B25AE">
        <w:rPr>
          <w:rFonts w:ascii="Baskerville" w:eastAsia="MS PMincho" w:hAnsi="Baskerville" w:cs="Arabic Typesetting"/>
        </w:rPr>
        <w:t xml:space="preserve">school </w:t>
      </w:r>
      <w:r w:rsidR="00470C38" w:rsidRPr="007B25AE">
        <w:rPr>
          <w:rFonts w:ascii="Baskerville" w:eastAsia="MS PMincho" w:hAnsi="Baskerville" w:cs="Arabic Typesetting"/>
        </w:rPr>
        <w:t>student</w:t>
      </w:r>
      <w:r w:rsidRPr="007B25AE">
        <w:rPr>
          <w:rFonts w:ascii="Baskerville" w:eastAsia="MS PMincho" w:hAnsi="Baskerville" w:cs="Arabic Typesetting"/>
        </w:rPr>
        <w:t xml:space="preserve">s </w:t>
      </w:r>
      <w:r w:rsidR="00FD236A" w:rsidRPr="007B25AE">
        <w:rPr>
          <w:rFonts w:ascii="Baskerville" w:eastAsia="MS PMincho" w:hAnsi="Baskerville" w:cs="Arabic Typesetting"/>
        </w:rPr>
        <w:t xml:space="preserve">who </w:t>
      </w:r>
      <w:r w:rsidRPr="007B25AE">
        <w:rPr>
          <w:rFonts w:ascii="Baskerville" w:eastAsia="MS PMincho" w:hAnsi="Baskerville" w:cs="Arabic Typesetting"/>
        </w:rPr>
        <w:t>are taught by few</w:t>
      </w:r>
      <w:r w:rsidR="00DB55E3" w:rsidRPr="007B25AE">
        <w:rPr>
          <w:rFonts w:ascii="Baskerville" w:eastAsia="MS PMincho" w:hAnsi="Baskerville" w:cs="Arabic Typesetting"/>
        </w:rPr>
        <w:t>,</w:t>
      </w:r>
      <w:r w:rsidRPr="007B25AE">
        <w:rPr>
          <w:rFonts w:ascii="Baskerville" w:eastAsia="MS PMincho" w:hAnsi="Baskerville" w:cs="Arabic Typesetting"/>
        </w:rPr>
        <w:t xml:space="preserve"> or no Black </w:t>
      </w:r>
      <w:r w:rsidR="00540AC3" w:rsidRPr="007B25AE">
        <w:rPr>
          <w:rFonts w:ascii="Baskerville" w:eastAsia="MS PMincho" w:hAnsi="Baskerville" w:cs="Arabic Typesetting"/>
        </w:rPr>
        <w:t xml:space="preserve">male </w:t>
      </w:r>
      <w:r w:rsidRPr="007B25AE">
        <w:rPr>
          <w:rFonts w:ascii="Baskerville" w:eastAsia="MS PMincho" w:hAnsi="Baskerville" w:cs="Arabic Typesetting"/>
        </w:rPr>
        <w:t>teachers</w:t>
      </w:r>
      <w:r w:rsidR="00731840" w:rsidRPr="007B25AE">
        <w:rPr>
          <w:rFonts w:ascii="Baskerville" w:eastAsia="MS PMincho" w:hAnsi="Baskerville" w:cs="Arabic Typesetting"/>
        </w:rPr>
        <w:t>, (K-12)</w:t>
      </w:r>
      <w:r w:rsidRPr="007B25AE">
        <w:rPr>
          <w:rFonts w:ascii="Baskerville" w:eastAsia="MS PMincho" w:hAnsi="Baskerville" w:cs="Arabic Typesetting"/>
        </w:rPr>
        <w:t>,</w:t>
      </w:r>
      <w:r w:rsidR="00470C38" w:rsidRPr="007B25AE">
        <w:rPr>
          <w:rFonts w:ascii="Baskerville" w:eastAsia="MS PMincho" w:hAnsi="Baskerville" w:cs="Arabic Typesetting"/>
        </w:rPr>
        <w:t xml:space="preserve"> </w:t>
      </w:r>
      <w:r w:rsidR="00731840" w:rsidRPr="007B25AE">
        <w:rPr>
          <w:rFonts w:ascii="Baskerville" w:eastAsia="MS PMincho" w:hAnsi="Baskerville" w:cs="Arabic Typesetting"/>
        </w:rPr>
        <w:t>perform poorly on</w:t>
      </w:r>
      <w:r w:rsidR="00F22A87" w:rsidRPr="007B25AE">
        <w:rPr>
          <w:rFonts w:ascii="Baskerville" w:eastAsia="MS PMincho" w:hAnsi="Baskerville" w:cs="Arabic Typesetting"/>
        </w:rPr>
        <w:t xml:space="preserve"> the</w:t>
      </w:r>
      <w:r w:rsidR="00731840" w:rsidRPr="007B25AE">
        <w:rPr>
          <w:rFonts w:ascii="Baskerville" w:eastAsia="MS PMincho" w:hAnsi="Baskerville" w:cs="Arabic Typesetting"/>
        </w:rPr>
        <w:t xml:space="preserve"> </w:t>
      </w:r>
      <w:r w:rsidR="00FB1407" w:rsidRPr="007B25AE">
        <w:rPr>
          <w:rFonts w:ascii="Baskerville" w:eastAsia="MS PMincho" w:hAnsi="Baskerville" w:cs="Arabic Typesetting"/>
        </w:rPr>
        <w:t xml:space="preserve">New York State Regents </w:t>
      </w:r>
    </w:p>
    <w:p w14:paraId="5179F002" w14:textId="0EA473F5" w:rsidR="00731840" w:rsidRPr="007B25AE" w:rsidRDefault="00FB1407" w:rsidP="00A414FD">
      <w:pPr>
        <w:pStyle w:val="ListParagraph"/>
        <w:spacing w:line="360" w:lineRule="auto"/>
        <w:rPr>
          <w:rFonts w:ascii="Baskerville" w:eastAsia="MS PMincho" w:hAnsi="Baskerville" w:cs="Arabic Typesetting"/>
        </w:rPr>
      </w:pPr>
      <w:r w:rsidRPr="007B25AE">
        <w:rPr>
          <w:rFonts w:ascii="Baskerville" w:eastAsia="MS PMincho" w:hAnsi="Baskerville" w:cs="Arabic Typesetting"/>
        </w:rPr>
        <w:t>examination</w:t>
      </w:r>
      <w:r w:rsidR="00731840" w:rsidRPr="007B25AE">
        <w:rPr>
          <w:rFonts w:ascii="Baskerville" w:eastAsia="MS PMincho" w:hAnsi="Baskerville" w:cs="Arabic Typesetting"/>
        </w:rPr>
        <w:t>s</w:t>
      </w:r>
      <w:r w:rsidR="00F22A87" w:rsidRPr="007B25AE">
        <w:rPr>
          <w:rFonts w:ascii="Baskerville" w:eastAsia="MS PMincho" w:hAnsi="Baskerville" w:cs="Arabic Typesetting"/>
        </w:rPr>
        <w:t>.</w:t>
      </w:r>
    </w:p>
    <w:p w14:paraId="7C8DB79E" w14:textId="0582825D" w:rsidR="00A414FD" w:rsidRPr="007B25AE" w:rsidRDefault="00C872CB" w:rsidP="00C872CB">
      <w:pPr>
        <w:pStyle w:val="ListParagraph"/>
        <w:numPr>
          <w:ilvl w:val="0"/>
          <w:numId w:val="3"/>
        </w:numPr>
        <w:spacing w:line="360" w:lineRule="auto"/>
        <w:rPr>
          <w:rFonts w:ascii="Baskerville" w:eastAsia="MS PMincho" w:hAnsi="Baskerville" w:cs="Arabic Typesetting"/>
        </w:rPr>
      </w:pPr>
      <w:r w:rsidRPr="007B25AE">
        <w:rPr>
          <w:rFonts w:ascii="Baskerville" w:eastAsia="MS PMincho" w:hAnsi="Baskerville" w:cs="Arabic Typesetting"/>
        </w:rPr>
        <w:t xml:space="preserve">If NYC DOE’s teacher hiring-retention practices result in a disproportionate drop in the city’s Black or African American teacher-population, then, Black or African American students will not be motivation to pursue a career in education or other academic based professions. </w:t>
      </w:r>
    </w:p>
    <w:p w14:paraId="69298F29" w14:textId="30F08873" w:rsidR="009579B7" w:rsidRPr="007B25AE" w:rsidRDefault="00F22A87" w:rsidP="004670D7">
      <w:pPr>
        <w:pStyle w:val="ListParagraph"/>
        <w:numPr>
          <w:ilvl w:val="0"/>
          <w:numId w:val="3"/>
        </w:numPr>
        <w:spacing w:line="360" w:lineRule="auto"/>
        <w:rPr>
          <w:rFonts w:ascii="Baskerville" w:eastAsia="MS PMincho" w:hAnsi="Baskerville" w:cs="Arabic Typesetting"/>
        </w:rPr>
      </w:pPr>
      <w:r w:rsidRPr="007B25AE">
        <w:rPr>
          <w:rFonts w:ascii="Baskerville" w:eastAsia="MS PMincho" w:hAnsi="Baskerville" w:cs="Arabic Typesetting"/>
        </w:rPr>
        <w:t xml:space="preserve">If </w:t>
      </w:r>
      <w:r w:rsidR="00207EDA" w:rsidRPr="007B25AE">
        <w:rPr>
          <w:rFonts w:ascii="Baskerville" w:eastAsia="MS PMincho" w:hAnsi="Baskerville" w:cs="Arabic Typesetting"/>
        </w:rPr>
        <w:t xml:space="preserve">the </w:t>
      </w:r>
      <w:r w:rsidRPr="007B25AE">
        <w:rPr>
          <w:rFonts w:ascii="Baskerville" w:eastAsia="MS PMincho" w:hAnsi="Baskerville" w:cs="Arabic Typesetting"/>
        </w:rPr>
        <w:t xml:space="preserve">New York City public school children of African descent </w:t>
      </w:r>
      <w:r w:rsidR="0012561E" w:rsidRPr="007B25AE">
        <w:rPr>
          <w:rFonts w:ascii="Baskerville" w:eastAsia="MS PMincho" w:hAnsi="Baskerville" w:cs="Arabic Typesetting"/>
        </w:rPr>
        <w:t xml:space="preserve">have </w:t>
      </w:r>
      <w:r w:rsidR="00F02E1D" w:rsidRPr="007B25AE">
        <w:rPr>
          <w:rFonts w:ascii="Baskerville" w:eastAsia="MS PMincho" w:hAnsi="Baskerville" w:cs="Arabic Typesetting"/>
        </w:rPr>
        <w:t>had</w:t>
      </w:r>
      <w:r w:rsidRPr="007B25AE">
        <w:rPr>
          <w:rFonts w:ascii="Baskerville" w:eastAsia="MS PMincho" w:hAnsi="Baskerville" w:cs="Arabic Typesetting"/>
        </w:rPr>
        <w:t xml:space="preserve"> few </w:t>
      </w:r>
      <w:r w:rsidR="002E3953" w:rsidRPr="007B25AE">
        <w:rPr>
          <w:rFonts w:ascii="Baskerville" w:eastAsia="MS PMincho" w:hAnsi="Baskerville" w:cs="Arabic Typesetting"/>
        </w:rPr>
        <w:t>or</w:t>
      </w:r>
      <w:r w:rsidRPr="007B25AE">
        <w:rPr>
          <w:rFonts w:ascii="Baskerville" w:eastAsia="MS PMincho" w:hAnsi="Baskerville" w:cs="Arabic Typesetting"/>
        </w:rPr>
        <w:t xml:space="preserve"> </w:t>
      </w:r>
      <w:r w:rsidR="00D925AE" w:rsidRPr="007B25AE">
        <w:rPr>
          <w:rFonts w:ascii="Baskerville" w:eastAsia="MS PMincho" w:hAnsi="Baskerville" w:cs="Arabic Typesetting"/>
        </w:rPr>
        <w:t>no</w:t>
      </w:r>
      <w:r w:rsidRPr="007B25AE">
        <w:rPr>
          <w:rFonts w:ascii="Baskerville" w:eastAsia="MS PMincho" w:hAnsi="Baskerville" w:cs="Arabic Typesetting"/>
        </w:rPr>
        <w:t xml:space="preserve"> Black teachers</w:t>
      </w:r>
      <w:r w:rsidR="00F02E1D" w:rsidRPr="007B25AE">
        <w:rPr>
          <w:rFonts w:ascii="Baskerville" w:eastAsia="MS PMincho" w:hAnsi="Baskerville" w:cs="Arabic Typesetting"/>
        </w:rPr>
        <w:t xml:space="preserve">, </w:t>
      </w:r>
      <w:r w:rsidR="002E3953" w:rsidRPr="007B25AE">
        <w:rPr>
          <w:rFonts w:ascii="Baskerville" w:eastAsia="MS PMincho" w:hAnsi="Baskerville" w:cs="Arabic Typesetting"/>
        </w:rPr>
        <w:t>K-12</w:t>
      </w:r>
      <w:r w:rsidRPr="007B25AE">
        <w:rPr>
          <w:rFonts w:ascii="Baskerville" w:eastAsia="MS PMincho" w:hAnsi="Baskerville" w:cs="Arabic Typesetting"/>
        </w:rPr>
        <w:t xml:space="preserve">, then, the </w:t>
      </w:r>
      <w:r w:rsidR="00D925AE" w:rsidRPr="007B25AE">
        <w:rPr>
          <w:rFonts w:ascii="Baskerville" w:eastAsia="MS PMincho" w:hAnsi="Baskerville" w:cs="Arabic Typesetting"/>
        </w:rPr>
        <w:t>pool</w:t>
      </w:r>
      <w:r w:rsidRPr="007B25AE">
        <w:rPr>
          <w:rFonts w:ascii="Baskerville" w:eastAsia="MS PMincho" w:hAnsi="Baskerville" w:cs="Arabic Typesetting"/>
        </w:rPr>
        <w:t xml:space="preserve"> of qualified Black teachers will </w:t>
      </w:r>
      <w:r w:rsidR="00A82174" w:rsidRPr="007B25AE">
        <w:rPr>
          <w:rFonts w:ascii="Baskerville" w:eastAsia="MS PMincho" w:hAnsi="Baskerville" w:cs="Arabic Typesetting"/>
        </w:rPr>
        <w:t>dry up</w:t>
      </w:r>
      <w:r w:rsidR="00207EDA" w:rsidRPr="007B25AE">
        <w:rPr>
          <w:rFonts w:ascii="Baskerville" w:eastAsia="MS PMincho" w:hAnsi="Baskerville" w:cs="Arabic Typesetting"/>
        </w:rPr>
        <w:t>.</w:t>
      </w:r>
      <w:r w:rsidRPr="007B25AE">
        <w:rPr>
          <w:rFonts w:ascii="Baskerville" w:eastAsia="MS PMincho" w:hAnsi="Baskerville" w:cs="Arabic Typesetting"/>
        </w:rPr>
        <w:t xml:space="preserve"> </w:t>
      </w:r>
    </w:p>
    <w:p w14:paraId="07789555" w14:textId="77777777" w:rsidR="00424574" w:rsidRPr="007B25AE" w:rsidRDefault="00424574" w:rsidP="00424574">
      <w:pPr>
        <w:spacing w:line="360" w:lineRule="auto"/>
        <w:jc w:val="center"/>
        <w:rPr>
          <w:rFonts w:ascii="Baskerville" w:eastAsia="MS PMincho" w:hAnsi="Baskerville" w:cs="Arabic Typesetting"/>
        </w:rPr>
      </w:pPr>
    </w:p>
    <w:p w14:paraId="160E015D" w14:textId="1542C21F" w:rsidR="00CA5F3D" w:rsidRPr="007B25AE" w:rsidRDefault="00F02D84" w:rsidP="00571DBB">
      <w:pPr>
        <w:spacing w:line="360" w:lineRule="auto"/>
        <w:ind w:firstLine="360"/>
        <w:rPr>
          <w:rFonts w:ascii="Baskerville" w:eastAsia="MS PMincho" w:hAnsi="Baskerville" w:cs="Arabic Typesetting"/>
        </w:rPr>
      </w:pPr>
      <w:r w:rsidRPr="007B25AE">
        <w:rPr>
          <w:rFonts w:ascii="Baskerville" w:eastAsia="MS PMincho" w:hAnsi="Baskerville" w:cs="Arabic Typesetting"/>
        </w:rPr>
        <w:t xml:space="preserve"> </w:t>
      </w:r>
      <w:r w:rsidR="001E0846" w:rsidRPr="007B25AE">
        <w:rPr>
          <w:rFonts w:ascii="Baskerville" w:eastAsia="MS PMincho" w:hAnsi="Baskerville" w:cs="Arabic Typesetting"/>
        </w:rPr>
        <w:t xml:space="preserve">    </w:t>
      </w:r>
      <w:r w:rsidRPr="007B25AE">
        <w:rPr>
          <w:rFonts w:ascii="Baskerville" w:eastAsia="MS PMincho" w:hAnsi="Baskerville" w:cs="Arabic Typesetting"/>
        </w:rPr>
        <w:t xml:space="preserve">In the </w:t>
      </w:r>
      <w:proofErr w:type="spellStart"/>
      <w:r w:rsidRPr="007B25AE">
        <w:rPr>
          <w:rFonts w:ascii="Baskerville" w:eastAsia="MS PMincho" w:hAnsi="Baskerville" w:cs="Arabic Typesetting"/>
        </w:rPr>
        <w:t>Ogundimu</w:t>
      </w:r>
      <w:proofErr w:type="spellEnd"/>
      <w:r w:rsidRPr="007B25AE">
        <w:rPr>
          <w:rFonts w:ascii="Baskerville" w:eastAsia="MS PMincho" w:hAnsi="Baskerville" w:cs="Arabic Typesetting"/>
        </w:rPr>
        <w:t xml:space="preserve"> Literature Review, </w:t>
      </w:r>
      <w:r w:rsidR="0056445A" w:rsidRPr="007B25AE">
        <w:rPr>
          <w:rFonts w:ascii="Baskerville" w:eastAsia="MS PMincho" w:hAnsi="Baskerville" w:cs="Arabic Typesetting"/>
        </w:rPr>
        <w:t>the first two pages</w:t>
      </w:r>
      <w:r w:rsidR="00604DBE" w:rsidRPr="007B25AE">
        <w:rPr>
          <w:rFonts w:ascii="Baskerville" w:eastAsia="MS PMincho" w:hAnsi="Baskerville" w:cs="Arabic Typesetting"/>
        </w:rPr>
        <w:t>,</w:t>
      </w:r>
      <w:r w:rsidR="0056445A" w:rsidRPr="007B25AE">
        <w:rPr>
          <w:rFonts w:ascii="Baskerville" w:eastAsia="MS PMincho" w:hAnsi="Baskerville" w:cs="Arabic Typesetting"/>
        </w:rPr>
        <w:t xml:space="preserve"> </w:t>
      </w:r>
      <w:r w:rsidR="00CF03A2" w:rsidRPr="007B25AE">
        <w:rPr>
          <w:rFonts w:ascii="Baskerville" w:eastAsia="MS PMincho" w:hAnsi="Baskerville" w:cs="Arabic Typesetting"/>
        </w:rPr>
        <w:t>begin with</w:t>
      </w:r>
      <w:r w:rsidR="0056445A" w:rsidRPr="007B25AE">
        <w:rPr>
          <w:rFonts w:ascii="Baskerville" w:eastAsia="MS PMincho" w:hAnsi="Baskerville" w:cs="Arabic Typesetting"/>
        </w:rPr>
        <w:t xml:space="preserve"> a half page introductory paragraph mostly about the history of the problem. For example, it began with the words, “In the 1970s.” A</w:t>
      </w:r>
      <w:r w:rsidR="00A82174" w:rsidRPr="007B25AE">
        <w:rPr>
          <w:rFonts w:ascii="Baskerville" w:eastAsia="MS PMincho" w:hAnsi="Baskerville" w:cs="Arabic Typesetting"/>
        </w:rPr>
        <w:t>nd a</w:t>
      </w:r>
      <w:r w:rsidR="0056445A" w:rsidRPr="007B25AE">
        <w:rPr>
          <w:rFonts w:ascii="Baskerville" w:eastAsia="MS PMincho" w:hAnsi="Baskerville" w:cs="Arabic Typesetting"/>
        </w:rPr>
        <w:t>bout midway of the second page, he introduced the first subheading with a</w:t>
      </w:r>
      <w:r w:rsidRPr="007B25AE">
        <w:rPr>
          <w:rFonts w:ascii="Baskerville" w:eastAsia="MS PMincho" w:hAnsi="Baskerville" w:cs="Arabic Typesetting"/>
        </w:rPr>
        <w:t xml:space="preserve"> Level 2 Heading</w:t>
      </w:r>
      <w:r w:rsidR="0056445A" w:rsidRPr="007B25AE">
        <w:rPr>
          <w:rFonts w:ascii="Baskerville" w:eastAsia="MS PMincho" w:hAnsi="Baskerville" w:cs="Arabic Typesetting"/>
        </w:rPr>
        <w:t>, “</w:t>
      </w:r>
      <w:r w:rsidR="00BF6D80" w:rsidRPr="007B25AE">
        <w:rPr>
          <w:rFonts w:ascii="Baskerville" w:eastAsia="MS PMincho" w:hAnsi="Baskerville" w:cs="Arabic Typesetting"/>
        </w:rPr>
        <w:t>Who Teacher and Why?”</w:t>
      </w:r>
      <w:r w:rsidRPr="007B25AE">
        <w:rPr>
          <w:rFonts w:ascii="Baskerville" w:eastAsia="MS PMincho" w:hAnsi="Baskerville" w:cs="Arabic Typesetting"/>
        </w:rPr>
        <w:t xml:space="preserve"> </w:t>
      </w:r>
      <w:r w:rsidR="00BF6D80" w:rsidRPr="007B25AE">
        <w:rPr>
          <w:rFonts w:ascii="Baskerville" w:eastAsia="MS PMincho" w:hAnsi="Baskerville" w:cs="Arabic Typesetting"/>
        </w:rPr>
        <w:t xml:space="preserve">This was still </w:t>
      </w:r>
      <w:r w:rsidR="00EB5005" w:rsidRPr="007B25AE">
        <w:rPr>
          <w:rFonts w:ascii="Baskerville" w:eastAsia="MS PMincho" w:hAnsi="Baskerville" w:cs="Arabic Typesetting"/>
        </w:rPr>
        <w:t xml:space="preserve">basically </w:t>
      </w:r>
      <w:r w:rsidR="00BF6D80" w:rsidRPr="007B25AE">
        <w:rPr>
          <w:rFonts w:ascii="Baskerville" w:eastAsia="MS PMincho" w:hAnsi="Baskerville" w:cs="Arabic Typesetting"/>
        </w:rPr>
        <w:t>background information</w:t>
      </w:r>
      <w:r w:rsidR="00EB5005" w:rsidRPr="007B25AE">
        <w:rPr>
          <w:rFonts w:ascii="Baskerville" w:eastAsia="MS PMincho" w:hAnsi="Baskerville" w:cs="Arabic Typesetting"/>
        </w:rPr>
        <w:t xml:space="preserve"> during the 1990s. After the next four pages, he inserted another Level 2 Heading, “The Impact of Working Conditions and Job Characteristics on Teacher Mobility</w:t>
      </w:r>
      <w:r w:rsidR="00F66F18" w:rsidRPr="007B25AE">
        <w:rPr>
          <w:rFonts w:ascii="Baskerville" w:eastAsia="MS PMincho" w:hAnsi="Baskerville" w:cs="Arabic Typesetting"/>
        </w:rPr>
        <w:t xml:space="preserve">.” </w:t>
      </w:r>
      <w:r w:rsidR="00F12BDB" w:rsidRPr="007B25AE">
        <w:rPr>
          <w:rFonts w:ascii="Baskerville" w:eastAsia="MS PMincho" w:hAnsi="Baskerville" w:cs="Arabic Typesetting"/>
        </w:rPr>
        <w:t xml:space="preserve">Again, this was all about placing the problem in a historical context through 1950 to 2000.  </w:t>
      </w:r>
      <w:r w:rsidR="00EB5005" w:rsidRPr="007B25AE">
        <w:rPr>
          <w:rFonts w:ascii="Baskerville" w:eastAsia="MS PMincho" w:hAnsi="Baskerville" w:cs="Arabic Typesetting"/>
        </w:rPr>
        <w:t xml:space="preserve"> </w:t>
      </w:r>
    </w:p>
    <w:p w14:paraId="2F21495E" w14:textId="77777777" w:rsidR="00F02D84" w:rsidRPr="007B25AE" w:rsidRDefault="00F02D84" w:rsidP="00424574">
      <w:pPr>
        <w:spacing w:line="360" w:lineRule="auto"/>
        <w:jc w:val="center"/>
        <w:rPr>
          <w:rFonts w:ascii="Baskerville" w:eastAsia="MS PMincho" w:hAnsi="Baskerville" w:cs="Arabic Typesetting"/>
        </w:rPr>
      </w:pPr>
    </w:p>
    <w:p w14:paraId="3AD62A87" w14:textId="3DDAA1A9" w:rsidR="00EF1518" w:rsidRPr="007B25AE" w:rsidRDefault="00424574" w:rsidP="00424574">
      <w:pPr>
        <w:spacing w:line="360" w:lineRule="auto"/>
        <w:jc w:val="center"/>
        <w:rPr>
          <w:rFonts w:ascii="Baskerville" w:eastAsia="MS PMincho" w:hAnsi="Baskerville" w:cs="Arabic Typesetting"/>
        </w:rPr>
      </w:pPr>
      <w:r w:rsidRPr="007B25AE">
        <w:rPr>
          <w:rFonts w:ascii="Baskerville" w:eastAsia="MS PMincho" w:hAnsi="Baskerville" w:cs="Arabic Typesetting"/>
        </w:rPr>
        <w:t>Chapter II</w:t>
      </w:r>
    </w:p>
    <w:p w14:paraId="128AB5BC" w14:textId="77777777" w:rsidR="00424574" w:rsidRPr="007B25AE" w:rsidRDefault="00424574" w:rsidP="00424574">
      <w:pPr>
        <w:spacing w:line="360" w:lineRule="auto"/>
        <w:rPr>
          <w:rFonts w:ascii="Baskerville" w:eastAsia="MS PMincho" w:hAnsi="Baskerville" w:cs="Arabic Typesetting"/>
        </w:rPr>
      </w:pPr>
    </w:p>
    <w:p w14:paraId="3630EB8E" w14:textId="5D34F935" w:rsidR="000F010E" w:rsidRPr="007B25AE" w:rsidRDefault="00424574" w:rsidP="00424574">
      <w:pPr>
        <w:spacing w:line="360" w:lineRule="auto"/>
        <w:jc w:val="center"/>
        <w:rPr>
          <w:rFonts w:ascii="Baskerville" w:eastAsia="MS PMincho" w:hAnsi="Baskerville" w:cs="Arabic Typesetting"/>
        </w:rPr>
      </w:pPr>
      <w:r w:rsidRPr="007B25AE">
        <w:rPr>
          <w:rFonts w:ascii="Baskerville" w:eastAsia="MS PMincho" w:hAnsi="Baskerville" w:cs="Arabic Typesetting"/>
        </w:rPr>
        <w:t>LITERATURE REVIEW</w:t>
      </w:r>
    </w:p>
    <w:p w14:paraId="1929CA86" w14:textId="77777777" w:rsidR="00424574" w:rsidRPr="007B25AE" w:rsidRDefault="00424574" w:rsidP="00424574">
      <w:pPr>
        <w:spacing w:line="360" w:lineRule="auto"/>
        <w:jc w:val="center"/>
        <w:rPr>
          <w:rFonts w:ascii="Baskerville" w:eastAsia="MS PMincho" w:hAnsi="Baskerville" w:cs="Arabic Typesetting"/>
        </w:rPr>
      </w:pPr>
    </w:p>
    <w:p w14:paraId="1CE11EED" w14:textId="1172EE60" w:rsidR="00424574" w:rsidRPr="007B25AE" w:rsidRDefault="000D2ED5" w:rsidP="00424574">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There can be no intelligent discourse about school segregation and all </w:t>
      </w:r>
      <w:r w:rsidR="008C3E46" w:rsidRPr="007B25AE">
        <w:rPr>
          <w:rFonts w:ascii="Baskerville" w:eastAsia="MS PMincho" w:hAnsi="Baskerville" w:cs="Arabic Typesetting"/>
        </w:rPr>
        <w:t>its</w:t>
      </w:r>
      <w:r w:rsidRPr="007B25AE">
        <w:rPr>
          <w:rFonts w:ascii="Baskerville" w:eastAsia="MS PMincho" w:hAnsi="Baskerville" w:cs="Arabic Typesetting"/>
        </w:rPr>
        <w:t xml:space="preserve"> </w:t>
      </w:r>
      <w:r w:rsidR="003F3A6E" w:rsidRPr="007B25AE">
        <w:rPr>
          <w:rFonts w:ascii="Baskerville" w:eastAsia="MS PMincho" w:hAnsi="Baskerville" w:cs="Arabic Typesetting"/>
        </w:rPr>
        <w:t xml:space="preserve">various </w:t>
      </w:r>
      <w:r w:rsidRPr="007B25AE">
        <w:rPr>
          <w:rFonts w:ascii="Baskerville" w:eastAsia="MS PMincho" w:hAnsi="Baskerville" w:cs="Arabic Typesetting"/>
        </w:rPr>
        <w:t>f</w:t>
      </w:r>
      <w:r w:rsidR="003F3A6E" w:rsidRPr="007B25AE">
        <w:rPr>
          <w:rFonts w:ascii="Baskerville" w:eastAsia="MS PMincho" w:hAnsi="Baskerville" w:cs="Arabic Typesetting"/>
        </w:rPr>
        <w:t>orm</w:t>
      </w:r>
      <w:r w:rsidRPr="007B25AE">
        <w:rPr>
          <w:rFonts w:ascii="Baskerville" w:eastAsia="MS PMincho" w:hAnsi="Baskerville" w:cs="Arabic Typesetting"/>
        </w:rPr>
        <w:t xml:space="preserve">s </w:t>
      </w:r>
      <w:r w:rsidR="00E70087" w:rsidRPr="007B25AE">
        <w:rPr>
          <w:rFonts w:ascii="Baskerville" w:eastAsia="MS PMincho" w:hAnsi="Baskerville" w:cs="Arabic Typesetting"/>
        </w:rPr>
        <w:t xml:space="preserve">of expression </w:t>
      </w:r>
      <w:r w:rsidRPr="007B25AE">
        <w:rPr>
          <w:rFonts w:ascii="Baskerville" w:eastAsia="MS PMincho" w:hAnsi="Baskerville" w:cs="Arabic Typesetting"/>
        </w:rPr>
        <w:t>in</w:t>
      </w:r>
      <w:r w:rsidR="00E70087" w:rsidRPr="007B25AE">
        <w:rPr>
          <w:rFonts w:ascii="Baskerville" w:eastAsia="MS PMincho" w:hAnsi="Baskerville" w:cs="Arabic Typesetting"/>
        </w:rPr>
        <w:t xml:space="preserve"> </w:t>
      </w:r>
      <w:r w:rsidRPr="007B25AE">
        <w:rPr>
          <w:rFonts w:ascii="Baskerville" w:eastAsia="MS PMincho" w:hAnsi="Baskerville" w:cs="Arabic Typesetting"/>
        </w:rPr>
        <w:t>America</w:t>
      </w:r>
      <w:r w:rsidR="008C3E46" w:rsidRPr="007B25AE">
        <w:rPr>
          <w:rFonts w:ascii="Baskerville" w:eastAsia="MS PMincho" w:hAnsi="Baskerville" w:cs="Arabic Typesetting"/>
        </w:rPr>
        <w:t>n society</w:t>
      </w:r>
      <w:r w:rsidR="003555DA" w:rsidRPr="007B25AE">
        <w:rPr>
          <w:rFonts w:ascii="Baskerville" w:eastAsia="MS PMincho" w:hAnsi="Baskerville" w:cs="Arabic Typesetting"/>
        </w:rPr>
        <w:t xml:space="preserve"> today,</w:t>
      </w:r>
      <w:r w:rsidRPr="007B25AE">
        <w:rPr>
          <w:rFonts w:ascii="Baskerville" w:eastAsia="MS PMincho" w:hAnsi="Baskerville" w:cs="Arabic Typesetting"/>
        </w:rPr>
        <w:t xml:space="preserve"> </w:t>
      </w:r>
      <w:r w:rsidR="008C3E46" w:rsidRPr="007B25AE">
        <w:rPr>
          <w:rFonts w:ascii="Baskerville" w:eastAsia="MS PMincho" w:hAnsi="Baskerville" w:cs="Arabic Typesetting"/>
        </w:rPr>
        <w:t>if one does not</w:t>
      </w:r>
      <w:r w:rsidRPr="007B25AE">
        <w:rPr>
          <w:rFonts w:ascii="Baskerville" w:eastAsia="MS PMincho" w:hAnsi="Baskerville" w:cs="Arabic Typesetting"/>
        </w:rPr>
        <w:t xml:space="preserve">, first, </w:t>
      </w:r>
      <w:r w:rsidR="003555DA" w:rsidRPr="007B25AE">
        <w:rPr>
          <w:rFonts w:ascii="Baskerville" w:eastAsia="MS PMincho" w:hAnsi="Baskerville" w:cs="Arabic Typesetting"/>
        </w:rPr>
        <w:t>examine</w:t>
      </w:r>
      <w:r w:rsidRPr="007B25AE">
        <w:rPr>
          <w:rFonts w:ascii="Baskerville" w:eastAsia="MS PMincho" w:hAnsi="Baskerville" w:cs="Arabic Typesetting"/>
        </w:rPr>
        <w:t xml:space="preserve"> how the abolition of slavery in Massachusetts </w:t>
      </w:r>
      <w:r w:rsidR="008C3E46" w:rsidRPr="007B25AE">
        <w:rPr>
          <w:rFonts w:ascii="Baskerville" w:eastAsia="MS PMincho" w:hAnsi="Baskerville" w:cs="Arabic Typesetting"/>
        </w:rPr>
        <w:t xml:space="preserve">had </w:t>
      </w:r>
      <w:r w:rsidRPr="007B25AE">
        <w:rPr>
          <w:rFonts w:ascii="Baskerville" w:eastAsia="MS PMincho" w:hAnsi="Baskerville" w:cs="Arabic Typesetting"/>
        </w:rPr>
        <w:t>splintered into 14</w:t>
      </w:r>
      <w:r w:rsidRPr="007B25AE">
        <w:rPr>
          <w:rFonts w:ascii="Baskerville" w:eastAsia="MS PMincho" w:hAnsi="Baskerville" w:cs="Arabic Typesetting"/>
          <w:vertAlign w:val="superscript"/>
        </w:rPr>
        <w:t>th</w:t>
      </w:r>
      <w:r w:rsidRPr="007B25AE">
        <w:rPr>
          <w:rFonts w:ascii="Baskerville" w:eastAsia="MS PMincho" w:hAnsi="Baskerville" w:cs="Arabic Typesetting"/>
        </w:rPr>
        <w:t xml:space="preserve"> Amendment issues</w:t>
      </w:r>
      <w:r w:rsidR="003F3A6E" w:rsidRPr="007B25AE">
        <w:rPr>
          <w:rFonts w:ascii="Baskerville" w:eastAsia="MS PMincho" w:hAnsi="Baskerville" w:cs="Arabic Typesetting"/>
        </w:rPr>
        <w:t xml:space="preserve"> </w:t>
      </w:r>
      <w:r w:rsidR="006638E4" w:rsidRPr="007B25AE">
        <w:rPr>
          <w:rFonts w:ascii="Baskerville" w:eastAsia="MS PMincho" w:hAnsi="Baskerville" w:cs="Arabic Typesetting"/>
        </w:rPr>
        <w:t>related to</w:t>
      </w:r>
      <w:r w:rsidR="008C3E46" w:rsidRPr="007B25AE">
        <w:rPr>
          <w:rFonts w:ascii="Baskerville" w:eastAsia="MS PMincho" w:hAnsi="Baskerville" w:cs="Arabic Typesetting"/>
        </w:rPr>
        <w:t xml:space="preserve"> </w:t>
      </w:r>
      <w:r w:rsidR="00E70087" w:rsidRPr="007B25AE">
        <w:rPr>
          <w:rFonts w:ascii="Baskerville" w:eastAsia="MS PMincho" w:hAnsi="Baskerville" w:cs="Arabic Typesetting"/>
        </w:rPr>
        <w:t>the</w:t>
      </w:r>
      <w:r w:rsidR="00A81C6B" w:rsidRPr="007B25AE">
        <w:rPr>
          <w:rFonts w:ascii="Baskerville" w:eastAsia="MS PMincho" w:hAnsi="Baskerville" w:cs="Arabic Typesetting"/>
        </w:rPr>
        <w:t xml:space="preserve"> </w:t>
      </w:r>
      <w:r w:rsidR="003555DA" w:rsidRPr="007B25AE">
        <w:rPr>
          <w:rFonts w:ascii="Baskerville" w:eastAsia="MS PMincho" w:hAnsi="Baskerville" w:cs="Arabic Typesetting"/>
        </w:rPr>
        <w:t xml:space="preserve">specific </w:t>
      </w:r>
      <w:r w:rsidR="006638E4" w:rsidRPr="007B25AE">
        <w:rPr>
          <w:rFonts w:ascii="Baskerville" w:eastAsia="MS PMincho" w:hAnsi="Baskerville" w:cs="Arabic Typesetting"/>
        </w:rPr>
        <w:t>problems that posed by</w:t>
      </w:r>
      <w:r w:rsidR="008C3E46" w:rsidRPr="007B25AE">
        <w:rPr>
          <w:rFonts w:ascii="Baskerville" w:eastAsia="MS PMincho" w:hAnsi="Baskerville" w:cs="Arabic Typesetting"/>
        </w:rPr>
        <w:t xml:space="preserve"> the </w:t>
      </w:r>
      <w:r w:rsidR="006638E4" w:rsidRPr="007B25AE">
        <w:rPr>
          <w:rFonts w:ascii="Baskerville" w:eastAsia="MS PMincho" w:hAnsi="Baskerville" w:cs="Arabic Typesetting"/>
        </w:rPr>
        <w:t xml:space="preserve">effort to </w:t>
      </w:r>
      <w:r w:rsidRPr="007B25AE">
        <w:rPr>
          <w:rFonts w:ascii="Baskerville" w:eastAsia="MS PMincho" w:hAnsi="Baskerville" w:cs="Arabic Typesetting"/>
        </w:rPr>
        <w:t>educat</w:t>
      </w:r>
      <w:r w:rsidR="006638E4" w:rsidRPr="007B25AE">
        <w:rPr>
          <w:rFonts w:ascii="Baskerville" w:eastAsia="MS PMincho" w:hAnsi="Baskerville" w:cs="Arabic Typesetting"/>
        </w:rPr>
        <w:t>e</w:t>
      </w:r>
      <w:r w:rsidRPr="007B25AE">
        <w:rPr>
          <w:rFonts w:ascii="Baskerville" w:eastAsia="MS PMincho" w:hAnsi="Baskerville" w:cs="Arabic Typesetting"/>
        </w:rPr>
        <w:t xml:space="preserve"> former slave</w:t>
      </w:r>
      <w:r w:rsidR="00E70087" w:rsidRPr="007B25AE">
        <w:rPr>
          <w:rFonts w:ascii="Baskerville" w:eastAsia="MS PMincho" w:hAnsi="Baskerville" w:cs="Arabic Typesetting"/>
        </w:rPr>
        <w:t>-children</w:t>
      </w:r>
      <w:r w:rsidRPr="007B25AE">
        <w:rPr>
          <w:rFonts w:ascii="Baskerville" w:eastAsia="MS PMincho" w:hAnsi="Baskerville" w:cs="Arabic Typesetting"/>
        </w:rPr>
        <w:t xml:space="preserve"> </w:t>
      </w:r>
      <w:r w:rsidR="00982410" w:rsidRPr="007B25AE">
        <w:rPr>
          <w:rFonts w:ascii="Baskerville" w:eastAsia="MS PMincho" w:hAnsi="Baskerville" w:cs="Arabic Typesetting"/>
        </w:rPr>
        <w:t xml:space="preserve">that inevitably </w:t>
      </w:r>
      <w:r w:rsidR="006638E4" w:rsidRPr="007B25AE">
        <w:rPr>
          <w:rFonts w:ascii="Baskerville" w:eastAsia="MS PMincho" w:hAnsi="Baskerville" w:cs="Arabic Typesetting"/>
        </w:rPr>
        <w:t>prompts</w:t>
      </w:r>
      <w:r w:rsidR="003555DA" w:rsidRPr="007B25AE">
        <w:rPr>
          <w:rFonts w:ascii="Baskerville" w:eastAsia="MS PMincho" w:hAnsi="Baskerville" w:cs="Arabic Typesetting"/>
        </w:rPr>
        <w:t xml:space="preserve"> </w:t>
      </w:r>
      <w:r w:rsidR="006638E4" w:rsidRPr="007B25AE">
        <w:rPr>
          <w:rFonts w:ascii="Baskerville" w:eastAsia="MS PMincho" w:hAnsi="Baskerville" w:cs="Arabic Typesetting"/>
        </w:rPr>
        <w:t xml:space="preserve">the </w:t>
      </w:r>
      <w:r w:rsidRPr="007B25AE">
        <w:rPr>
          <w:rFonts w:ascii="Baskerville" w:eastAsia="MS PMincho" w:hAnsi="Baskerville" w:cs="Arabic Typesetting"/>
        </w:rPr>
        <w:t>question</w:t>
      </w:r>
      <w:r w:rsidR="005F6C33" w:rsidRPr="007B25AE">
        <w:rPr>
          <w:rFonts w:ascii="Baskerville" w:eastAsia="MS PMincho" w:hAnsi="Baskerville" w:cs="Arabic Typesetting"/>
        </w:rPr>
        <w:t>s</w:t>
      </w:r>
      <w:r w:rsidR="003F3A6E" w:rsidRPr="007B25AE">
        <w:rPr>
          <w:rFonts w:ascii="Baskerville" w:eastAsia="MS PMincho" w:hAnsi="Baskerville" w:cs="Arabic Typesetting"/>
        </w:rPr>
        <w:t xml:space="preserve">, </w:t>
      </w:r>
      <w:r w:rsidRPr="007B25AE">
        <w:rPr>
          <w:rFonts w:ascii="Baskerville" w:eastAsia="MS PMincho" w:hAnsi="Baskerville" w:cs="Arabic Typesetting"/>
        </w:rPr>
        <w:t>who sits beside whom in the classroom</w:t>
      </w:r>
      <w:r w:rsidR="00E70087" w:rsidRPr="007B25AE">
        <w:rPr>
          <w:rFonts w:ascii="Baskerville" w:eastAsia="MS PMincho" w:hAnsi="Baskerville" w:cs="Arabic Typesetting"/>
        </w:rPr>
        <w:t xml:space="preserve"> and</w:t>
      </w:r>
      <w:r w:rsidRPr="007B25AE">
        <w:rPr>
          <w:rFonts w:ascii="Baskerville" w:eastAsia="MS PMincho" w:hAnsi="Baskerville" w:cs="Arabic Typesetting"/>
        </w:rPr>
        <w:t xml:space="preserve"> who teaches whom, in terms of race and ethnicity. Court Records (</w:t>
      </w:r>
      <w:r w:rsidR="00A32D24" w:rsidRPr="007B25AE">
        <w:rPr>
          <w:rFonts w:ascii="Baskerville" w:eastAsia="MS PMincho" w:hAnsi="Baskerville" w:cs="Arabic Typesetting"/>
        </w:rPr>
        <w:t>1849</w:t>
      </w:r>
      <w:r w:rsidRPr="007B25AE">
        <w:rPr>
          <w:rFonts w:ascii="Baskerville" w:eastAsia="MS PMincho" w:hAnsi="Baskerville" w:cs="Arabic Typesetting"/>
        </w:rPr>
        <w:t xml:space="preserve">) indicate that, in 1780, the </w:t>
      </w:r>
      <w:r w:rsidR="00A32D24" w:rsidRPr="007B25AE">
        <w:rPr>
          <w:rFonts w:ascii="Baskerville" w:eastAsia="MS PMincho" w:hAnsi="Baskerville" w:cs="Arabic Typesetting"/>
        </w:rPr>
        <w:t>abolition of slavery in</w:t>
      </w:r>
      <w:r w:rsidRPr="007B25AE">
        <w:rPr>
          <w:rFonts w:ascii="Baskerville" w:eastAsia="MS PMincho" w:hAnsi="Baskerville" w:cs="Arabic Typesetting"/>
        </w:rPr>
        <w:t xml:space="preserve"> the Commonwealth of Massachusetts went into effect with not even a single mention of the word, “slavery,” even though the abolition of slavery came about </w:t>
      </w:r>
      <w:proofErr w:type="gramStart"/>
      <w:r w:rsidRPr="007B25AE">
        <w:rPr>
          <w:rFonts w:ascii="Baskerville" w:eastAsia="MS PMincho" w:hAnsi="Baskerville" w:cs="Arabic Typesetting"/>
        </w:rPr>
        <w:t>as a result of</w:t>
      </w:r>
      <w:proofErr w:type="gramEnd"/>
      <w:r w:rsidRPr="007B25AE">
        <w:rPr>
          <w:rFonts w:ascii="Baskerville" w:eastAsia="MS PMincho" w:hAnsi="Baskerville" w:cs="Arabic Typesetting"/>
        </w:rPr>
        <w:t xml:space="preserve"> the constitution, itself (</w:t>
      </w:r>
      <w:r w:rsidRPr="007B25AE">
        <w:rPr>
          <w:rFonts w:ascii="Baskerville" w:eastAsia="MS PMincho" w:hAnsi="Baskerville" w:cs="Arabic Typesetting"/>
          <w:color w:val="FF0000"/>
        </w:rPr>
        <w:t>the mass supreme judicial court system</w:t>
      </w:r>
      <w:r w:rsidRPr="007B25AE">
        <w:rPr>
          <w:rFonts w:ascii="Baskerville" w:eastAsia="MS PMincho" w:hAnsi="Baskerville" w:cs="Arabic Typesetting"/>
        </w:rPr>
        <w:t>).  Approximately a year later, two rather earth-shaking writs, related to three separate complaints of maltreatment of slaves by abusive Boston slave-owners, were filed in the Massachusetts Supreme Judicial Court.  Questions connected to the constitutionality of the slave owners’ inhumane treatment of “their” slaves, created a seismic shift in the movement toward the abolition of slavery and racial inclusivity in all spheres of Boston</w:t>
      </w:r>
      <w:r w:rsidR="00A11D3A" w:rsidRPr="007B25AE">
        <w:rPr>
          <w:rFonts w:ascii="Baskerville" w:eastAsia="MS PMincho" w:hAnsi="Baskerville" w:cs="Arabic Typesetting"/>
        </w:rPr>
        <w:t>ian</w:t>
      </w:r>
      <w:r w:rsidRPr="007B25AE">
        <w:rPr>
          <w:rFonts w:ascii="Baskerville" w:eastAsia="MS PMincho" w:hAnsi="Baskerville" w:cs="Arabic Typesetting"/>
        </w:rPr>
        <w:t xml:space="preserve"> life (</w:t>
      </w:r>
      <w:r w:rsidR="00596AED" w:rsidRPr="007B25AE">
        <w:rPr>
          <w:rFonts w:ascii="Baskerville" w:eastAsia="MS PMincho" w:hAnsi="Baskerville" w:cs="Arabic Typesetting"/>
        </w:rPr>
        <w:t>Mass Court System</w:t>
      </w:r>
      <w:r w:rsidRPr="007B25AE">
        <w:rPr>
          <w:rFonts w:ascii="Baskerville" w:eastAsia="MS PMincho" w:hAnsi="Baskerville" w:cs="Arabic Typesetting"/>
        </w:rPr>
        <w:t xml:space="preserve">). </w:t>
      </w:r>
    </w:p>
    <w:p w14:paraId="3E4FEFFF" w14:textId="3EE707E2" w:rsidR="00595C07" w:rsidRPr="007B25AE" w:rsidRDefault="00595C07" w:rsidP="00595C07">
      <w:pPr>
        <w:pStyle w:val="NoSpacing"/>
        <w:spacing w:line="360" w:lineRule="auto"/>
        <w:rPr>
          <w:rFonts w:ascii="Baskerville" w:eastAsia="MS PMincho" w:hAnsi="Baskerville" w:cs="Arabic Typesetting"/>
          <w:color w:val="FF0000"/>
        </w:rPr>
      </w:pPr>
      <w:r w:rsidRPr="007B25AE">
        <w:rPr>
          <w:rFonts w:ascii="Baskerville" w:eastAsia="MS PMincho" w:hAnsi="Baskerville" w:cs="Arabic Typesetting"/>
          <w:color w:val="FF0000"/>
        </w:rPr>
        <w:t>All Men are Born Free and Equal</w:t>
      </w:r>
    </w:p>
    <w:p w14:paraId="799B1919" w14:textId="2C72B498" w:rsidR="000D2ED5" w:rsidRPr="007B25AE" w:rsidRDefault="000D2ED5" w:rsidP="00424574">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color w:val="000000" w:themeColor="text1"/>
        </w:rPr>
        <w:t>Sometime in 1781, John Cushing (1961) tells us that a Boston slave-owner named Hannah Ashley swung a hot shovel at a young slave girl only to have the girl’s older sister, also a slave, step into the arc of the swing to take the blow. The young lady who had gotten hit, Elizabeth (Bett), was badly burned and chose to run away to the home of one of Mrs. Ashley’s frequent guests, Theodore Sedgwick. John Cushing writes that in May 1781, Sedgwick, himself, a lawyer, filed a “Writ of Replevin” (JPG 38.22 KB) jointly on behalf of Bett and a male slave named Brom, in the Berkshire County Court of Common Pleas. The case was heard in August 1781, in the Great Barrington Court of Common Pleas. In the end, the Court ordered that Bett and Brom be handed over into the custody of the sheriff for final release from ownership of the Ashley’s on the grounds that the plaintiffs were “people, not property” (John Cushing, 1961). Mr. Ashley promptly appealed the decision, but in the intervening months, before the appeal was heard, he came to realize that the decision being rendered in the various parts of a similar matter known as the Quock Walker Case would render his appeal futile (</w:t>
      </w:r>
      <w:r w:rsidR="005D1A38" w:rsidRPr="007B25AE">
        <w:rPr>
          <w:rFonts w:ascii="Baskerville" w:eastAsia="MS PMincho" w:hAnsi="Baskerville" w:cs="Arabic Typesetting"/>
          <w:color w:val="000000" w:themeColor="text1"/>
        </w:rPr>
        <w:t xml:space="preserve">John </w:t>
      </w:r>
      <w:r w:rsidRPr="007B25AE">
        <w:rPr>
          <w:rFonts w:ascii="Baskerville" w:eastAsia="MS PMincho" w:hAnsi="Baskerville" w:cs="Arabic Typesetting"/>
          <w:color w:val="000000" w:themeColor="text1"/>
        </w:rPr>
        <w:t xml:space="preserve">Cushing, 1961; Melish, 2000; Education Research Center). </w:t>
      </w:r>
    </w:p>
    <w:p w14:paraId="4E1EDF86" w14:textId="63A51A98" w:rsidR="000D2ED5" w:rsidRPr="007B25AE" w:rsidRDefault="000D2ED5" w:rsidP="00424574">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John Cushing (1961) writes that between 1781 and 1783, “the principle of judicial review to abolish slavery” was applied to three concatenated cases related to the question of whether one member of society possesses the constitutional right to own another member, and whether such an owner had the right to physically assault the person (a slave) he claims to own. All three of these </w:t>
      </w:r>
      <w:proofErr w:type="gramStart"/>
      <w:r w:rsidRPr="007B25AE">
        <w:rPr>
          <w:rFonts w:ascii="Baskerville" w:eastAsia="MS PMincho" w:hAnsi="Baskerville" w:cs="Arabic Typesetting"/>
        </w:rPr>
        <w:t>cases,</w:t>
      </w:r>
      <w:proofErr w:type="gramEnd"/>
      <w:r w:rsidRPr="007B25AE">
        <w:rPr>
          <w:rFonts w:ascii="Baskerville" w:eastAsia="MS PMincho" w:hAnsi="Baskerville" w:cs="Arabic Typesetting"/>
        </w:rPr>
        <w:t xml:space="preserve"> had to do with one </w:t>
      </w:r>
      <w:proofErr w:type="gramStart"/>
      <w:r w:rsidRPr="007B25AE">
        <w:rPr>
          <w:rFonts w:ascii="Baskerville" w:eastAsia="MS PMincho" w:hAnsi="Baskerville" w:cs="Arabic Typesetting"/>
        </w:rPr>
        <w:t>particular slave</w:t>
      </w:r>
      <w:proofErr w:type="gramEnd"/>
      <w:r w:rsidRPr="007B25AE">
        <w:rPr>
          <w:rFonts w:ascii="Baskerville" w:eastAsia="MS PMincho" w:hAnsi="Baskerville" w:cs="Arabic Typesetting"/>
        </w:rPr>
        <w:t xml:space="preserve">. And together, the three cases were eventually placed on the record as a single bundle, collectively labelled, the Quock Walker Case (John Cushing, 1961; Education Resource Center: Mass Court System). </w:t>
      </w:r>
      <w:r w:rsidR="009A2866" w:rsidRPr="007B25AE">
        <w:rPr>
          <w:rFonts w:ascii="Baskerville" w:eastAsia="MS PMincho" w:hAnsi="Baskerville" w:cs="Arabic Typesetting"/>
        </w:rPr>
        <w:t xml:space="preserve">  </w:t>
      </w:r>
    </w:p>
    <w:p w14:paraId="1171F2DF" w14:textId="77777777" w:rsidR="000D2ED5" w:rsidRPr="007B25AE" w:rsidRDefault="000D2ED5" w:rsidP="00424574">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In synopsis, the “principle of Judicial review” resulting from the Quock Walker Case, as presented by John Cushing, informs us that, while the newly crafted Constitution of Massachusetts did not speak directly to </w:t>
      </w:r>
      <w:proofErr w:type="gramStart"/>
      <w:r w:rsidRPr="007B25AE">
        <w:rPr>
          <w:rFonts w:ascii="Baskerville" w:eastAsia="MS PMincho" w:hAnsi="Baskerville" w:cs="Arabic Typesetting"/>
        </w:rPr>
        <w:t>whether or not</w:t>
      </w:r>
      <w:proofErr w:type="gramEnd"/>
      <w:r w:rsidRPr="007B25AE">
        <w:rPr>
          <w:rFonts w:ascii="Baskerville" w:eastAsia="MS PMincho" w:hAnsi="Baskerville" w:cs="Arabic Typesetting"/>
        </w:rPr>
        <w:t xml:space="preserve"> the practice of slavery should continue in the new Commonwealth, the central principle of the constitution, John Cushing says, is completely at odds with that of a slave state. In Chief Justice William Cushing’s opinion on the matter (John Cushing, 1961, p. 118), </w:t>
      </w:r>
    </w:p>
    <w:p w14:paraId="5B7F0AA9" w14:textId="77777777" w:rsidR="000D2ED5" w:rsidRPr="007B25AE" w:rsidRDefault="000D2ED5" w:rsidP="00424574">
      <w:pPr>
        <w:pStyle w:val="NoSpacing"/>
        <w:spacing w:line="360" w:lineRule="auto"/>
        <w:ind w:firstLine="720"/>
        <w:rPr>
          <w:rFonts w:ascii="Baskerville" w:eastAsia="MS PMincho" w:hAnsi="Baskerville" w:cs="Arabic Typesetting"/>
        </w:rPr>
      </w:pPr>
    </w:p>
    <w:p w14:paraId="3A137ED9" w14:textId="41FD8151" w:rsidR="000D2ED5" w:rsidRPr="007B25AE" w:rsidRDefault="000D2ED5" w:rsidP="00F32CE3">
      <w:pPr>
        <w:pStyle w:val="NoSpacing"/>
        <w:spacing w:line="360" w:lineRule="auto"/>
        <w:ind w:left="1440"/>
        <w:rPr>
          <w:rFonts w:ascii="Baskerville" w:eastAsia="MS PMincho" w:hAnsi="Baskerville" w:cs="Arabic Typesetting"/>
        </w:rPr>
      </w:pPr>
      <w:r w:rsidRPr="007B25AE">
        <w:rPr>
          <w:rFonts w:ascii="Baskerville" w:eastAsia="MS PMincho" w:hAnsi="Baskerville" w:cs="Arabic Typesetting"/>
        </w:rPr>
        <w:t>…[T]</w:t>
      </w:r>
      <w:proofErr w:type="spellStart"/>
      <w:r w:rsidRPr="007B25AE">
        <w:rPr>
          <w:rFonts w:ascii="Baskerville" w:eastAsia="MS PMincho" w:hAnsi="Baskerville" w:cs="Arabic Typesetting"/>
        </w:rPr>
        <w:t>hese</w:t>
      </w:r>
      <w:proofErr w:type="spellEnd"/>
      <w:r w:rsidRPr="007B25AE">
        <w:rPr>
          <w:rFonts w:ascii="Baskerville" w:eastAsia="MS PMincho" w:hAnsi="Baskerville" w:cs="Arabic Typesetting"/>
        </w:rPr>
        <w:t xml:space="preserve"> sentiments [that are favorable to the natural rights of mankind] led the framers of our constitution of government—by which the people of our commonwealth have solemnly bound themselves to each other—to declare that all men are born free and equal; and that every subject is entitled to liberty, and to have it guarded by the laws as well as his life and property….[S]</w:t>
      </w:r>
      <w:proofErr w:type="spellStart"/>
      <w:r w:rsidRPr="007B25AE">
        <w:rPr>
          <w:rFonts w:ascii="Baskerville" w:eastAsia="MS PMincho" w:hAnsi="Baskerville" w:cs="Arabic Typesetting"/>
        </w:rPr>
        <w:t>lavery</w:t>
      </w:r>
      <w:proofErr w:type="spellEnd"/>
      <w:r w:rsidRPr="007B25AE">
        <w:rPr>
          <w:rFonts w:ascii="Baskerville" w:eastAsia="MS PMincho" w:hAnsi="Baskerville" w:cs="Arabic Typesetting"/>
        </w:rPr>
        <w:t xml:space="preserve"> is in my judgment as effectively abolished as it can be by the granting of rights and privileges [in the constitution] wholly incompatible and repugnant to its existence (Edu Resource Center, etc. John Cushing; mass.gov</w:t>
      </w:r>
      <w:r w:rsidR="00424574" w:rsidRPr="007B25AE">
        <w:rPr>
          <w:rFonts w:ascii="Baskerville" w:eastAsia="MS PMincho" w:hAnsi="Baskerville" w:cs="Arabic Typesetting"/>
        </w:rPr>
        <w:t>)</w:t>
      </w:r>
      <w:r w:rsidRPr="007B25AE">
        <w:rPr>
          <w:rFonts w:ascii="Baskerville" w:eastAsia="MS PMincho" w:hAnsi="Baskerville" w:cs="Arabic Typesetting"/>
        </w:rPr>
        <w:t>.</w:t>
      </w:r>
    </w:p>
    <w:p w14:paraId="6253399A" w14:textId="77777777" w:rsidR="00F32CE3" w:rsidRPr="007B25AE" w:rsidRDefault="00F32CE3" w:rsidP="00F32CE3">
      <w:pPr>
        <w:pStyle w:val="NoSpacing"/>
        <w:spacing w:line="360" w:lineRule="auto"/>
        <w:ind w:left="1440"/>
        <w:rPr>
          <w:rFonts w:ascii="Baskerville" w:eastAsia="MS PMincho" w:hAnsi="Baskerville" w:cs="Arabic Typesetting"/>
        </w:rPr>
      </w:pPr>
    </w:p>
    <w:p w14:paraId="18F623ED" w14:textId="77777777" w:rsidR="000D2ED5" w:rsidRPr="007B25AE" w:rsidRDefault="000D2ED5" w:rsidP="00424574">
      <w:pPr>
        <w:pStyle w:val="NoSpacing"/>
        <w:spacing w:line="360" w:lineRule="auto"/>
        <w:rPr>
          <w:rFonts w:ascii="Baskerville" w:eastAsia="MS PMincho" w:hAnsi="Baskerville" w:cs="Arabic Typesetting"/>
        </w:rPr>
      </w:pPr>
      <w:r w:rsidRPr="007B25AE">
        <w:rPr>
          <w:rFonts w:ascii="Baskerville" w:eastAsia="MS PMincho" w:hAnsi="Baskerville" w:cs="Arabic Typesetting"/>
        </w:rPr>
        <w:tab/>
        <w:t xml:space="preserve">John Cushing (1961) explains that by the very fact that the Court’s decision in this matter was summed up as “the principle of judicial review to abolish slavery,” it had charted a course upon which the abolition of slavery in the Commonwealth of Massachusetts, would automatically sail into the history books. Through this channel, the principles leading to the emancipation of slaves, in that state, were put on track, not as a directly stated imperative of the Massachusetts’ Constitution, but as that single tributary with no other alternate navigable course that could be mapped out in alignment with the path that the Constitution had taken (John Cushing, 1961; Education Resource Center: Mass Court System). This was obviously one of those situations that required some judicial clarity. </w:t>
      </w:r>
    </w:p>
    <w:p w14:paraId="35CCED73" w14:textId="20F8DE2C" w:rsidR="000D2ED5" w:rsidRPr="007B25AE" w:rsidRDefault="000D2ED5" w:rsidP="00424574">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In the opinion of many, the framing of the Constitution of the Commonwealth of Massachusetts occurred at a time, and in a climate where it would have been well-nigh ill-fitting for any newly emergent colonial entity, such as Massachusetts, aspiring to become a state of free Englishmen, to also cast itself in the mold of a backward-looking ze</w:t>
      </w:r>
      <w:r w:rsidR="00A11D3A" w:rsidRPr="007B25AE">
        <w:rPr>
          <w:rFonts w:ascii="Baskerville" w:eastAsia="MS PMincho" w:hAnsi="Baskerville" w:cs="Arabic Typesetting"/>
        </w:rPr>
        <w:t>a</w:t>
      </w:r>
      <w:r w:rsidRPr="007B25AE">
        <w:rPr>
          <w:rFonts w:ascii="Baskerville" w:eastAsia="MS PMincho" w:hAnsi="Baskerville" w:cs="Arabic Typesetting"/>
        </w:rPr>
        <w:t xml:space="preserve">lot of slavery, fully invested in that attendant “Savage Inequality.” This was the age of “enlightenment-thinking,” and the Constitution of the Commonwealth of Massachusetts may well have been an inspiration for France’s, “The Rights of Man” and the American “Bill of Rights,” the latter of which would, at length, find its way into the United States Constitution (America’s Founding Documents. LOC. archives.gov). But still, whatever the true intent of the framers of the Constitution of the Commonwealth of Massachusetts was concerning slavery, it did appear a bit muffled prior to Chief Justice William Cushing’s rendition of the opinion in the Quock Walker trilogy. </w:t>
      </w:r>
    </w:p>
    <w:p w14:paraId="11BE3104" w14:textId="7DFDE02A" w:rsidR="000D2ED5" w:rsidRPr="007B25AE" w:rsidRDefault="000D2ED5" w:rsidP="00424574">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From John Cushing’s (1961) presentation, it is noticeable that In Chief Justice William Cushing’s overall opinion on the matter, in 1783, it does not only appear to show a somewhat left-leaning bias toward the abolitionist sentiment that was running amuck in the City of Boston, at the time, but even in the sentence he had lifted out of the Constitution, as stated in his opinion, is shown to be very tightly sutured to the connective tissue between the Constitution, itself, and the stand that had been taken by the chief justice against slavery (John Cushing,1961).  So that, even if one were to choose to lay aside the judge’s apparent bias in favor of the abolition of slavery, his citation from the constitution alone was quite sufficient to make the case that: “…[T]he people of our Commonwealth have solemnly bound themselves to each other—to declare that all men are born free and equal” (John Cushing,1961).   </w:t>
      </w:r>
    </w:p>
    <w:p w14:paraId="460C355A" w14:textId="77777777" w:rsidR="00424574" w:rsidRPr="007B25AE" w:rsidRDefault="000D2ED5" w:rsidP="00424574">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There is, however, a conundrum lurking in the shadows of the words quoted from the constitution. It is the fact that, while a “reasonable person” would be driven by a compunction to infer that, since the constitution requires that all people of Massachusetts  be “bound together” as equals (John Cushing, 1961), the judicial mechanism applied did not only outlaw the practice of slavery, but, it placed an onus upon the legislative body and the courts to remain forever poised to tackle the difficult, if not impossible, task of modulating the frequent expression of deeply ingrained racist ideals that had become second nature to many White folk in Massachusetts, at the time. It is thanks mainly to </w:t>
      </w:r>
      <w:proofErr w:type="gramStart"/>
      <w:r w:rsidRPr="007B25AE">
        <w:rPr>
          <w:rFonts w:ascii="Baskerville" w:eastAsia="MS PMincho" w:hAnsi="Baskerville" w:cs="Arabic Typesetting"/>
        </w:rPr>
        <w:t>a number of</w:t>
      </w:r>
      <w:proofErr w:type="gramEnd"/>
      <w:r w:rsidRPr="007B25AE">
        <w:rPr>
          <w:rFonts w:ascii="Baskerville" w:eastAsia="MS PMincho" w:hAnsi="Baskerville" w:cs="Arabic Typesetting"/>
        </w:rPr>
        <w:t xml:space="preserve"> “kinder gentler” policies of the state that the judiciary and the legislature of Massachusetts were able to bend the minds of many of its citizens toward a more humane way of looking at race. Or did it?</w:t>
      </w:r>
    </w:p>
    <w:p w14:paraId="01139B2E" w14:textId="367BCA49" w:rsidR="000D2ED5" w:rsidRPr="007B25AE" w:rsidRDefault="000D2ED5" w:rsidP="00424574">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Chief Justice William Cushing characterized slavery, in its relationship to the Constitution of Massachusetts, as a practice that was “wholly incompatible and repugnant” (John Cushing, 2018). With the 1783 emancipation of slaves, the question of how </w:t>
      </w:r>
      <w:proofErr w:type="gramStart"/>
      <w:r w:rsidRPr="007B25AE">
        <w:rPr>
          <w:rFonts w:ascii="Baskerville" w:eastAsia="MS PMincho" w:hAnsi="Baskerville" w:cs="Arabic Typesetting"/>
        </w:rPr>
        <w:t>should ex-slave-children</w:t>
      </w:r>
      <w:proofErr w:type="gramEnd"/>
      <w:r w:rsidRPr="007B25AE">
        <w:rPr>
          <w:rFonts w:ascii="Baskerville" w:eastAsia="MS PMincho" w:hAnsi="Baskerville" w:cs="Arabic Typesetting"/>
        </w:rPr>
        <w:t xml:space="preserve"> be schooled had naturally become a front burner-issue, which given time, would definitely ignite a powder keg of resistance from people in the White community. </w:t>
      </w:r>
    </w:p>
    <w:p w14:paraId="6834DB7F" w14:textId="77777777" w:rsidR="000D2ED5" w:rsidRPr="007B25AE" w:rsidRDefault="000D2ED5" w:rsidP="00424574">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The book edited by Robert Hall (2002) informs us that the state felt that, with the abolition of slavery, the natural course of action was for Black and White parents to find a way to help their children learn together in the same classrooms, and, to play together on the same playing fields.  Yet, there could be no question that most White Bostonians would have already begun to conjure up “unwelcomed” images of their little White children seated next to children, who, a few days earlier, were assigned by “nature” to their rightful place of servitude to their White counterparts of the same age. So, if the quotation from the constitution, “all men are born free and equal” (Robert Hall, 2002; John Cushing, 1961) were to carry any weight, how, then, should the people of Boston balance the attendant principle such as “equal” access to education for Black and White children, alike? </w:t>
      </w:r>
    </w:p>
    <w:p w14:paraId="599BDD01" w14:textId="41CE8FA5" w:rsidR="00595C07" w:rsidRPr="007B25AE" w:rsidRDefault="00154415" w:rsidP="00424574">
      <w:pPr>
        <w:pStyle w:val="NoSpacing"/>
        <w:spacing w:line="360" w:lineRule="auto"/>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In John </w:t>
      </w:r>
      <w:r w:rsidR="000D2ED5" w:rsidRPr="007B25AE">
        <w:rPr>
          <w:rFonts w:ascii="Baskerville" w:eastAsia="MS PMincho" w:hAnsi="Baskerville" w:cs="Arabic Typesetting"/>
          <w:color w:val="000000" w:themeColor="text1"/>
        </w:rPr>
        <w:t xml:space="preserve">Cushing’s view, the state had, all the while, intended for public schools to be integrated, immediately following the abolition of slavery.  And when that intention had begun to be more evident, it became crystal clear that the government of Massachusetts did not give any legal consideration on how to deal with White people’s long history of misguided association of the Black complexion with the natural estate of slavery. Would the bulk of White Bostonians be able to relinquish their claim to superhuman status when Black skinned people began to mingle in the public spaces, freely. So, literally, because the government did not anticipate the “harassment” of the Black children in the schools, it did not set up legal provisions to head off the inevitable violent acts against Black children to come, in both emotional and psychological ways (Robert Hall, 2002; John Cushing, 1961)? </w:t>
      </w:r>
    </w:p>
    <w:p w14:paraId="4ED58249" w14:textId="54C2800B" w:rsidR="000D2ED5" w:rsidRPr="007B25AE" w:rsidRDefault="00595C07" w:rsidP="00595C07">
      <w:pPr>
        <w:pStyle w:val="NoSpacing"/>
        <w:spacing w:line="360" w:lineRule="auto"/>
        <w:rPr>
          <w:rFonts w:ascii="Baskerville" w:eastAsia="MS PMincho" w:hAnsi="Baskerville" w:cs="Arabic Typesetting"/>
          <w:color w:val="FF0000"/>
        </w:rPr>
      </w:pPr>
      <w:r w:rsidRPr="007B25AE">
        <w:rPr>
          <w:rFonts w:ascii="Baskerville" w:eastAsia="MS PMincho" w:hAnsi="Baskerville" w:cs="Arabic Typesetting"/>
          <w:color w:val="FF0000"/>
        </w:rPr>
        <w:t>How did Racially Segregated Schools Begin?</w:t>
      </w:r>
    </w:p>
    <w:p w14:paraId="6FF40614" w14:textId="6E421854" w:rsidR="000D2ED5" w:rsidRPr="007B25AE" w:rsidRDefault="000D2ED5" w:rsidP="00424574">
      <w:pPr>
        <w:pStyle w:val="NoSpacing"/>
        <w:spacing w:line="360" w:lineRule="auto"/>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The moment it became clear that the principles of the Constitution of the Commonwealth had an inbuilt sub-system that automatically required the integration of public schools, without regard to the color or race of the children, the dominos of the, </w:t>
      </w:r>
      <w:proofErr w:type="gramStart"/>
      <w:r w:rsidRPr="007B25AE">
        <w:rPr>
          <w:rFonts w:ascii="Baskerville" w:eastAsia="MS PMincho" w:hAnsi="Baskerville" w:cs="Arabic Typesetting"/>
          <w:color w:val="000000" w:themeColor="text1"/>
        </w:rPr>
        <w:t>as yet</w:t>
      </w:r>
      <w:proofErr w:type="gramEnd"/>
      <w:r w:rsidRPr="007B25AE">
        <w:rPr>
          <w:rFonts w:ascii="Baskerville" w:eastAsia="MS PMincho" w:hAnsi="Baskerville" w:cs="Arabic Typesetting"/>
          <w:color w:val="000000" w:themeColor="text1"/>
        </w:rPr>
        <w:t xml:space="preserve">, inescapable questions, began to fall. Should not the law provide, post facto, some means of remediating the lost years of the retarding effect of the enslavement of Black children?  Should there not have been a success-stimulus infusion of apportioned doses of Black teachers into the blood stream of the Massachusetts public school districts, as well? Or was there a plan to put in </w:t>
      </w:r>
      <w:proofErr w:type="gramStart"/>
      <w:r w:rsidRPr="007B25AE">
        <w:rPr>
          <w:rFonts w:ascii="Baskerville" w:eastAsia="MS PMincho" w:hAnsi="Baskerville" w:cs="Arabic Typesetting"/>
          <w:color w:val="000000" w:themeColor="text1"/>
        </w:rPr>
        <w:t>place some kind of, speak</w:t>
      </w:r>
      <w:r w:rsidR="00177D47" w:rsidRPr="007B25AE">
        <w:rPr>
          <w:rFonts w:ascii="Baskerville" w:eastAsia="MS PMincho" w:hAnsi="Baskerville" w:cs="Arabic Typesetting"/>
          <w:color w:val="000000" w:themeColor="text1"/>
        </w:rPr>
        <w:t>ing</w:t>
      </w:r>
      <w:proofErr w:type="gramEnd"/>
      <w:r w:rsidRPr="007B25AE">
        <w:rPr>
          <w:rFonts w:ascii="Baskerville" w:eastAsia="MS PMincho" w:hAnsi="Baskerville" w:cs="Arabic Typesetting"/>
          <w:color w:val="000000" w:themeColor="text1"/>
        </w:rPr>
        <w:t xml:space="preserve"> anachronistically,  “affirmative action” that would create a readily available pool of teachers who looked more like the slave-children who were being brought into the educational mix?  </w:t>
      </w:r>
      <w:proofErr w:type="gramStart"/>
      <w:r w:rsidRPr="007B25AE">
        <w:rPr>
          <w:rFonts w:ascii="Baskerville" w:eastAsia="MS PMincho" w:hAnsi="Baskerville" w:cs="Arabic Typesetting"/>
          <w:color w:val="000000" w:themeColor="text1"/>
        </w:rPr>
        <w:t>Or,</w:t>
      </w:r>
      <w:proofErr w:type="gramEnd"/>
      <w:r w:rsidRPr="007B25AE">
        <w:rPr>
          <w:rFonts w:ascii="Baskerville" w:eastAsia="MS PMincho" w:hAnsi="Baskerville" w:cs="Arabic Typesetting"/>
          <w:color w:val="000000" w:themeColor="text1"/>
        </w:rPr>
        <w:t xml:space="preserve"> did anyone even see the necessity for the inclusion of Black teachers along with the integration of Black children into the mostly White public-schools? As it appears, to me, there did not even seem to be a thought that the employment of Black teachers was necessary, at the time.</w:t>
      </w:r>
    </w:p>
    <w:p w14:paraId="7F9A2C1E" w14:textId="67DCCA6B" w:rsidR="000D2ED5" w:rsidRPr="007B25AE" w:rsidRDefault="000D2ED5" w:rsidP="00424574">
      <w:pPr>
        <w:pStyle w:val="NoSpacing"/>
        <w:spacing w:line="360" w:lineRule="auto"/>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My impression is that </w:t>
      </w:r>
      <w:r w:rsidR="00177D47" w:rsidRPr="007B25AE">
        <w:rPr>
          <w:rFonts w:ascii="Baskerville" w:eastAsia="MS PMincho" w:hAnsi="Baskerville" w:cs="Arabic Typesetting"/>
          <w:color w:val="000000" w:themeColor="text1"/>
        </w:rPr>
        <w:t xml:space="preserve">the </w:t>
      </w:r>
      <w:r w:rsidRPr="007B25AE">
        <w:rPr>
          <w:rFonts w:ascii="Baskerville" w:eastAsia="MS PMincho" w:hAnsi="Baskerville" w:cs="Arabic Typesetting"/>
          <w:color w:val="000000" w:themeColor="text1"/>
        </w:rPr>
        <w:t>school integrationists of 1780s Massachusetts, would never have considered that there was any need for Black teachers. At any rate, there would certainly not have been a fully ripened harvest of qualified Black teachers to pick from, since the Black population, with the exception of “</w:t>
      </w:r>
      <w:proofErr w:type="gramStart"/>
      <w:r w:rsidRPr="007B25AE">
        <w:rPr>
          <w:rFonts w:ascii="Baskerville" w:eastAsia="MS PMincho" w:hAnsi="Baskerville" w:cs="Arabic Typesetting"/>
          <w:color w:val="000000" w:themeColor="text1"/>
        </w:rPr>
        <w:t>free-people</w:t>
      </w:r>
      <w:proofErr w:type="gramEnd"/>
      <w:r w:rsidRPr="007B25AE">
        <w:rPr>
          <w:rFonts w:ascii="Baskerville" w:eastAsia="MS PMincho" w:hAnsi="Baskerville" w:cs="Arabic Typesetting"/>
          <w:color w:val="000000" w:themeColor="text1"/>
        </w:rPr>
        <w:t xml:space="preserve">,” were newly emancipated slaves.  Moreover, Neal (2018) suggests that it would be quite infantile to think that as soon as the integration of schools began, the little former slave-children would have been greeted with a welcome mat at the entrance of the schoolhouse; or that they would have just been automatically treated like regular students by White teachers and students alike (Neal 2018, pp. 4-5). Clearly, the law which ordered school integration in Massachusetts, during the mid 1780s, may not have been such a good thing in the absence of strategies to protect the little former slave children and provide pedagogical role models who look like them. </w:t>
      </w:r>
    </w:p>
    <w:p w14:paraId="59DDEB5B" w14:textId="34632483" w:rsidR="00E57A03" w:rsidRPr="007B25AE" w:rsidRDefault="00E32FFA" w:rsidP="00AF0BB0">
      <w:pPr>
        <w:pStyle w:val="NoSpacing"/>
        <w:spacing w:line="360" w:lineRule="auto"/>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Danns (2015) writes that during much of the latter half of the 1780s, Black parents were having anxiety attacks over reports that their children were being made the unhappy recipients of harsh unrelenting harassment at the “hands” of White teachers and students, alike (Danns, 2015; Robert Hall, 2002; Prelude to Brown). Meanwhile, Upon the abolition of slavery, the judiciary and the state of Massachusetts had decided that racial integration of the </w:t>
      </w:r>
      <w:r w:rsidR="005B38BE" w:rsidRPr="007B25AE">
        <w:rPr>
          <w:rFonts w:ascii="Baskerville" w:eastAsia="MS PMincho" w:hAnsi="Baskerville" w:cs="Arabic Typesetting"/>
          <w:color w:val="000000" w:themeColor="text1"/>
        </w:rPr>
        <w:t>“</w:t>
      </w:r>
      <w:r w:rsidRPr="007B25AE">
        <w:rPr>
          <w:rFonts w:ascii="Baskerville" w:eastAsia="MS PMincho" w:hAnsi="Baskerville" w:cs="Arabic Typesetting"/>
          <w:color w:val="000000" w:themeColor="text1"/>
        </w:rPr>
        <w:t>common schools</w:t>
      </w:r>
      <w:r w:rsidR="005B38BE" w:rsidRPr="007B25AE">
        <w:rPr>
          <w:rFonts w:ascii="Baskerville" w:eastAsia="MS PMincho" w:hAnsi="Baskerville" w:cs="Arabic Typesetting"/>
          <w:color w:val="000000" w:themeColor="text1"/>
        </w:rPr>
        <w:t>,”</w:t>
      </w:r>
      <w:r w:rsidRPr="007B25AE">
        <w:rPr>
          <w:rFonts w:ascii="Baskerville" w:eastAsia="MS PMincho" w:hAnsi="Baskerville" w:cs="Arabic Typesetting"/>
          <w:color w:val="000000" w:themeColor="text1"/>
        </w:rPr>
        <w:t xml:space="preserve"> in the state, would be the way to guarantee that all children have equal access to education in a safe environment, regardless of race. In Moss’s article, it is brought out that although the law, ordering the integration of schools, applied just as much to the capital </w:t>
      </w:r>
      <w:r w:rsidR="005B38BE" w:rsidRPr="007B25AE">
        <w:rPr>
          <w:rFonts w:ascii="Baskerville" w:eastAsia="MS PMincho" w:hAnsi="Baskerville" w:cs="Arabic Typesetting"/>
          <w:color w:val="000000" w:themeColor="text1"/>
        </w:rPr>
        <w:t>C</w:t>
      </w:r>
      <w:r w:rsidRPr="007B25AE">
        <w:rPr>
          <w:rFonts w:ascii="Baskerville" w:eastAsia="MS PMincho" w:hAnsi="Baskerville" w:cs="Arabic Typesetting"/>
          <w:color w:val="000000" w:themeColor="text1"/>
        </w:rPr>
        <w:t>ity</w:t>
      </w:r>
      <w:r w:rsidR="005B38BE" w:rsidRPr="007B25AE">
        <w:rPr>
          <w:rFonts w:ascii="Baskerville" w:eastAsia="MS PMincho" w:hAnsi="Baskerville" w:cs="Arabic Typesetting"/>
          <w:color w:val="000000" w:themeColor="text1"/>
        </w:rPr>
        <w:t xml:space="preserve"> of Boston</w:t>
      </w:r>
      <w:r w:rsidRPr="007B25AE">
        <w:rPr>
          <w:rFonts w:ascii="Baskerville" w:eastAsia="MS PMincho" w:hAnsi="Baskerville" w:cs="Arabic Typesetting"/>
          <w:color w:val="000000" w:themeColor="text1"/>
        </w:rPr>
        <w:t xml:space="preserve"> as it did to the rest of the state, the situation that arose in Boston tended to demand a unique approach.  Although the integration of the common schools, following upon the heels of the emancipation of the African slaves w</w:t>
      </w:r>
      <w:r w:rsidR="005B38BE" w:rsidRPr="007B25AE">
        <w:rPr>
          <w:rFonts w:ascii="Baskerville" w:eastAsia="MS PMincho" w:hAnsi="Baskerville" w:cs="Arabic Typesetting"/>
          <w:color w:val="000000" w:themeColor="text1"/>
        </w:rPr>
        <w:t>as</w:t>
      </w:r>
      <w:r w:rsidRPr="007B25AE">
        <w:rPr>
          <w:rFonts w:ascii="Baskerville" w:eastAsia="MS PMincho" w:hAnsi="Baskerville" w:cs="Arabic Typesetting"/>
          <w:color w:val="000000" w:themeColor="text1"/>
        </w:rPr>
        <w:t xml:space="preserve"> done with the best of intentions, they were done without full consideration of the fact that the abolition of slavery</w:t>
      </w:r>
      <w:proofErr w:type="gramStart"/>
      <w:r w:rsidRPr="007B25AE">
        <w:rPr>
          <w:rFonts w:ascii="Baskerville" w:eastAsia="MS PMincho" w:hAnsi="Baskerville" w:cs="Arabic Typesetting"/>
          <w:color w:val="000000" w:themeColor="text1"/>
        </w:rPr>
        <w:t>, in itself, would</w:t>
      </w:r>
      <w:proofErr w:type="gramEnd"/>
      <w:r w:rsidRPr="007B25AE">
        <w:rPr>
          <w:rFonts w:ascii="Baskerville" w:eastAsia="MS PMincho" w:hAnsi="Baskerville" w:cs="Arabic Typesetting"/>
          <w:color w:val="000000" w:themeColor="text1"/>
        </w:rPr>
        <w:t xml:space="preserve"> not automatically irradicate the subcutaneous infection of acculturated racism in the attitudes and behaviors of many White </w:t>
      </w:r>
      <w:r w:rsidR="005B38BE" w:rsidRPr="007B25AE">
        <w:rPr>
          <w:rFonts w:ascii="Baskerville" w:eastAsia="MS PMincho" w:hAnsi="Baskerville" w:cs="Arabic Typesetting"/>
          <w:color w:val="000000" w:themeColor="text1"/>
        </w:rPr>
        <w:t xml:space="preserve">residents. </w:t>
      </w:r>
      <w:r w:rsidR="00FE5C31" w:rsidRPr="007B25AE">
        <w:rPr>
          <w:rFonts w:ascii="Baskerville" w:eastAsia="MS PMincho" w:hAnsi="Baskerville" w:cs="Arabic Typesetting"/>
          <w:color w:val="000000" w:themeColor="text1"/>
        </w:rPr>
        <w:t xml:space="preserve">Many </w:t>
      </w:r>
      <w:r w:rsidR="005B38BE" w:rsidRPr="007B25AE">
        <w:rPr>
          <w:rFonts w:ascii="Baskerville" w:eastAsia="MS PMincho" w:hAnsi="Baskerville" w:cs="Arabic Typesetting"/>
          <w:color w:val="000000" w:themeColor="text1"/>
        </w:rPr>
        <w:t xml:space="preserve">White </w:t>
      </w:r>
      <w:r w:rsidRPr="007B25AE">
        <w:rPr>
          <w:rFonts w:ascii="Baskerville" w:eastAsia="MS PMincho" w:hAnsi="Baskerville" w:cs="Arabic Typesetting"/>
          <w:color w:val="000000" w:themeColor="text1"/>
        </w:rPr>
        <w:t xml:space="preserve">Bostonians would obviously remain troubled by the prospect that they were going to have to live together with former slaves and their children in the same public spaces (Danns, 2015, pp. 35-‘6). </w:t>
      </w:r>
      <w:r w:rsidR="00FE5C31" w:rsidRPr="007B25AE">
        <w:rPr>
          <w:rFonts w:ascii="Baskerville" w:eastAsia="MS PMincho" w:hAnsi="Baskerville" w:cs="Arabic Typesetting"/>
          <w:color w:val="000000" w:themeColor="text1"/>
        </w:rPr>
        <w:t xml:space="preserve">It seems that in such a climate, the children of former slave would certainly be subjected to the same type of beatings and maltreatment as before, especially in integrated schools. </w:t>
      </w:r>
    </w:p>
    <w:p w14:paraId="173BA672" w14:textId="34FF93E3" w:rsidR="00595C07" w:rsidRPr="007B25AE" w:rsidRDefault="000D0259" w:rsidP="00595C07">
      <w:pPr>
        <w:pStyle w:val="NoSpacing"/>
        <w:spacing w:line="360" w:lineRule="auto"/>
        <w:rPr>
          <w:rFonts w:ascii="Baskerville" w:eastAsia="MS PMincho" w:hAnsi="Baskerville" w:cs="Arabic Typesetting"/>
          <w:color w:val="FF0000"/>
        </w:rPr>
      </w:pPr>
      <w:r w:rsidRPr="007B25AE">
        <w:rPr>
          <w:rFonts w:ascii="Baskerville" w:eastAsia="MS PMincho" w:hAnsi="Baskerville" w:cs="Arabic Typesetting"/>
          <w:color w:val="FF0000"/>
        </w:rPr>
        <w:t xml:space="preserve">Was </w:t>
      </w:r>
      <w:r w:rsidR="00E57A03" w:rsidRPr="007B25AE">
        <w:rPr>
          <w:rFonts w:ascii="Baskerville" w:eastAsia="MS PMincho" w:hAnsi="Baskerville" w:cs="Arabic Typesetting"/>
          <w:color w:val="FF0000"/>
        </w:rPr>
        <w:t>T</w:t>
      </w:r>
      <w:r w:rsidRPr="007B25AE">
        <w:rPr>
          <w:rFonts w:ascii="Baskerville" w:eastAsia="MS PMincho" w:hAnsi="Baskerville" w:cs="Arabic Typesetting"/>
          <w:color w:val="FF0000"/>
        </w:rPr>
        <w:t xml:space="preserve">here Physical </w:t>
      </w:r>
      <w:r w:rsidR="00595C07" w:rsidRPr="007B25AE">
        <w:rPr>
          <w:rFonts w:ascii="Baskerville" w:eastAsia="MS PMincho" w:hAnsi="Baskerville" w:cs="Arabic Typesetting"/>
          <w:color w:val="FF0000"/>
        </w:rPr>
        <w:t xml:space="preserve">Abuse of Black Children by </w:t>
      </w:r>
      <w:r w:rsidR="00F02D84" w:rsidRPr="007B25AE">
        <w:rPr>
          <w:rFonts w:ascii="Baskerville" w:eastAsia="MS PMincho" w:hAnsi="Baskerville" w:cs="Arabic Typesetting"/>
          <w:color w:val="FF0000"/>
        </w:rPr>
        <w:t xml:space="preserve">Boston’s </w:t>
      </w:r>
      <w:r w:rsidR="00595C07" w:rsidRPr="007B25AE">
        <w:rPr>
          <w:rFonts w:ascii="Baskerville" w:eastAsia="MS PMincho" w:hAnsi="Baskerville" w:cs="Arabic Typesetting"/>
          <w:color w:val="FF0000"/>
        </w:rPr>
        <w:t xml:space="preserve">White Teachers? </w:t>
      </w:r>
    </w:p>
    <w:p w14:paraId="3FEDD84A" w14:textId="0E845882" w:rsidR="00916627" w:rsidRPr="007B25AE" w:rsidRDefault="00E32FFA" w:rsidP="00BB6016">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Gershoff and Font (2018) report that Black children in American schools ha</w:t>
      </w:r>
      <w:r w:rsidR="005B38BE" w:rsidRPr="007B25AE">
        <w:rPr>
          <w:rFonts w:ascii="Baskerville" w:eastAsia="MS PMincho" w:hAnsi="Baskerville" w:cs="Arabic Typesetting"/>
        </w:rPr>
        <w:t>d</w:t>
      </w:r>
      <w:r w:rsidRPr="007B25AE">
        <w:rPr>
          <w:rFonts w:ascii="Baskerville" w:eastAsia="MS PMincho" w:hAnsi="Baskerville" w:cs="Arabic Typesetting"/>
        </w:rPr>
        <w:t xml:space="preserve"> historically been the recipients of summary accusations and unfair punitive actions by educators (Gershoff &amp; Font, 2018). This would be no less true in Boston’s integrated schools of the 1780s.  Despite that, though, </w:t>
      </w:r>
      <w:r w:rsidR="00396402" w:rsidRPr="007B25AE">
        <w:rPr>
          <w:rFonts w:ascii="Baskerville" w:eastAsia="MS PMincho" w:hAnsi="Baskerville" w:cs="Arabic Typesetting"/>
        </w:rPr>
        <w:t>Hall (</w:t>
      </w:r>
      <w:r w:rsidR="00B9034A" w:rsidRPr="007B25AE">
        <w:rPr>
          <w:rFonts w:ascii="Baskerville" w:eastAsia="MS PMincho" w:hAnsi="Baskerville" w:cs="Arabic Typesetting"/>
        </w:rPr>
        <w:t>Robert Hall, 2002</w:t>
      </w:r>
      <w:r w:rsidR="00396402" w:rsidRPr="007B25AE">
        <w:rPr>
          <w:rFonts w:ascii="Baskerville" w:eastAsia="MS PMincho" w:hAnsi="Baskerville" w:cs="Arabic Typesetting"/>
        </w:rPr>
        <w:t xml:space="preserve">) tells us that </w:t>
      </w:r>
      <w:r w:rsidRPr="007B25AE">
        <w:rPr>
          <w:rFonts w:ascii="Baskerville" w:eastAsia="MS PMincho" w:hAnsi="Baskerville" w:cs="Arabic Typesetting"/>
        </w:rPr>
        <w:t>the consensus among historians has been that many Black Bostonians of that period had chosen to keep their children out of the integrated schools while also asking the government to provide them with se</w:t>
      </w:r>
      <w:r w:rsidR="005B38BE" w:rsidRPr="007B25AE">
        <w:rPr>
          <w:rFonts w:ascii="Baskerville" w:eastAsia="MS PMincho" w:hAnsi="Baskerville" w:cs="Arabic Typesetting"/>
        </w:rPr>
        <w:t xml:space="preserve">gregated Black </w:t>
      </w:r>
      <w:r w:rsidRPr="007B25AE">
        <w:rPr>
          <w:rFonts w:ascii="Baskerville" w:eastAsia="MS PMincho" w:hAnsi="Baskerville" w:cs="Arabic Typesetting"/>
        </w:rPr>
        <w:t xml:space="preserve">schools, because of </w:t>
      </w:r>
      <w:r w:rsidR="00396402" w:rsidRPr="007B25AE">
        <w:rPr>
          <w:rFonts w:ascii="Baskerville" w:eastAsia="MS PMincho" w:hAnsi="Baskerville" w:cs="Arabic Typesetting"/>
        </w:rPr>
        <w:t xml:space="preserve">the </w:t>
      </w:r>
      <w:r w:rsidR="005B38BE" w:rsidRPr="007B25AE">
        <w:rPr>
          <w:rFonts w:ascii="Baskerville" w:eastAsia="MS PMincho" w:hAnsi="Baskerville" w:cs="Arabic Typesetting"/>
        </w:rPr>
        <w:t>“</w:t>
      </w:r>
      <w:r w:rsidRPr="007B25AE">
        <w:rPr>
          <w:rFonts w:ascii="Baskerville" w:eastAsia="MS PMincho" w:hAnsi="Baskerville" w:cs="Arabic Typesetting"/>
        </w:rPr>
        <w:t>verbal abuse</w:t>
      </w:r>
      <w:r w:rsidR="005B38BE" w:rsidRPr="007B25AE">
        <w:rPr>
          <w:rFonts w:ascii="Baskerville" w:eastAsia="MS PMincho" w:hAnsi="Baskerville" w:cs="Arabic Typesetting"/>
        </w:rPr>
        <w:t>”</w:t>
      </w:r>
      <w:r w:rsidRPr="007B25AE">
        <w:rPr>
          <w:rFonts w:ascii="Baskerville" w:eastAsia="MS PMincho" w:hAnsi="Baskerville" w:cs="Arabic Typesetting"/>
        </w:rPr>
        <w:t xml:space="preserve"> Black children </w:t>
      </w:r>
      <w:r w:rsidR="00396402" w:rsidRPr="007B25AE">
        <w:rPr>
          <w:rFonts w:ascii="Baskerville" w:eastAsia="MS PMincho" w:hAnsi="Baskerville" w:cs="Arabic Typesetting"/>
        </w:rPr>
        <w:t>had</w:t>
      </w:r>
      <w:r w:rsidRPr="007B25AE">
        <w:rPr>
          <w:rFonts w:ascii="Baskerville" w:eastAsia="MS PMincho" w:hAnsi="Baskerville" w:cs="Arabic Typesetting"/>
        </w:rPr>
        <w:t xml:space="preserve"> to contend with (Robert Hall</w:t>
      </w:r>
      <w:r w:rsidR="00B9034A" w:rsidRPr="007B25AE">
        <w:rPr>
          <w:rFonts w:ascii="Baskerville" w:eastAsia="MS PMincho" w:hAnsi="Baskerville" w:cs="Arabic Typesetting"/>
        </w:rPr>
        <w:t>, 2002</w:t>
      </w:r>
      <w:r w:rsidR="00F001A5" w:rsidRPr="007B25AE">
        <w:rPr>
          <w:rFonts w:ascii="Baskerville" w:eastAsia="MS PMincho" w:hAnsi="Baskerville" w:cs="Arabic Typesetting"/>
        </w:rPr>
        <w:t>; Joanie DiPietro;</w:t>
      </w:r>
      <w:r w:rsidRPr="007B25AE">
        <w:rPr>
          <w:rFonts w:ascii="Baskerville" w:eastAsia="MS PMincho" w:hAnsi="Baskerville" w:cs="Arabic Typesetting"/>
        </w:rPr>
        <w:t xml:space="preserve">). </w:t>
      </w:r>
    </w:p>
    <w:p w14:paraId="74E5F0EC" w14:textId="4731FC3C" w:rsidR="00E32FFA" w:rsidRPr="007B25AE" w:rsidRDefault="00396402" w:rsidP="00E32FFA">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But</w:t>
      </w:r>
      <w:r w:rsidR="007F6E0E" w:rsidRPr="007B25AE">
        <w:rPr>
          <w:rFonts w:ascii="Baskerville" w:eastAsia="MS PMincho" w:hAnsi="Baskerville" w:cs="Arabic Typesetting"/>
        </w:rPr>
        <w:t xml:space="preserve"> the claim that </w:t>
      </w:r>
      <w:r w:rsidR="001B7F06" w:rsidRPr="007B25AE">
        <w:rPr>
          <w:rFonts w:ascii="Baskerville" w:eastAsia="MS PMincho" w:hAnsi="Baskerville" w:cs="Arabic Typesetting"/>
        </w:rPr>
        <w:t xml:space="preserve">the </w:t>
      </w:r>
      <w:r w:rsidRPr="007B25AE">
        <w:rPr>
          <w:rFonts w:ascii="Baskerville" w:eastAsia="MS PMincho" w:hAnsi="Baskerville" w:cs="Arabic Typesetting"/>
        </w:rPr>
        <w:t xml:space="preserve">concern of </w:t>
      </w:r>
      <w:r w:rsidR="007F6E0E" w:rsidRPr="007B25AE">
        <w:rPr>
          <w:rFonts w:ascii="Baskerville" w:eastAsia="MS PMincho" w:hAnsi="Baskerville" w:cs="Arabic Typesetting"/>
        </w:rPr>
        <w:t>Black parents</w:t>
      </w:r>
      <w:r w:rsidRPr="007B25AE">
        <w:rPr>
          <w:rFonts w:ascii="Baskerville" w:eastAsia="MS PMincho" w:hAnsi="Baskerville" w:cs="Arabic Typesetting"/>
        </w:rPr>
        <w:t xml:space="preserve"> over </w:t>
      </w:r>
      <w:r w:rsidR="003960A4" w:rsidRPr="007B25AE">
        <w:rPr>
          <w:rFonts w:ascii="Baskerville" w:eastAsia="MS PMincho" w:hAnsi="Baskerville" w:cs="Arabic Typesetting"/>
        </w:rPr>
        <w:t xml:space="preserve">the </w:t>
      </w:r>
      <w:r w:rsidR="007109D1" w:rsidRPr="007B25AE">
        <w:rPr>
          <w:rFonts w:ascii="Baskerville" w:eastAsia="MS PMincho" w:hAnsi="Baskerville" w:cs="Arabic Typesetting"/>
        </w:rPr>
        <w:t>mal</w:t>
      </w:r>
      <w:r w:rsidRPr="007B25AE">
        <w:rPr>
          <w:rFonts w:ascii="Baskerville" w:eastAsia="MS PMincho" w:hAnsi="Baskerville" w:cs="Arabic Typesetting"/>
        </w:rPr>
        <w:t>treatment of their children was</w:t>
      </w:r>
      <w:r w:rsidR="007F6E0E" w:rsidRPr="007B25AE">
        <w:rPr>
          <w:rFonts w:ascii="Baskerville" w:eastAsia="MS PMincho" w:hAnsi="Baskerville" w:cs="Arabic Typesetting"/>
        </w:rPr>
        <w:t xml:space="preserve"> </w:t>
      </w:r>
      <w:r w:rsidRPr="007B25AE">
        <w:rPr>
          <w:rFonts w:ascii="Baskerville" w:eastAsia="MS PMincho" w:hAnsi="Baskerville" w:cs="Arabic Typesetting"/>
        </w:rPr>
        <w:t>some kind of unspecified</w:t>
      </w:r>
      <w:r w:rsidR="00E32FFA" w:rsidRPr="007B25AE">
        <w:rPr>
          <w:rFonts w:ascii="Baskerville" w:eastAsia="MS PMincho" w:hAnsi="Baskerville" w:cs="Arabic Typesetting"/>
        </w:rPr>
        <w:t xml:space="preserve"> race-targeted verbal harassment does not strike me as reason enough for the</w:t>
      </w:r>
      <w:r w:rsidR="001B7F06" w:rsidRPr="007B25AE">
        <w:rPr>
          <w:rFonts w:ascii="Baskerville" w:eastAsia="MS PMincho" w:hAnsi="Baskerville" w:cs="Arabic Typesetting"/>
        </w:rPr>
        <w:t>m</w:t>
      </w:r>
      <w:r w:rsidR="00E32FFA" w:rsidRPr="007B25AE">
        <w:rPr>
          <w:rFonts w:ascii="Baskerville" w:eastAsia="MS PMincho" w:hAnsi="Baskerville" w:cs="Arabic Typesetting"/>
        </w:rPr>
        <w:t xml:space="preserve"> to buil</w:t>
      </w:r>
      <w:r w:rsidR="001B7F06" w:rsidRPr="007B25AE">
        <w:rPr>
          <w:rFonts w:ascii="Baskerville" w:eastAsia="MS PMincho" w:hAnsi="Baskerville" w:cs="Arabic Typesetting"/>
        </w:rPr>
        <w:t>d</w:t>
      </w:r>
      <w:r w:rsidR="00E32FFA" w:rsidRPr="007B25AE">
        <w:rPr>
          <w:rFonts w:ascii="Baskerville" w:eastAsia="MS PMincho" w:hAnsi="Baskerville" w:cs="Arabic Typesetting"/>
        </w:rPr>
        <w:t xml:space="preserve"> a movement </w:t>
      </w:r>
      <w:r w:rsidR="001B7F06" w:rsidRPr="007B25AE">
        <w:rPr>
          <w:rFonts w:ascii="Baskerville" w:eastAsia="MS PMincho" w:hAnsi="Baskerville" w:cs="Arabic Typesetting"/>
        </w:rPr>
        <w:t>push</w:t>
      </w:r>
      <w:r w:rsidR="003960A4" w:rsidRPr="007B25AE">
        <w:rPr>
          <w:rFonts w:ascii="Baskerville" w:eastAsia="MS PMincho" w:hAnsi="Baskerville" w:cs="Arabic Typesetting"/>
        </w:rPr>
        <w:t>ing</w:t>
      </w:r>
      <w:r w:rsidR="001B7F06" w:rsidRPr="007B25AE">
        <w:rPr>
          <w:rFonts w:ascii="Baskerville" w:eastAsia="MS PMincho" w:hAnsi="Baskerville" w:cs="Arabic Typesetting"/>
        </w:rPr>
        <w:t xml:space="preserve"> for the creation of </w:t>
      </w:r>
      <w:r w:rsidR="00E32FFA" w:rsidRPr="007B25AE">
        <w:rPr>
          <w:rFonts w:ascii="Baskerville" w:eastAsia="MS PMincho" w:hAnsi="Baskerville" w:cs="Arabic Typesetting"/>
        </w:rPr>
        <w:t xml:space="preserve">segregated </w:t>
      </w:r>
      <w:r w:rsidR="003960A4" w:rsidRPr="007B25AE">
        <w:rPr>
          <w:rFonts w:ascii="Baskerville" w:eastAsia="MS PMincho" w:hAnsi="Baskerville" w:cs="Arabic Typesetting"/>
        </w:rPr>
        <w:t xml:space="preserve">Black </w:t>
      </w:r>
      <w:r w:rsidR="00E32FFA" w:rsidRPr="007B25AE">
        <w:rPr>
          <w:rFonts w:ascii="Baskerville" w:eastAsia="MS PMincho" w:hAnsi="Baskerville" w:cs="Arabic Typesetting"/>
        </w:rPr>
        <w:t xml:space="preserve">schools. Looking back at It, in the context of the Black parents’ rejection of </w:t>
      </w:r>
      <w:r w:rsidR="00165952" w:rsidRPr="007B25AE">
        <w:rPr>
          <w:rFonts w:ascii="Baskerville" w:eastAsia="MS PMincho" w:hAnsi="Baskerville" w:cs="Arabic Typesetting"/>
        </w:rPr>
        <w:t xml:space="preserve">the </w:t>
      </w:r>
      <w:r w:rsidR="00E32FFA" w:rsidRPr="007B25AE">
        <w:rPr>
          <w:rFonts w:ascii="Baskerville" w:eastAsia="MS PMincho" w:hAnsi="Baskerville" w:cs="Arabic Typesetting"/>
        </w:rPr>
        <w:t>racially integrated schools, a</w:t>
      </w:r>
      <w:r w:rsidR="00165952" w:rsidRPr="007B25AE">
        <w:rPr>
          <w:rFonts w:ascii="Baskerville" w:eastAsia="MS PMincho" w:hAnsi="Baskerville" w:cs="Arabic Typesetting"/>
        </w:rPr>
        <w:t>s a</w:t>
      </w:r>
      <w:r w:rsidR="00E32FFA" w:rsidRPr="007B25AE">
        <w:rPr>
          <w:rFonts w:ascii="Baskerville" w:eastAsia="MS PMincho" w:hAnsi="Baskerville" w:cs="Arabic Typesetting"/>
        </w:rPr>
        <w:t xml:space="preserve"> climate in which the alleged harassment </w:t>
      </w:r>
      <w:r w:rsidR="00165952" w:rsidRPr="007B25AE">
        <w:rPr>
          <w:rFonts w:ascii="Baskerville" w:eastAsia="MS PMincho" w:hAnsi="Baskerville" w:cs="Arabic Typesetting"/>
        </w:rPr>
        <w:t xml:space="preserve">of Black pupils </w:t>
      </w:r>
      <w:r w:rsidR="00E32FFA" w:rsidRPr="007B25AE">
        <w:rPr>
          <w:rFonts w:ascii="Baskerville" w:eastAsia="MS PMincho" w:hAnsi="Baskerville" w:cs="Arabic Typesetting"/>
        </w:rPr>
        <w:t xml:space="preserve">was taking place, one wonders whether there might have been a bit more to the debate, and </w:t>
      </w:r>
      <w:r w:rsidR="003960A4" w:rsidRPr="007B25AE">
        <w:rPr>
          <w:rFonts w:ascii="Baskerville" w:eastAsia="MS PMincho" w:hAnsi="Baskerville" w:cs="Arabic Typesetting"/>
        </w:rPr>
        <w:t xml:space="preserve">whether </w:t>
      </w:r>
      <w:r w:rsidR="00E32FFA" w:rsidRPr="007B25AE">
        <w:rPr>
          <w:rFonts w:ascii="Baskerville" w:eastAsia="MS PMincho" w:hAnsi="Baskerville" w:cs="Arabic Typesetting"/>
        </w:rPr>
        <w:t xml:space="preserve">historians and researchers may </w:t>
      </w:r>
      <w:r w:rsidR="001E1486" w:rsidRPr="007B25AE">
        <w:rPr>
          <w:rFonts w:ascii="Baskerville" w:eastAsia="MS PMincho" w:hAnsi="Baskerville" w:cs="Arabic Typesetting"/>
        </w:rPr>
        <w:t>either</w:t>
      </w:r>
      <w:r w:rsidR="00E32FFA" w:rsidRPr="007B25AE">
        <w:rPr>
          <w:rFonts w:ascii="Baskerville" w:eastAsia="MS PMincho" w:hAnsi="Baskerville" w:cs="Arabic Typesetting"/>
        </w:rPr>
        <w:t xml:space="preserve"> have </w:t>
      </w:r>
      <w:r w:rsidR="00CF3E01" w:rsidRPr="007B25AE">
        <w:rPr>
          <w:rFonts w:ascii="Baskerville" w:eastAsia="MS PMincho" w:hAnsi="Baskerville" w:cs="Arabic Typesetting"/>
        </w:rPr>
        <w:t xml:space="preserve">not </w:t>
      </w:r>
      <w:r w:rsidR="00E32FFA" w:rsidRPr="007B25AE">
        <w:rPr>
          <w:rFonts w:ascii="Baskerville" w:eastAsia="MS PMincho" w:hAnsi="Baskerville" w:cs="Arabic Typesetting"/>
        </w:rPr>
        <w:t xml:space="preserve">been completely </w:t>
      </w:r>
      <w:r w:rsidR="001E1486" w:rsidRPr="007B25AE">
        <w:rPr>
          <w:rFonts w:ascii="Baskerville" w:eastAsia="MS PMincho" w:hAnsi="Baskerville" w:cs="Arabic Typesetting"/>
        </w:rPr>
        <w:t xml:space="preserve">honest, or </w:t>
      </w:r>
      <w:r w:rsidR="00C878C3" w:rsidRPr="007B25AE">
        <w:rPr>
          <w:rFonts w:ascii="Baskerville" w:eastAsia="MS PMincho" w:hAnsi="Baskerville" w:cs="Arabic Typesetting"/>
        </w:rPr>
        <w:t xml:space="preserve">that they </w:t>
      </w:r>
      <w:r w:rsidR="00165952" w:rsidRPr="007B25AE">
        <w:rPr>
          <w:rFonts w:ascii="Baskerville" w:eastAsia="MS PMincho" w:hAnsi="Baskerville" w:cs="Arabic Typesetting"/>
        </w:rPr>
        <w:t xml:space="preserve">may have </w:t>
      </w:r>
      <w:r w:rsidR="005321A7" w:rsidRPr="007B25AE">
        <w:rPr>
          <w:rFonts w:ascii="Baskerville" w:eastAsia="MS PMincho" w:hAnsi="Baskerville" w:cs="Arabic Typesetting"/>
        </w:rPr>
        <w:t xml:space="preserve">just </w:t>
      </w:r>
      <w:r w:rsidR="00CF3E01" w:rsidRPr="007B25AE">
        <w:rPr>
          <w:rFonts w:ascii="Baskerville" w:eastAsia="MS PMincho" w:hAnsi="Baskerville" w:cs="Arabic Typesetting"/>
        </w:rPr>
        <w:t>no</w:t>
      </w:r>
      <w:r w:rsidR="005B19F0" w:rsidRPr="007B25AE">
        <w:rPr>
          <w:rFonts w:ascii="Baskerville" w:eastAsia="MS PMincho" w:hAnsi="Baskerville" w:cs="Arabic Typesetting"/>
        </w:rPr>
        <w:t>t</w:t>
      </w:r>
      <w:r w:rsidR="00CF3E01" w:rsidRPr="007B25AE">
        <w:rPr>
          <w:rFonts w:ascii="Baskerville" w:eastAsia="MS PMincho" w:hAnsi="Baskerville" w:cs="Arabic Typesetting"/>
        </w:rPr>
        <w:t xml:space="preserve"> </w:t>
      </w:r>
      <w:r w:rsidR="00165952" w:rsidRPr="007B25AE">
        <w:rPr>
          <w:rFonts w:ascii="Baskerville" w:eastAsia="MS PMincho" w:hAnsi="Baskerville" w:cs="Arabic Typesetting"/>
        </w:rPr>
        <w:t xml:space="preserve">been </w:t>
      </w:r>
      <w:r w:rsidR="00E32FFA" w:rsidRPr="007B25AE">
        <w:rPr>
          <w:rFonts w:ascii="Baskerville" w:eastAsia="MS PMincho" w:hAnsi="Baskerville" w:cs="Arabic Typesetting"/>
        </w:rPr>
        <w:t xml:space="preserve">privy to </w:t>
      </w:r>
      <w:r w:rsidR="005321A7" w:rsidRPr="007B25AE">
        <w:rPr>
          <w:rFonts w:ascii="Baskerville" w:eastAsia="MS PMincho" w:hAnsi="Baskerville" w:cs="Arabic Typesetting"/>
        </w:rPr>
        <w:t xml:space="preserve">the </w:t>
      </w:r>
      <w:r w:rsidR="00C878C3" w:rsidRPr="007B25AE">
        <w:rPr>
          <w:rFonts w:ascii="Baskerville" w:eastAsia="MS PMincho" w:hAnsi="Baskerville" w:cs="Arabic Typesetting"/>
        </w:rPr>
        <w:t xml:space="preserve">whole </w:t>
      </w:r>
      <w:r w:rsidR="005321A7" w:rsidRPr="007B25AE">
        <w:rPr>
          <w:rFonts w:ascii="Baskerville" w:eastAsia="MS PMincho" w:hAnsi="Baskerville" w:cs="Arabic Typesetting"/>
        </w:rPr>
        <w:t>truth</w:t>
      </w:r>
      <w:r w:rsidR="00E32FFA" w:rsidRPr="007B25AE">
        <w:rPr>
          <w:rFonts w:ascii="Baskerville" w:eastAsia="MS PMincho" w:hAnsi="Baskerville" w:cs="Arabic Typesetting"/>
        </w:rPr>
        <w:t xml:space="preserve">.  </w:t>
      </w:r>
    </w:p>
    <w:p w14:paraId="2E57CDCF" w14:textId="1DEBCA78" w:rsidR="00035AF9" w:rsidRPr="007B25AE" w:rsidRDefault="00E32FFA" w:rsidP="00753452">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The question is,</w:t>
      </w:r>
      <w:r w:rsidR="00C878C3" w:rsidRPr="007B25AE">
        <w:rPr>
          <w:rFonts w:ascii="Baskerville" w:eastAsia="MS PMincho" w:hAnsi="Baskerville" w:cs="Arabic Typesetting"/>
        </w:rPr>
        <w:t xml:space="preserve"> </w:t>
      </w:r>
      <w:r w:rsidR="001F5BBE" w:rsidRPr="007B25AE">
        <w:rPr>
          <w:rFonts w:ascii="Baskerville" w:eastAsia="MS PMincho" w:hAnsi="Baskerville" w:cs="Arabic Typesetting"/>
        </w:rPr>
        <w:t>h</w:t>
      </w:r>
      <w:r w:rsidR="00BD0D7C" w:rsidRPr="007B25AE">
        <w:rPr>
          <w:rFonts w:ascii="Baskerville" w:eastAsia="MS PMincho" w:hAnsi="Baskerville" w:cs="Arabic Typesetting"/>
        </w:rPr>
        <w:t>a</w:t>
      </w:r>
      <w:r w:rsidR="00C878C3" w:rsidRPr="007B25AE">
        <w:rPr>
          <w:rFonts w:ascii="Baskerville" w:eastAsia="MS PMincho" w:hAnsi="Baskerville" w:cs="Arabic Typesetting"/>
        </w:rPr>
        <w:t xml:space="preserve">s </w:t>
      </w:r>
      <w:r w:rsidRPr="007B25AE">
        <w:rPr>
          <w:rFonts w:ascii="Baskerville" w:eastAsia="MS PMincho" w:hAnsi="Baskerville" w:cs="Arabic Typesetting"/>
        </w:rPr>
        <w:t>the</w:t>
      </w:r>
      <w:r w:rsidR="00C878C3" w:rsidRPr="007B25AE">
        <w:rPr>
          <w:rFonts w:ascii="Baskerville" w:eastAsia="MS PMincho" w:hAnsi="Baskerville" w:cs="Arabic Typesetting"/>
        </w:rPr>
        <w:t xml:space="preserve">re </w:t>
      </w:r>
      <w:r w:rsidR="001F5BBE" w:rsidRPr="007B25AE">
        <w:rPr>
          <w:rFonts w:ascii="Baskerville" w:eastAsia="MS PMincho" w:hAnsi="Baskerville" w:cs="Arabic Typesetting"/>
        </w:rPr>
        <w:t xml:space="preserve">been </w:t>
      </w:r>
      <w:r w:rsidR="00C878C3" w:rsidRPr="007B25AE">
        <w:rPr>
          <w:rFonts w:ascii="Baskerville" w:eastAsia="MS PMincho" w:hAnsi="Baskerville" w:cs="Arabic Typesetting"/>
        </w:rPr>
        <w:t>any</w:t>
      </w:r>
      <w:r w:rsidRPr="007B25AE">
        <w:rPr>
          <w:rFonts w:ascii="Baskerville" w:eastAsia="MS PMincho" w:hAnsi="Baskerville" w:cs="Arabic Typesetting"/>
        </w:rPr>
        <w:t xml:space="preserve"> </w:t>
      </w:r>
      <w:r w:rsidR="00BD0D7C" w:rsidRPr="007B25AE">
        <w:rPr>
          <w:rFonts w:ascii="Baskerville" w:eastAsia="MS PMincho" w:hAnsi="Baskerville" w:cs="Arabic Typesetting"/>
        </w:rPr>
        <w:t>record</w:t>
      </w:r>
      <w:r w:rsidR="00C9563F" w:rsidRPr="007B25AE">
        <w:rPr>
          <w:rFonts w:ascii="Baskerville" w:eastAsia="MS PMincho" w:hAnsi="Baskerville" w:cs="Arabic Typesetting"/>
        </w:rPr>
        <w:t xml:space="preserve">ed incidents </w:t>
      </w:r>
      <w:r w:rsidR="00BD0D7C" w:rsidRPr="007B25AE">
        <w:rPr>
          <w:rFonts w:ascii="Baskerville" w:eastAsia="MS PMincho" w:hAnsi="Baskerville" w:cs="Arabic Typesetting"/>
        </w:rPr>
        <w:t xml:space="preserve">of </w:t>
      </w:r>
      <w:r w:rsidRPr="007B25AE">
        <w:rPr>
          <w:rFonts w:ascii="Baskerville" w:eastAsia="MS PMincho" w:hAnsi="Baskerville" w:cs="Arabic Typesetting"/>
        </w:rPr>
        <w:t>disciplinary actions</w:t>
      </w:r>
      <w:r w:rsidR="00A82FBE" w:rsidRPr="007B25AE">
        <w:rPr>
          <w:rFonts w:ascii="Baskerville" w:eastAsia="MS PMincho" w:hAnsi="Baskerville" w:cs="Arabic Typesetting"/>
        </w:rPr>
        <w:t xml:space="preserve"> by </w:t>
      </w:r>
      <w:r w:rsidRPr="007B25AE">
        <w:rPr>
          <w:rFonts w:ascii="Baskerville" w:eastAsia="MS PMincho" w:hAnsi="Baskerville" w:cs="Arabic Typesetting"/>
        </w:rPr>
        <w:t xml:space="preserve">White teachers </w:t>
      </w:r>
      <w:r w:rsidR="00C21F30" w:rsidRPr="007B25AE">
        <w:rPr>
          <w:rFonts w:ascii="Baskerville" w:eastAsia="MS PMincho" w:hAnsi="Baskerville" w:cs="Arabic Typesetting"/>
        </w:rPr>
        <w:t>against</w:t>
      </w:r>
      <w:r w:rsidRPr="007B25AE">
        <w:rPr>
          <w:rFonts w:ascii="Baskerville" w:eastAsia="MS PMincho" w:hAnsi="Baskerville" w:cs="Arabic Typesetting"/>
        </w:rPr>
        <w:t xml:space="preserve"> Black children</w:t>
      </w:r>
      <w:r w:rsidR="009C234A" w:rsidRPr="007B25AE">
        <w:rPr>
          <w:rFonts w:ascii="Baskerville" w:eastAsia="MS PMincho" w:hAnsi="Baskerville" w:cs="Arabic Typesetting"/>
        </w:rPr>
        <w:t xml:space="preserve"> </w:t>
      </w:r>
      <w:r w:rsidR="00C878C3" w:rsidRPr="007B25AE">
        <w:rPr>
          <w:rFonts w:ascii="Baskerville" w:eastAsia="MS PMincho" w:hAnsi="Baskerville" w:cs="Arabic Typesetting"/>
        </w:rPr>
        <w:t xml:space="preserve">which </w:t>
      </w:r>
      <w:r w:rsidR="00A01A5F" w:rsidRPr="007B25AE">
        <w:rPr>
          <w:rFonts w:ascii="Baskerville" w:eastAsia="MS PMincho" w:hAnsi="Baskerville" w:cs="Arabic Typesetting"/>
        </w:rPr>
        <w:t>exceed</w:t>
      </w:r>
      <w:r w:rsidR="00C878C3" w:rsidRPr="007B25AE">
        <w:rPr>
          <w:rFonts w:ascii="Baskerville" w:eastAsia="MS PMincho" w:hAnsi="Baskerville" w:cs="Arabic Typesetting"/>
        </w:rPr>
        <w:t>ed</w:t>
      </w:r>
      <w:r w:rsidRPr="007B25AE">
        <w:rPr>
          <w:rFonts w:ascii="Baskerville" w:eastAsia="MS PMincho" w:hAnsi="Baskerville" w:cs="Arabic Typesetting"/>
        </w:rPr>
        <w:t xml:space="preserve"> the levels of </w:t>
      </w:r>
      <w:r w:rsidR="003960A4" w:rsidRPr="007B25AE">
        <w:rPr>
          <w:rFonts w:ascii="Baskerville" w:eastAsia="MS PMincho" w:hAnsi="Baskerville" w:cs="Arabic Typesetting"/>
        </w:rPr>
        <w:t xml:space="preserve">punishments </w:t>
      </w:r>
      <w:r w:rsidR="009C234A" w:rsidRPr="007B25AE">
        <w:rPr>
          <w:rFonts w:ascii="Baskerville" w:eastAsia="MS PMincho" w:hAnsi="Baskerville" w:cs="Arabic Typesetting"/>
        </w:rPr>
        <w:t>by</w:t>
      </w:r>
      <w:r w:rsidRPr="007B25AE">
        <w:rPr>
          <w:rFonts w:ascii="Baskerville" w:eastAsia="MS PMincho" w:hAnsi="Baskerville" w:cs="Arabic Typesetting"/>
        </w:rPr>
        <w:t xml:space="preserve"> White teachers </w:t>
      </w:r>
      <w:r w:rsidR="00C21F30" w:rsidRPr="007B25AE">
        <w:rPr>
          <w:rFonts w:ascii="Baskerville" w:eastAsia="MS PMincho" w:hAnsi="Baskerville" w:cs="Arabic Typesetting"/>
        </w:rPr>
        <w:t>against</w:t>
      </w:r>
      <w:r w:rsidRPr="007B25AE">
        <w:rPr>
          <w:rFonts w:ascii="Baskerville" w:eastAsia="MS PMincho" w:hAnsi="Baskerville" w:cs="Arabic Typesetting"/>
        </w:rPr>
        <w:t xml:space="preserve"> White children</w:t>
      </w:r>
      <w:r w:rsidR="009C234A" w:rsidRPr="007B25AE">
        <w:rPr>
          <w:rFonts w:ascii="Baskerville" w:eastAsia="MS PMincho" w:hAnsi="Baskerville" w:cs="Arabic Typesetting"/>
        </w:rPr>
        <w:t xml:space="preserve"> in </w:t>
      </w:r>
      <w:r w:rsidR="00A01A5F" w:rsidRPr="007B25AE">
        <w:rPr>
          <w:rFonts w:ascii="Baskerville" w:eastAsia="MS PMincho" w:hAnsi="Baskerville" w:cs="Arabic Typesetting"/>
        </w:rPr>
        <w:t>intensity and frequency</w:t>
      </w:r>
      <w:r w:rsidR="00C9563F" w:rsidRPr="007B25AE">
        <w:rPr>
          <w:rFonts w:ascii="Baskerville" w:eastAsia="MS PMincho" w:hAnsi="Baskerville" w:cs="Arabic Typesetting"/>
        </w:rPr>
        <w:t xml:space="preserve"> in late eighteenth to mid-nineteenth century Boston</w:t>
      </w:r>
      <w:r w:rsidRPr="007B25AE">
        <w:rPr>
          <w:rFonts w:ascii="Baskerville" w:eastAsia="MS PMincho" w:hAnsi="Baskerville" w:cs="Arabic Typesetting"/>
        </w:rPr>
        <w:t xml:space="preserve">? </w:t>
      </w:r>
      <w:r w:rsidR="00A01A5F" w:rsidRPr="007B25AE">
        <w:rPr>
          <w:rFonts w:ascii="Baskerville" w:eastAsia="MS PMincho" w:hAnsi="Baskerville" w:cs="Arabic Typesetting"/>
        </w:rPr>
        <w:t>T</w:t>
      </w:r>
      <w:r w:rsidR="00BD0D7C" w:rsidRPr="007B25AE">
        <w:rPr>
          <w:rFonts w:ascii="Baskerville" w:eastAsia="MS PMincho" w:hAnsi="Baskerville" w:cs="Arabic Typesetting"/>
        </w:rPr>
        <w:t>ruly</w:t>
      </w:r>
      <w:r w:rsidR="001F5BBE" w:rsidRPr="007B25AE">
        <w:rPr>
          <w:rFonts w:ascii="Baskerville" w:eastAsia="MS PMincho" w:hAnsi="Baskerville" w:cs="Arabic Typesetting"/>
        </w:rPr>
        <w:t>, the answer to that que</w:t>
      </w:r>
      <w:r w:rsidR="004D5FC5" w:rsidRPr="007B25AE">
        <w:rPr>
          <w:rFonts w:ascii="Baskerville" w:eastAsia="MS PMincho" w:hAnsi="Baskerville" w:cs="Arabic Typesetting"/>
        </w:rPr>
        <w:t xml:space="preserve">stion </w:t>
      </w:r>
      <w:proofErr w:type="gramStart"/>
      <w:r w:rsidR="004D5FC5" w:rsidRPr="007B25AE">
        <w:rPr>
          <w:rFonts w:ascii="Baskerville" w:eastAsia="MS PMincho" w:hAnsi="Baskerville" w:cs="Arabic Typesetting"/>
        </w:rPr>
        <w:t>rest</w:t>
      </w:r>
      <w:proofErr w:type="gramEnd"/>
      <w:r w:rsidR="004D5FC5" w:rsidRPr="007B25AE">
        <w:rPr>
          <w:rFonts w:ascii="Baskerville" w:eastAsia="MS PMincho" w:hAnsi="Baskerville" w:cs="Arabic Typesetting"/>
        </w:rPr>
        <w:t xml:space="preserve"> squarely upon the</w:t>
      </w:r>
      <w:r w:rsidR="00C878C3" w:rsidRPr="007B25AE">
        <w:rPr>
          <w:rFonts w:ascii="Baskerville" w:eastAsia="MS PMincho" w:hAnsi="Baskerville" w:cs="Arabic Typesetting"/>
        </w:rPr>
        <w:t xml:space="preserve"> </w:t>
      </w:r>
      <w:r w:rsidR="00C21F30" w:rsidRPr="007B25AE">
        <w:rPr>
          <w:rFonts w:ascii="Baskerville" w:eastAsia="MS PMincho" w:hAnsi="Baskerville" w:cs="Arabic Typesetting"/>
        </w:rPr>
        <w:t>answer to that other question</w:t>
      </w:r>
      <w:r w:rsidRPr="007B25AE">
        <w:rPr>
          <w:rFonts w:ascii="Baskerville" w:eastAsia="MS PMincho" w:hAnsi="Baskerville" w:cs="Arabic Typesetting"/>
        </w:rPr>
        <w:t xml:space="preserve"> </w:t>
      </w:r>
      <w:r w:rsidR="004D5FC5" w:rsidRPr="007B25AE">
        <w:rPr>
          <w:rFonts w:ascii="Baskerville" w:eastAsia="MS PMincho" w:hAnsi="Baskerville" w:cs="Arabic Typesetting"/>
        </w:rPr>
        <w:t>of</w:t>
      </w:r>
      <w:r w:rsidR="00BD0D7C" w:rsidRPr="007B25AE">
        <w:rPr>
          <w:rFonts w:ascii="Baskerville" w:eastAsia="MS PMincho" w:hAnsi="Baskerville" w:cs="Arabic Typesetting"/>
        </w:rPr>
        <w:t xml:space="preserve"> </w:t>
      </w:r>
      <w:r w:rsidRPr="007B25AE">
        <w:rPr>
          <w:rFonts w:ascii="Baskerville" w:eastAsia="MS PMincho" w:hAnsi="Baskerville" w:cs="Arabic Typesetting"/>
        </w:rPr>
        <w:t xml:space="preserve">whether corporal punishment was </w:t>
      </w:r>
      <w:proofErr w:type="gramStart"/>
      <w:r w:rsidRPr="007B25AE">
        <w:rPr>
          <w:rFonts w:ascii="Baskerville" w:eastAsia="MS PMincho" w:hAnsi="Baskerville" w:cs="Arabic Typesetting"/>
        </w:rPr>
        <w:t>actually an</w:t>
      </w:r>
      <w:proofErr w:type="gramEnd"/>
      <w:r w:rsidRPr="007B25AE">
        <w:rPr>
          <w:rFonts w:ascii="Baskerville" w:eastAsia="MS PMincho" w:hAnsi="Baskerville" w:cs="Arabic Typesetting"/>
        </w:rPr>
        <w:t xml:space="preserve"> approve</w:t>
      </w:r>
      <w:r w:rsidR="00C9563F" w:rsidRPr="007B25AE">
        <w:rPr>
          <w:rFonts w:ascii="Baskerville" w:eastAsia="MS PMincho" w:hAnsi="Baskerville" w:cs="Arabic Typesetting"/>
        </w:rPr>
        <w:t>d</w:t>
      </w:r>
      <w:r w:rsidRPr="007B25AE">
        <w:rPr>
          <w:rFonts w:ascii="Baskerville" w:eastAsia="MS PMincho" w:hAnsi="Baskerville" w:cs="Arabic Typesetting"/>
        </w:rPr>
        <w:t xml:space="preserve"> disciplinary practice in the Boston </w:t>
      </w:r>
      <w:r w:rsidR="00843531" w:rsidRPr="007B25AE">
        <w:rPr>
          <w:rFonts w:ascii="Baskerville" w:eastAsia="MS PMincho" w:hAnsi="Baskerville" w:cs="Arabic Typesetting"/>
        </w:rPr>
        <w:t>common</w:t>
      </w:r>
      <w:r w:rsidRPr="007B25AE">
        <w:rPr>
          <w:rFonts w:ascii="Baskerville" w:eastAsia="MS PMincho" w:hAnsi="Baskerville" w:cs="Arabic Typesetting"/>
        </w:rPr>
        <w:t xml:space="preserve"> school</w:t>
      </w:r>
      <w:r w:rsidR="00DC65C9" w:rsidRPr="007B25AE">
        <w:rPr>
          <w:rFonts w:ascii="Baskerville" w:eastAsia="MS PMincho" w:hAnsi="Baskerville" w:cs="Arabic Typesetting"/>
        </w:rPr>
        <w:t>s</w:t>
      </w:r>
      <w:r w:rsidRPr="007B25AE">
        <w:rPr>
          <w:rFonts w:ascii="Baskerville" w:eastAsia="MS PMincho" w:hAnsi="Baskerville" w:cs="Arabic Typesetting"/>
        </w:rPr>
        <w:t xml:space="preserve">, back then. For, </w:t>
      </w:r>
      <w:r w:rsidR="00822D51" w:rsidRPr="007B25AE">
        <w:rPr>
          <w:rFonts w:ascii="Baskerville" w:eastAsia="MS PMincho" w:hAnsi="Baskerville" w:cs="Arabic Typesetting"/>
        </w:rPr>
        <w:t>since</w:t>
      </w:r>
      <w:r w:rsidRPr="007B25AE">
        <w:rPr>
          <w:rFonts w:ascii="Baskerville" w:eastAsia="MS PMincho" w:hAnsi="Baskerville" w:cs="Arabic Typesetting"/>
        </w:rPr>
        <w:t xml:space="preserve"> corporal punishment w</w:t>
      </w:r>
      <w:r w:rsidR="00822D51" w:rsidRPr="007B25AE">
        <w:rPr>
          <w:rFonts w:ascii="Baskerville" w:eastAsia="MS PMincho" w:hAnsi="Baskerville" w:cs="Arabic Typesetting"/>
        </w:rPr>
        <w:t>as</w:t>
      </w:r>
      <w:r w:rsidRPr="007B25AE">
        <w:rPr>
          <w:rFonts w:ascii="Baskerville" w:eastAsia="MS PMincho" w:hAnsi="Baskerville" w:cs="Arabic Typesetting"/>
        </w:rPr>
        <w:t xml:space="preserve"> permitted by law, there </w:t>
      </w:r>
      <w:r w:rsidR="00C21F30" w:rsidRPr="007B25AE">
        <w:rPr>
          <w:rFonts w:ascii="Baskerville" w:eastAsia="MS PMincho" w:hAnsi="Baskerville" w:cs="Arabic Typesetting"/>
        </w:rPr>
        <w:t>c</w:t>
      </w:r>
      <w:r w:rsidRPr="007B25AE">
        <w:rPr>
          <w:rFonts w:ascii="Baskerville" w:eastAsia="MS PMincho" w:hAnsi="Baskerville" w:cs="Arabic Typesetting"/>
        </w:rPr>
        <w:t xml:space="preserve">ould not </w:t>
      </w:r>
      <w:r w:rsidR="00C21F30" w:rsidRPr="007B25AE">
        <w:rPr>
          <w:rFonts w:ascii="Baskerville" w:eastAsia="MS PMincho" w:hAnsi="Baskerville" w:cs="Arabic Typesetting"/>
        </w:rPr>
        <w:t xml:space="preserve">have been </w:t>
      </w:r>
      <w:r w:rsidRPr="007B25AE">
        <w:rPr>
          <w:rFonts w:ascii="Baskerville" w:eastAsia="MS PMincho" w:hAnsi="Baskerville" w:cs="Arabic Typesetting"/>
        </w:rPr>
        <w:t xml:space="preserve">any debate as to whether there </w:t>
      </w:r>
      <w:r w:rsidR="004D5FC5" w:rsidRPr="007B25AE">
        <w:rPr>
          <w:rFonts w:ascii="Baskerville" w:eastAsia="MS PMincho" w:hAnsi="Baskerville" w:cs="Arabic Typesetting"/>
        </w:rPr>
        <w:t>were</w:t>
      </w:r>
      <w:r w:rsidRPr="007B25AE">
        <w:rPr>
          <w:rFonts w:ascii="Baskerville" w:eastAsia="MS PMincho" w:hAnsi="Baskerville" w:cs="Arabic Typesetting"/>
        </w:rPr>
        <w:t xml:space="preserve"> instances of physical abuse o</w:t>
      </w:r>
      <w:r w:rsidR="001E1486" w:rsidRPr="007B25AE">
        <w:rPr>
          <w:rFonts w:ascii="Baskerville" w:eastAsia="MS PMincho" w:hAnsi="Baskerville" w:cs="Arabic Typesetting"/>
        </w:rPr>
        <w:t>f</w:t>
      </w:r>
      <w:r w:rsidRPr="007B25AE">
        <w:rPr>
          <w:rFonts w:ascii="Baskerville" w:eastAsia="MS PMincho" w:hAnsi="Baskerville" w:cs="Arabic Typesetting"/>
        </w:rPr>
        <w:t xml:space="preserve"> Black </w:t>
      </w:r>
      <w:r w:rsidR="004D5FC5" w:rsidRPr="007B25AE">
        <w:rPr>
          <w:rFonts w:ascii="Baskerville" w:eastAsia="MS PMincho" w:hAnsi="Baskerville" w:cs="Arabic Typesetting"/>
        </w:rPr>
        <w:t>(</w:t>
      </w:r>
      <w:r w:rsidR="00C21F30" w:rsidRPr="007B25AE">
        <w:rPr>
          <w:rFonts w:ascii="Baskerville" w:eastAsia="MS PMincho" w:hAnsi="Baskerville" w:cs="Arabic Typesetting"/>
        </w:rPr>
        <w:t>recent</w:t>
      </w:r>
      <w:r w:rsidR="00907EEB" w:rsidRPr="007B25AE">
        <w:rPr>
          <w:rFonts w:ascii="Baskerville" w:eastAsia="MS PMincho" w:hAnsi="Baskerville" w:cs="Arabic Typesetting"/>
        </w:rPr>
        <w:t>ly</w:t>
      </w:r>
      <w:r w:rsidR="004D5FC5" w:rsidRPr="007B25AE">
        <w:rPr>
          <w:rFonts w:ascii="Baskerville" w:eastAsia="MS PMincho" w:hAnsi="Baskerville" w:cs="Arabic Typesetting"/>
        </w:rPr>
        <w:t xml:space="preserve"> </w:t>
      </w:r>
      <w:r w:rsidR="00DC65C9" w:rsidRPr="007B25AE">
        <w:rPr>
          <w:rFonts w:ascii="Baskerville" w:eastAsia="MS PMincho" w:hAnsi="Baskerville" w:cs="Arabic Typesetting"/>
        </w:rPr>
        <w:t>en</w:t>
      </w:r>
      <w:r w:rsidR="004D5FC5" w:rsidRPr="007B25AE">
        <w:rPr>
          <w:rFonts w:ascii="Baskerville" w:eastAsia="MS PMincho" w:hAnsi="Baskerville" w:cs="Arabic Typesetting"/>
        </w:rPr>
        <w:t>slave</w:t>
      </w:r>
      <w:r w:rsidR="00DC65C9" w:rsidRPr="007B25AE">
        <w:rPr>
          <w:rFonts w:ascii="Baskerville" w:eastAsia="MS PMincho" w:hAnsi="Baskerville" w:cs="Arabic Typesetting"/>
        </w:rPr>
        <w:t>d</w:t>
      </w:r>
      <w:r w:rsidR="00907EEB" w:rsidRPr="007B25AE">
        <w:rPr>
          <w:rFonts w:ascii="Baskerville" w:eastAsia="MS PMincho" w:hAnsi="Baskerville" w:cs="Arabic Typesetting"/>
        </w:rPr>
        <w:t xml:space="preserve"> children</w:t>
      </w:r>
      <w:r w:rsidR="00C21F30" w:rsidRPr="007B25AE">
        <w:rPr>
          <w:rFonts w:ascii="Baskerville" w:eastAsia="MS PMincho" w:hAnsi="Baskerville" w:cs="Arabic Typesetting"/>
        </w:rPr>
        <w:t>)</w:t>
      </w:r>
      <w:r w:rsidR="004D5FC5" w:rsidRPr="007B25AE">
        <w:rPr>
          <w:rFonts w:ascii="Baskerville" w:eastAsia="MS PMincho" w:hAnsi="Baskerville" w:cs="Arabic Typesetting"/>
        </w:rPr>
        <w:t xml:space="preserve"> </w:t>
      </w:r>
      <w:r w:rsidR="00DC65C9" w:rsidRPr="007B25AE">
        <w:rPr>
          <w:rFonts w:ascii="Baskerville" w:eastAsia="MS PMincho" w:hAnsi="Baskerville" w:cs="Arabic Typesetting"/>
        </w:rPr>
        <w:t xml:space="preserve">children </w:t>
      </w:r>
      <w:r w:rsidRPr="007B25AE">
        <w:rPr>
          <w:rFonts w:ascii="Baskerville" w:eastAsia="MS PMincho" w:hAnsi="Baskerville" w:cs="Arabic Typesetting"/>
        </w:rPr>
        <w:t xml:space="preserve">in </w:t>
      </w:r>
      <w:r w:rsidR="004D5FC5" w:rsidRPr="007B25AE">
        <w:rPr>
          <w:rFonts w:ascii="Baskerville" w:eastAsia="MS PMincho" w:hAnsi="Baskerville" w:cs="Arabic Typesetting"/>
        </w:rPr>
        <w:t xml:space="preserve">a school system </w:t>
      </w:r>
      <w:r w:rsidRPr="007B25AE">
        <w:rPr>
          <w:rFonts w:ascii="Baskerville" w:eastAsia="MS PMincho" w:hAnsi="Baskerville" w:cs="Arabic Typesetting"/>
        </w:rPr>
        <w:t>th</w:t>
      </w:r>
      <w:r w:rsidR="00907EEB" w:rsidRPr="007B25AE">
        <w:rPr>
          <w:rFonts w:ascii="Baskerville" w:eastAsia="MS PMincho" w:hAnsi="Baskerville" w:cs="Arabic Typesetting"/>
        </w:rPr>
        <w:t>at approves the physical abuse of children</w:t>
      </w:r>
      <w:r w:rsidRPr="007B25AE">
        <w:rPr>
          <w:rFonts w:ascii="Baskerville" w:eastAsia="MS PMincho" w:hAnsi="Baskerville" w:cs="Arabic Typesetting"/>
        </w:rPr>
        <w:t xml:space="preserve">.  </w:t>
      </w:r>
    </w:p>
    <w:p w14:paraId="53085CB5" w14:textId="2950311B" w:rsidR="0019748B" w:rsidRPr="007B25AE" w:rsidRDefault="00942C52" w:rsidP="00600340">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Myra C. Glenn’s (1981) article </w:t>
      </w:r>
      <w:r w:rsidR="00843531" w:rsidRPr="007B25AE">
        <w:rPr>
          <w:rFonts w:ascii="Baskerville" w:eastAsia="MS PMincho" w:hAnsi="Baskerville" w:cs="Arabic Typesetting"/>
        </w:rPr>
        <w:t>point</w:t>
      </w:r>
      <w:r w:rsidR="00C21F30" w:rsidRPr="007B25AE">
        <w:rPr>
          <w:rFonts w:ascii="Baskerville" w:eastAsia="MS PMincho" w:hAnsi="Baskerville" w:cs="Arabic Typesetting"/>
        </w:rPr>
        <w:t xml:space="preserve">s </w:t>
      </w:r>
      <w:r w:rsidR="00843531" w:rsidRPr="007B25AE">
        <w:rPr>
          <w:rFonts w:ascii="Baskerville" w:eastAsia="MS PMincho" w:hAnsi="Baskerville" w:cs="Arabic Typesetting"/>
        </w:rPr>
        <w:t xml:space="preserve">to a couple of popular </w:t>
      </w:r>
      <w:r w:rsidR="00C21F30" w:rsidRPr="007B25AE">
        <w:rPr>
          <w:rFonts w:ascii="Baskerville" w:eastAsia="MS PMincho" w:hAnsi="Baskerville" w:cs="Arabic Typesetting"/>
        </w:rPr>
        <w:t>case</w:t>
      </w:r>
      <w:r w:rsidR="00843531" w:rsidRPr="007B25AE">
        <w:rPr>
          <w:rFonts w:ascii="Baskerville" w:eastAsia="MS PMincho" w:hAnsi="Baskerville" w:cs="Arabic Typesetting"/>
        </w:rPr>
        <w:t xml:space="preserve">s </w:t>
      </w:r>
      <w:r w:rsidR="000A07A7" w:rsidRPr="007B25AE">
        <w:rPr>
          <w:rFonts w:ascii="Baskerville" w:eastAsia="MS PMincho" w:hAnsi="Baskerville" w:cs="Arabic Typesetting"/>
        </w:rPr>
        <w:t>about</w:t>
      </w:r>
      <w:r w:rsidR="00843531" w:rsidRPr="007B25AE">
        <w:rPr>
          <w:rFonts w:ascii="Baskerville" w:eastAsia="MS PMincho" w:hAnsi="Baskerville" w:cs="Arabic Typesetting"/>
        </w:rPr>
        <w:t xml:space="preserve"> corporal </w:t>
      </w:r>
      <w:r w:rsidR="000A07A7" w:rsidRPr="007B25AE">
        <w:rPr>
          <w:rFonts w:ascii="Baskerville" w:eastAsia="MS PMincho" w:hAnsi="Baskerville" w:cs="Arabic Typesetting"/>
        </w:rPr>
        <w:t xml:space="preserve">punishment that caused a stir. </w:t>
      </w:r>
      <w:r w:rsidR="00907EEB" w:rsidRPr="007B25AE">
        <w:rPr>
          <w:rFonts w:ascii="Baskerville" w:eastAsia="MS PMincho" w:hAnsi="Baskerville" w:cs="Arabic Typesetting"/>
        </w:rPr>
        <w:t xml:space="preserve">She writes </w:t>
      </w:r>
      <w:r w:rsidR="00C21F30" w:rsidRPr="007B25AE">
        <w:rPr>
          <w:rFonts w:ascii="Baskerville" w:eastAsia="MS PMincho" w:hAnsi="Baskerville" w:cs="Arabic Typesetting"/>
        </w:rPr>
        <w:t>t</w:t>
      </w:r>
      <w:r w:rsidRPr="007B25AE">
        <w:rPr>
          <w:rFonts w:ascii="Baskerville" w:eastAsia="MS PMincho" w:hAnsi="Baskerville" w:cs="Arabic Typesetting"/>
        </w:rPr>
        <w:t>hat</w:t>
      </w:r>
      <w:r w:rsidR="00907EEB" w:rsidRPr="007B25AE">
        <w:rPr>
          <w:rFonts w:ascii="Baskerville" w:eastAsia="MS PMincho" w:hAnsi="Baskerville" w:cs="Arabic Typesetting"/>
        </w:rPr>
        <w:t xml:space="preserve"> </w:t>
      </w:r>
      <w:r w:rsidRPr="007B25AE">
        <w:rPr>
          <w:rFonts w:ascii="Baskerville" w:eastAsia="MS PMincho" w:hAnsi="Baskerville" w:cs="Arabic Typesetting"/>
        </w:rPr>
        <w:t>in 1831, Mr. Moses Jaquith lodged a formal complaint against a Mayhew Grammar School teacher named William Clough for cruel and inhuman treatment of his son. The complaint stated that the chil</w:t>
      </w:r>
      <w:r w:rsidR="00907EEB" w:rsidRPr="007B25AE">
        <w:rPr>
          <w:rFonts w:ascii="Baskerville" w:eastAsia="MS PMincho" w:hAnsi="Baskerville" w:cs="Arabic Typesetting"/>
        </w:rPr>
        <w:t>d</w:t>
      </w:r>
      <w:r w:rsidRPr="007B25AE">
        <w:rPr>
          <w:rFonts w:ascii="Baskerville" w:eastAsia="MS PMincho" w:hAnsi="Baskerville" w:cs="Arabic Typesetting"/>
        </w:rPr>
        <w:t xml:space="preserve"> was whipped viciously for his inability to pronounce a</w:t>
      </w:r>
      <w:r w:rsidR="005F37AB" w:rsidRPr="007B25AE">
        <w:rPr>
          <w:rFonts w:ascii="Baskerville" w:eastAsia="MS PMincho" w:hAnsi="Baskerville" w:cs="Arabic Typesetting"/>
        </w:rPr>
        <w:t xml:space="preserve"> </w:t>
      </w:r>
      <w:r w:rsidRPr="007B25AE">
        <w:rPr>
          <w:rFonts w:ascii="Baskerville" w:eastAsia="MS PMincho" w:hAnsi="Baskerville" w:cs="Arabic Typesetting"/>
        </w:rPr>
        <w:t>word</w:t>
      </w:r>
      <w:r w:rsidR="00020E9C" w:rsidRPr="007B25AE">
        <w:rPr>
          <w:rFonts w:ascii="Baskerville" w:eastAsia="MS PMincho" w:hAnsi="Baskerville" w:cs="Arabic Typesetting"/>
        </w:rPr>
        <w:t xml:space="preserve"> (Glenn, 1981)</w:t>
      </w:r>
      <w:r w:rsidRPr="007B25AE">
        <w:rPr>
          <w:rFonts w:ascii="Baskerville" w:eastAsia="MS PMincho" w:hAnsi="Baskerville" w:cs="Arabic Typesetting"/>
        </w:rPr>
        <w:t xml:space="preserve">. </w:t>
      </w:r>
      <w:r w:rsidR="009A17D2" w:rsidRPr="007B25AE">
        <w:rPr>
          <w:rFonts w:ascii="Baskerville" w:eastAsia="MS PMincho" w:hAnsi="Baskerville" w:cs="Arabic Typesetting"/>
        </w:rPr>
        <w:t>This touching story</w:t>
      </w:r>
      <w:r w:rsidR="00C9563F" w:rsidRPr="007B25AE">
        <w:rPr>
          <w:rFonts w:ascii="Baskerville" w:eastAsia="MS PMincho" w:hAnsi="Baskerville" w:cs="Arabic Typesetting"/>
        </w:rPr>
        <w:t xml:space="preserve"> </w:t>
      </w:r>
      <w:r w:rsidR="009A17D2" w:rsidRPr="007B25AE">
        <w:rPr>
          <w:rFonts w:ascii="Baskerville" w:eastAsia="MS PMincho" w:hAnsi="Baskerville" w:cs="Arabic Typesetting"/>
        </w:rPr>
        <w:t xml:space="preserve">is </w:t>
      </w:r>
      <w:r w:rsidR="00BA396F" w:rsidRPr="007B25AE">
        <w:rPr>
          <w:rFonts w:ascii="Baskerville" w:eastAsia="MS PMincho" w:hAnsi="Baskerville" w:cs="Arabic Typesetting"/>
        </w:rPr>
        <w:t xml:space="preserve">really </w:t>
      </w:r>
      <w:r w:rsidR="009A17D2" w:rsidRPr="007B25AE">
        <w:rPr>
          <w:rFonts w:ascii="Baskerville" w:eastAsia="MS PMincho" w:hAnsi="Baskerville" w:cs="Arabic Typesetting"/>
        </w:rPr>
        <w:t>about a child who had been whipped mercilessly because he had a speech-impediment that</w:t>
      </w:r>
      <w:r w:rsidR="00020E9C" w:rsidRPr="007B25AE">
        <w:rPr>
          <w:rFonts w:ascii="Baskerville" w:eastAsia="MS PMincho" w:hAnsi="Baskerville" w:cs="Arabic Typesetting"/>
        </w:rPr>
        <w:t xml:space="preserve"> (Glenn, 1981)</w:t>
      </w:r>
      <w:r w:rsidR="009A3E4A" w:rsidRPr="007B25AE">
        <w:rPr>
          <w:rFonts w:ascii="Baskerville" w:eastAsia="MS PMincho" w:hAnsi="Baskerville" w:cs="Arabic Typesetting"/>
        </w:rPr>
        <w:t xml:space="preserve">, </w:t>
      </w:r>
      <w:r w:rsidR="00020E9C" w:rsidRPr="007B25AE">
        <w:rPr>
          <w:rFonts w:ascii="Baskerville" w:eastAsia="MS PMincho" w:hAnsi="Baskerville" w:cs="Arabic Typesetting"/>
        </w:rPr>
        <w:t>possible</w:t>
      </w:r>
      <w:r w:rsidR="00822D51" w:rsidRPr="007B25AE">
        <w:rPr>
          <w:rFonts w:ascii="Baskerville" w:eastAsia="MS PMincho" w:hAnsi="Baskerville" w:cs="Arabic Typesetting"/>
        </w:rPr>
        <w:t>,</w:t>
      </w:r>
      <w:r w:rsidR="00020E9C" w:rsidRPr="007B25AE">
        <w:rPr>
          <w:rFonts w:ascii="Baskerville" w:eastAsia="MS PMincho" w:hAnsi="Baskerville" w:cs="Arabic Typesetting"/>
        </w:rPr>
        <w:t xml:space="preserve"> </w:t>
      </w:r>
      <w:r w:rsidR="009A3E4A" w:rsidRPr="007B25AE">
        <w:rPr>
          <w:rFonts w:ascii="Baskerville" w:eastAsia="MS PMincho" w:hAnsi="Baskerville" w:cs="Arabic Typesetting"/>
        </w:rPr>
        <w:t>unbeknown</w:t>
      </w:r>
      <w:r w:rsidR="0004794E" w:rsidRPr="007B25AE">
        <w:rPr>
          <w:rFonts w:ascii="Baskerville" w:eastAsia="MS PMincho" w:hAnsi="Baskerville" w:cs="Arabic Typesetting"/>
        </w:rPr>
        <w:t xml:space="preserve">st </w:t>
      </w:r>
      <w:r w:rsidR="009A3E4A" w:rsidRPr="007B25AE">
        <w:rPr>
          <w:rFonts w:ascii="Baskerville" w:eastAsia="MS PMincho" w:hAnsi="Baskerville" w:cs="Arabic Typesetting"/>
        </w:rPr>
        <w:t xml:space="preserve">to Mr. Clough, had </w:t>
      </w:r>
      <w:r w:rsidR="009A17D2" w:rsidRPr="007B25AE">
        <w:rPr>
          <w:rFonts w:ascii="Baskerville" w:eastAsia="MS PMincho" w:hAnsi="Baskerville" w:cs="Arabic Typesetting"/>
        </w:rPr>
        <w:t xml:space="preserve">made it difficult, </w:t>
      </w:r>
      <w:r w:rsidR="0004794E" w:rsidRPr="007B25AE">
        <w:rPr>
          <w:rFonts w:ascii="Baskerville" w:eastAsia="MS PMincho" w:hAnsi="Baskerville" w:cs="Arabic Typesetting"/>
        </w:rPr>
        <w:t>if not</w:t>
      </w:r>
      <w:r w:rsidR="009A17D2" w:rsidRPr="007B25AE">
        <w:rPr>
          <w:rFonts w:ascii="Baskerville" w:eastAsia="MS PMincho" w:hAnsi="Baskerville" w:cs="Arabic Typesetting"/>
        </w:rPr>
        <w:t xml:space="preserve"> impossible, for him to pronounce a </w:t>
      </w:r>
      <w:r w:rsidR="009A29C1" w:rsidRPr="007B25AE">
        <w:rPr>
          <w:rFonts w:ascii="Baskerville" w:eastAsia="MS PMincho" w:hAnsi="Baskerville" w:cs="Arabic Typesetting"/>
        </w:rPr>
        <w:t>particular</w:t>
      </w:r>
      <w:r w:rsidR="009A17D2" w:rsidRPr="007B25AE">
        <w:rPr>
          <w:rFonts w:ascii="Baskerville" w:eastAsia="MS PMincho" w:hAnsi="Baskerville" w:cs="Arabic Typesetting"/>
        </w:rPr>
        <w:t xml:space="preserve"> word. What this means is that even though </w:t>
      </w:r>
      <w:r w:rsidR="006E3612" w:rsidRPr="007B25AE">
        <w:rPr>
          <w:rFonts w:ascii="Baskerville" w:eastAsia="MS PMincho" w:hAnsi="Baskerville" w:cs="Arabic Typesetting"/>
        </w:rPr>
        <w:t>the</w:t>
      </w:r>
      <w:r w:rsidR="00C25B0F" w:rsidRPr="007B25AE">
        <w:rPr>
          <w:rFonts w:ascii="Baskerville" w:eastAsia="MS PMincho" w:hAnsi="Baskerville" w:cs="Arabic Typesetting"/>
        </w:rPr>
        <w:t xml:space="preserve"> </w:t>
      </w:r>
      <w:r w:rsidR="009A17D2" w:rsidRPr="007B25AE">
        <w:rPr>
          <w:rFonts w:ascii="Baskerville" w:eastAsia="MS PMincho" w:hAnsi="Baskerville" w:cs="Arabic Typesetting"/>
        </w:rPr>
        <w:t>inciden</w:t>
      </w:r>
      <w:r w:rsidR="00C25B0F" w:rsidRPr="007B25AE">
        <w:rPr>
          <w:rFonts w:ascii="Baskerville" w:eastAsia="MS PMincho" w:hAnsi="Baskerville" w:cs="Arabic Typesetting"/>
        </w:rPr>
        <w:t>t</w:t>
      </w:r>
      <w:r w:rsidR="009A17D2" w:rsidRPr="007B25AE">
        <w:rPr>
          <w:rFonts w:ascii="Baskerville" w:eastAsia="MS PMincho" w:hAnsi="Baskerville" w:cs="Arabic Typesetting"/>
        </w:rPr>
        <w:t xml:space="preserve"> </w:t>
      </w:r>
      <w:proofErr w:type="gramStart"/>
      <w:r w:rsidR="009A17D2" w:rsidRPr="007B25AE">
        <w:rPr>
          <w:rFonts w:ascii="Baskerville" w:eastAsia="MS PMincho" w:hAnsi="Baskerville" w:cs="Arabic Typesetting"/>
        </w:rPr>
        <w:t>actually occurred</w:t>
      </w:r>
      <w:proofErr w:type="gramEnd"/>
      <w:r w:rsidR="005A085F" w:rsidRPr="007B25AE">
        <w:rPr>
          <w:rFonts w:ascii="Baskerville" w:eastAsia="MS PMincho" w:hAnsi="Baskerville" w:cs="Arabic Typesetting"/>
        </w:rPr>
        <w:t xml:space="preserve"> without regard to race</w:t>
      </w:r>
      <w:r w:rsidR="009A17D2" w:rsidRPr="007B25AE">
        <w:rPr>
          <w:rFonts w:ascii="Baskerville" w:eastAsia="MS PMincho" w:hAnsi="Baskerville" w:cs="Arabic Typesetting"/>
        </w:rPr>
        <w:t xml:space="preserve">, the tragedy was that most of those little ex-slave children </w:t>
      </w:r>
      <w:r w:rsidR="00020E9C" w:rsidRPr="007B25AE">
        <w:rPr>
          <w:rFonts w:ascii="Baskerville" w:eastAsia="MS PMincho" w:hAnsi="Baskerville" w:cs="Arabic Typesetting"/>
        </w:rPr>
        <w:t xml:space="preserve">during those first fifty years after Massachusetts abolish slavery, </w:t>
      </w:r>
      <w:r w:rsidR="009A17D2" w:rsidRPr="007B25AE">
        <w:rPr>
          <w:rFonts w:ascii="Baskerville" w:eastAsia="MS PMincho" w:hAnsi="Baskerville" w:cs="Arabic Typesetting"/>
        </w:rPr>
        <w:t xml:space="preserve">would not have been able to speak the best English anyway. </w:t>
      </w:r>
      <w:r w:rsidR="00822D51" w:rsidRPr="007B25AE">
        <w:rPr>
          <w:rFonts w:ascii="Baskerville" w:eastAsia="MS PMincho" w:hAnsi="Baskerville" w:cs="Arabic Typesetting"/>
        </w:rPr>
        <w:t>I would expect that m</w:t>
      </w:r>
      <w:r w:rsidR="009A17D2" w:rsidRPr="007B25AE">
        <w:rPr>
          <w:rFonts w:ascii="Baskerville" w:eastAsia="MS PMincho" w:hAnsi="Baskerville" w:cs="Arabic Typesetting"/>
        </w:rPr>
        <w:t xml:space="preserve">any of </w:t>
      </w:r>
      <w:r w:rsidR="00822D51" w:rsidRPr="007B25AE">
        <w:rPr>
          <w:rFonts w:ascii="Baskerville" w:eastAsia="MS PMincho" w:hAnsi="Baskerville" w:cs="Arabic Typesetting"/>
        </w:rPr>
        <w:t>Black children</w:t>
      </w:r>
      <w:r w:rsidR="009A17D2" w:rsidRPr="007B25AE">
        <w:rPr>
          <w:rFonts w:ascii="Baskerville" w:eastAsia="MS PMincho" w:hAnsi="Baskerville" w:cs="Arabic Typesetting"/>
        </w:rPr>
        <w:t xml:space="preserve"> </w:t>
      </w:r>
      <w:r w:rsidR="00822D51" w:rsidRPr="007B25AE">
        <w:rPr>
          <w:rFonts w:ascii="Baskerville" w:eastAsia="MS PMincho" w:hAnsi="Baskerville" w:cs="Arabic Typesetting"/>
        </w:rPr>
        <w:t xml:space="preserve">in Boston, back in that time, </w:t>
      </w:r>
      <w:r w:rsidR="00C25B0F" w:rsidRPr="007B25AE">
        <w:rPr>
          <w:rFonts w:ascii="Baskerville" w:eastAsia="MS PMincho" w:hAnsi="Baskerville" w:cs="Arabic Typesetting"/>
        </w:rPr>
        <w:t xml:space="preserve">must </w:t>
      </w:r>
      <w:r w:rsidR="009A17D2" w:rsidRPr="007B25AE">
        <w:rPr>
          <w:rFonts w:ascii="Baskerville" w:eastAsia="MS PMincho" w:hAnsi="Baskerville" w:cs="Arabic Typesetting"/>
        </w:rPr>
        <w:t xml:space="preserve">have been frequently found guilty of </w:t>
      </w:r>
      <w:r w:rsidR="005C6BE0" w:rsidRPr="007B25AE">
        <w:rPr>
          <w:rFonts w:ascii="Baskerville" w:eastAsia="MS PMincho" w:hAnsi="Baskerville" w:cs="Arabic Typesetting"/>
        </w:rPr>
        <w:t xml:space="preserve">verbicide and </w:t>
      </w:r>
      <w:r w:rsidR="009A17D2" w:rsidRPr="007B25AE">
        <w:rPr>
          <w:rFonts w:ascii="Baskerville" w:eastAsia="MS PMincho" w:hAnsi="Baskerville" w:cs="Arabic Typesetting"/>
        </w:rPr>
        <w:t>mispronunc</w:t>
      </w:r>
      <w:r w:rsidR="005C6BE0" w:rsidRPr="007B25AE">
        <w:rPr>
          <w:rFonts w:ascii="Baskerville" w:eastAsia="MS PMincho" w:hAnsi="Baskerville" w:cs="Arabic Typesetting"/>
        </w:rPr>
        <w:t>iation of</w:t>
      </w:r>
      <w:r w:rsidR="009A17D2" w:rsidRPr="007B25AE">
        <w:rPr>
          <w:rFonts w:ascii="Baskerville" w:eastAsia="MS PMincho" w:hAnsi="Baskerville" w:cs="Arabic Typesetting"/>
        </w:rPr>
        <w:t xml:space="preserve"> a whole slew of words. </w:t>
      </w:r>
    </w:p>
    <w:p w14:paraId="2236A803" w14:textId="462288F5" w:rsidR="00C74453" w:rsidRPr="007B25AE" w:rsidRDefault="005C6BE0" w:rsidP="0065144B">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Glenn </w:t>
      </w:r>
      <w:r w:rsidR="00822D51" w:rsidRPr="007B25AE">
        <w:rPr>
          <w:rFonts w:ascii="Baskerville" w:eastAsia="MS PMincho" w:hAnsi="Baskerville" w:cs="Arabic Typesetting"/>
        </w:rPr>
        <w:t xml:space="preserve">(1987) </w:t>
      </w:r>
      <w:r w:rsidRPr="007B25AE">
        <w:rPr>
          <w:rFonts w:ascii="Baskerville" w:eastAsia="MS PMincho" w:hAnsi="Baskerville" w:cs="Arabic Typesetting"/>
        </w:rPr>
        <w:t>says that o</w:t>
      </w:r>
      <w:r w:rsidR="00942C52" w:rsidRPr="007B25AE">
        <w:rPr>
          <w:rFonts w:ascii="Baskerville" w:eastAsia="MS PMincho" w:hAnsi="Baskerville" w:cs="Arabic Typesetting"/>
        </w:rPr>
        <w:t xml:space="preserve">n </w:t>
      </w:r>
      <w:r w:rsidR="003A6E49" w:rsidRPr="007B25AE">
        <w:rPr>
          <w:rFonts w:ascii="Baskerville" w:eastAsia="MS PMincho" w:hAnsi="Baskerville" w:cs="Arabic Typesetting"/>
        </w:rPr>
        <w:t xml:space="preserve">the eighth day of </w:t>
      </w:r>
      <w:r w:rsidR="00942C52" w:rsidRPr="007B25AE">
        <w:rPr>
          <w:rFonts w:ascii="Baskerville" w:eastAsia="MS PMincho" w:hAnsi="Baskerville" w:cs="Arabic Typesetting"/>
        </w:rPr>
        <w:t xml:space="preserve">November </w:t>
      </w:r>
      <w:r w:rsidR="00822D51" w:rsidRPr="007B25AE">
        <w:rPr>
          <w:rFonts w:ascii="Baskerville" w:eastAsia="MS PMincho" w:hAnsi="Baskerville" w:cs="Arabic Typesetting"/>
        </w:rPr>
        <w:t>18</w:t>
      </w:r>
      <w:r w:rsidR="00F91C5E" w:rsidRPr="007B25AE">
        <w:rPr>
          <w:rFonts w:ascii="Baskerville" w:eastAsia="MS PMincho" w:hAnsi="Baskerville" w:cs="Arabic Typesetting"/>
        </w:rPr>
        <w:t>31</w:t>
      </w:r>
      <w:r w:rsidR="00942C52" w:rsidRPr="007B25AE">
        <w:rPr>
          <w:rFonts w:ascii="Baskerville" w:eastAsia="MS PMincho" w:hAnsi="Baskerville" w:cs="Arabic Typesetting"/>
        </w:rPr>
        <w:t xml:space="preserve">, a letter written by the parent of another child appeared in </w:t>
      </w:r>
      <w:r w:rsidR="00C25B0F" w:rsidRPr="007B25AE">
        <w:rPr>
          <w:rFonts w:ascii="Baskerville" w:eastAsia="MS PMincho" w:hAnsi="Baskerville" w:cs="Arabic Typesetting"/>
        </w:rPr>
        <w:t>T</w:t>
      </w:r>
      <w:r w:rsidR="00942C52" w:rsidRPr="007B25AE">
        <w:rPr>
          <w:rFonts w:ascii="Baskerville" w:eastAsia="MS PMincho" w:hAnsi="Baskerville" w:cs="Arabic Typesetting"/>
        </w:rPr>
        <w:t xml:space="preserve">he Boston Gazette. That letter accused </w:t>
      </w:r>
      <w:r w:rsidR="00B535B7" w:rsidRPr="007B25AE">
        <w:rPr>
          <w:rFonts w:ascii="Baskerville" w:eastAsia="MS PMincho" w:hAnsi="Baskerville" w:cs="Arabic Typesetting"/>
        </w:rPr>
        <w:t xml:space="preserve">the same </w:t>
      </w:r>
      <w:r w:rsidR="00942C52" w:rsidRPr="007B25AE">
        <w:rPr>
          <w:rFonts w:ascii="Baskerville" w:eastAsia="MS PMincho" w:hAnsi="Baskerville" w:cs="Arabic Typesetting"/>
        </w:rPr>
        <w:t xml:space="preserve">Mr. Clough of whipping </w:t>
      </w:r>
      <w:r w:rsidR="003A6E49" w:rsidRPr="007B25AE">
        <w:rPr>
          <w:rFonts w:ascii="Baskerville" w:eastAsia="MS PMincho" w:hAnsi="Baskerville" w:cs="Arabic Typesetting"/>
        </w:rPr>
        <w:t>an</w:t>
      </w:r>
      <w:r w:rsidR="00907EEB" w:rsidRPr="007B25AE">
        <w:rPr>
          <w:rFonts w:ascii="Baskerville" w:eastAsia="MS PMincho" w:hAnsi="Baskerville" w:cs="Arabic Typesetting"/>
        </w:rPr>
        <w:t>other</w:t>
      </w:r>
      <w:r w:rsidR="00942C52" w:rsidRPr="007B25AE">
        <w:rPr>
          <w:rFonts w:ascii="Baskerville" w:eastAsia="MS PMincho" w:hAnsi="Baskerville" w:cs="Arabic Typesetting"/>
        </w:rPr>
        <w:t xml:space="preserve"> child severely for a “trivial offense.” As a result, a petition, bearing the signatures of four hundred parents was submitted to the </w:t>
      </w:r>
      <w:r w:rsidR="00B535B7" w:rsidRPr="007B25AE">
        <w:rPr>
          <w:rFonts w:ascii="Baskerville" w:eastAsia="MS PMincho" w:hAnsi="Baskerville" w:cs="Arabic Typesetting"/>
        </w:rPr>
        <w:t>“</w:t>
      </w:r>
      <w:r w:rsidR="00942C52" w:rsidRPr="007B25AE">
        <w:rPr>
          <w:rFonts w:ascii="Baskerville" w:eastAsia="MS PMincho" w:hAnsi="Baskerville" w:cs="Arabic Typesetting"/>
        </w:rPr>
        <w:t>school</w:t>
      </w:r>
      <w:r w:rsidR="000A07A7" w:rsidRPr="007B25AE">
        <w:rPr>
          <w:rFonts w:ascii="Baskerville" w:eastAsia="MS PMincho" w:hAnsi="Baskerville" w:cs="Arabic Typesetting"/>
        </w:rPr>
        <w:t>-</w:t>
      </w:r>
      <w:r w:rsidR="00942C52" w:rsidRPr="007B25AE">
        <w:rPr>
          <w:rFonts w:ascii="Baskerville" w:eastAsia="MS PMincho" w:hAnsi="Baskerville" w:cs="Arabic Typesetting"/>
        </w:rPr>
        <w:t>committee</w:t>
      </w:r>
      <w:r w:rsidR="00B535B7" w:rsidRPr="007B25AE">
        <w:rPr>
          <w:rFonts w:ascii="Baskerville" w:eastAsia="MS PMincho" w:hAnsi="Baskerville" w:cs="Arabic Typesetting"/>
        </w:rPr>
        <w:t xml:space="preserve"> (the school board),”</w:t>
      </w:r>
      <w:r w:rsidR="00942C52" w:rsidRPr="007B25AE">
        <w:rPr>
          <w:rFonts w:ascii="Baskerville" w:eastAsia="MS PMincho" w:hAnsi="Baskerville" w:cs="Arabic Typesetting"/>
        </w:rPr>
        <w:t xml:space="preserve"> requesting the dismissal of </w:t>
      </w:r>
      <w:r w:rsidR="00B535B7" w:rsidRPr="007B25AE">
        <w:rPr>
          <w:rFonts w:ascii="Baskerville" w:eastAsia="MS PMincho" w:hAnsi="Baskerville" w:cs="Arabic Typesetting"/>
        </w:rPr>
        <w:t xml:space="preserve">Mr. </w:t>
      </w:r>
      <w:r w:rsidR="00942C52" w:rsidRPr="007B25AE">
        <w:rPr>
          <w:rFonts w:ascii="Baskerville" w:eastAsia="MS PMincho" w:hAnsi="Baskerville" w:cs="Arabic Typesetting"/>
        </w:rPr>
        <w:t xml:space="preserve">William Clough. The petition was, however, denied (Glenn, 1981, p.395). </w:t>
      </w:r>
    </w:p>
    <w:p w14:paraId="0FEF6F9B" w14:textId="77777777" w:rsidR="00E91BF3" w:rsidRPr="007B25AE" w:rsidRDefault="00E91BF3" w:rsidP="00E91BF3">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Glenn (1987) continues by saying that parents’ activism against “abusive whippings” by teachers was indicative of a wider, more systemic use of brutal corporal punishment as the ultimate instrument by which to curb obstinate undisciplined behavior of children. She writes that eleven years earlier, in 1820, a rash of similar brutal uses of corporal punishment had also stirred reaction from parents in </w:t>
      </w:r>
      <w:proofErr w:type="gramStart"/>
      <w:r w:rsidRPr="007B25AE">
        <w:rPr>
          <w:rFonts w:ascii="Baskerville" w:eastAsia="MS PMincho" w:hAnsi="Baskerville" w:cs="Arabic Typesetting"/>
        </w:rPr>
        <w:t>a number of</w:t>
      </w:r>
      <w:proofErr w:type="gramEnd"/>
      <w:r w:rsidRPr="007B25AE">
        <w:rPr>
          <w:rFonts w:ascii="Baskerville" w:eastAsia="MS PMincho" w:hAnsi="Baskerville" w:cs="Arabic Typesetting"/>
        </w:rPr>
        <w:t xml:space="preserve"> other New England States. Then, there were parents’ demonstrations everywhere. Those parent demonstrations, in reaction to the problem, which are said, by Glenn, to have been historically more prevalent in urban schools than in rural and suburban schools, had </w:t>
      </w:r>
      <w:proofErr w:type="gramStart"/>
      <w:r w:rsidRPr="007B25AE">
        <w:rPr>
          <w:rFonts w:ascii="Baskerville" w:eastAsia="MS PMincho" w:hAnsi="Baskerville" w:cs="Arabic Typesetting"/>
        </w:rPr>
        <w:t>really only</w:t>
      </w:r>
      <w:proofErr w:type="gramEnd"/>
      <w:r w:rsidRPr="007B25AE">
        <w:rPr>
          <w:rFonts w:ascii="Baskerville" w:eastAsia="MS PMincho" w:hAnsi="Baskerville" w:cs="Arabic Typesetting"/>
        </w:rPr>
        <w:t xml:space="preserve"> begun to gather steam between the 1830s and ‘40s. But then, by the middle of the 1850s, the demonstrations had gradually begun to fizz out and slowed down to a crawl, even though the whippings continued (Glenn, 1981). </w:t>
      </w:r>
    </w:p>
    <w:p w14:paraId="6F993A6A" w14:textId="1B38660B" w:rsidR="00E91BF3" w:rsidRPr="007B25AE" w:rsidRDefault="00E91BF3" w:rsidP="00E91BF3">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John R. Vile (2009) tells us that in 1859, a ruling was issued by the Massachusetts Judicial Court on a suit heard under the name of Commonwealth v. Coke (Mass.) (1859). The suit was filed on behalf of an eleven-year-old child named Thomas J. Wall who </w:t>
      </w:r>
      <w:proofErr w:type="gramStart"/>
      <w:r w:rsidRPr="007B25AE">
        <w:rPr>
          <w:rFonts w:ascii="Baskerville" w:eastAsia="MS PMincho" w:hAnsi="Baskerville" w:cs="Arabic Typesetting"/>
        </w:rPr>
        <w:t>was in attendance at</w:t>
      </w:r>
      <w:proofErr w:type="gramEnd"/>
      <w:r w:rsidRPr="007B25AE">
        <w:rPr>
          <w:rFonts w:ascii="Baskerville" w:eastAsia="MS PMincho" w:hAnsi="Baskerville" w:cs="Arabic Typesetting"/>
        </w:rPr>
        <w:t xml:space="preserve"> the Elliott School.  According to John Vile, the boy had obstinately resisted the teacher’s demand that he recite the Lord’s Prayer and the Ten Commandments from the King James Bible. The boy was Roman Catholic, and his claim was that he had been instructed by his priest to do such recitations only from the Catholic (Douay Version</w:t>
      </w:r>
      <w:r w:rsidR="00B9034A" w:rsidRPr="007B25AE">
        <w:rPr>
          <w:rFonts w:ascii="Baskerville" w:eastAsia="MS PMincho" w:hAnsi="Baskerville" w:cs="Arabic Typesetting"/>
        </w:rPr>
        <w:t>)</w:t>
      </w:r>
      <w:r w:rsidRPr="007B25AE">
        <w:rPr>
          <w:rFonts w:ascii="Baskerville" w:eastAsia="MS PMincho" w:hAnsi="Baskerville" w:cs="Arabic Typesetting"/>
        </w:rPr>
        <w:t xml:space="preserve">, not from the King James (Vile, 2023). </w:t>
      </w:r>
    </w:p>
    <w:p w14:paraId="6462DBAF" w14:textId="77777777" w:rsidR="00E91BF3" w:rsidRPr="007B25AE" w:rsidRDefault="00E91BF3" w:rsidP="00E91BF3">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The case was heard by judge Main, and his decision was made in favor of the teacher, Mr. William Coke.  In writing his opinion, Judge Main first </w:t>
      </w:r>
      <w:proofErr w:type="gramStart"/>
      <w:r w:rsidRPr="007B25AE">
        <w:rPr>
          <w:rFonts w:ascii="Baskerville" w:eastAsia="MS PMincho" w:hAnsi="Baskerville" w:cs="Arabic Typesetting"/>
        </w:rPr>
        <w:t>makes reference</w:t>
      </w:r>
      <w:proofErr w:type="gramEnd"/>
      <w:r w:rsidRPr="007B25AE">
        <w:rPr>
          <w:rFonts w:ascii="Baskerville" w:eastAsia="MS PMincho" w:hAnsi="Baskerville" w:cs="Arabic Typesetting"/>
        </w:rPr>
        <w:t xml:space="preserve"> to a pertinent law. He says that while, the law in the State of Massachusetts requires that children be taught “ ‘the principles of piety, justice, and sacred regard to truth, love to their country [sic], humanity’ and other virtues,” no student should be made to suffer physical, emotional, or psychological injury for choosing to relate to those principles in a manner consistent with his or her religious convictions or beliefs (Vile, 2009).  He went on to say that young Thomas Wall’s refusal to recite the biblical text as he was instructed, was, in a manner of speaking, a claim for the right to be treated as a “conscientious objector” of sorts, and that, if his refusal to recite the Bible passage in the version the teacher required were allowed to stand, it would send a message to others students that they, too, may object to reading any religious books they are asked to.  Finally, Judge Main concludes that by whipping the boy, the teacher was acting in loco parentis, and apparently had the right to do so (Vile, 2009).</w:t>
      </w:r>
    </w:p>
    <w:p w14:paraId="3F92A70F" w14:textId="2F4A1555" w:rsidR="00E91BF3" w:rsidRPr="007B25AE" w:rsidRDefault="00E91BF3" w:rsidP="00E91BF3">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 Perhaps a good reason why the child-beatings persisted in the schools, despite the resistance by parents, was that it had been from the very inception, a practice guided by the Biblical aphorism, “Spare the rod and spoil the child” (Prov. 13:24; 22:15; 23:13), and which, at that time, and since, had been widely accepted as a sacred “divine imperative.” This leads one to wonder how much more problematic </w:t>
      </w:r>
      <w:proofErr w:type="gramStart"/>
      <w:r w:rsidRPr="007B25AE">
        <w:rPr>
          <w:rFonts w:ascii="Baskerville" w:eastAsia="MS PMincho" w:hAnsi="Baskerville" w:cs="Arabic Typesetting"/>
        </w:rPr>
        <w:t>might</w:t>
      </w:r>
      <w:r w:rsidR="006C6A2C" w:rsidRPr="007B25AE">
        <w:rPr>
          <w:rFonts w:ascii="Baskerville" w:eastAsia="MS PMincho" w:hAnsi="Baskerville" w:cs="Arabic Typesetting"/>
        </w:rPr>
        <w:t xml:space="preserve"> </w:t>
      </w:r>
      <w:r w:rsidRPr="007B25AE">
        <w:rPr>
          <w:rFonts w:ascii="Baskerville" w:eastAsia="MS PMincho" w:hAnsi="Baskerville" w:cs="Arabic Typesetting"/>
        </w:rPr>
        <w:t>it</w:t>
      </w:r>
      <w:proofErr w:type="gramEnd"/>
      <w:r w:rsidRPr="007B25AE">
        <w:rPr>
          <w:rFonts w:ascii="Baskerville" w:eastAsia="MS PMincho" w:hAnsi="Baskerville" w:cs="Arabic Typesetting"/>
        </w:rPr>
        <w:t xml:space="preserve"> have been for the fresh new crop of students (former slaves children) who might have come in with some kind of Afro-indigenized version of Christian principles, or, at the very extreme, a thorough grounding in some “strange” African religion. </w:t>
      </w:r>
    </w:p>
    <w:p w14:paraId="781FC629" w14:textId="77777777" w:rsidR="00E91BF3" w:rsidRPr="007B25AE" w:rsidRDefault="00E91BF3" w:rsidP="00E91BF3">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By using a handful of anecdotes in a straw-poll way of accessing how widespread corporal punishment had to have been during the latter part of the eighteenth century, into the nineteenth century, the door is swung wide open to expose the dark, nether side of that brutal unharnessed system of discipline galloping roughshod through the integrated common schools of that City of Boston, wherein no child could possibly have been exempt. The truth is that in the late 1700s onward, Black parents were withdrawing their children from the integrated common schools in drove on the claim that their children were victims of verbal harassment.  Neither have I been able to find research pointing directly to how the physical abuse visited upon White children would also have been visited upon the former slave-children, as one would expect it to. Yet, it seems very unlikely that there was no similar physical abuse of Black children, nor if whippings were administered to Black children, one would expect that it would have been, at the very least, administered proportionately on a per capita basis </w:t>
      </w:r>
      <w:proofErr w:type="gramStart"/>
      <w:r w:rsidRPr="007B25AE">
        <w:rPr>
          <w:rFonts w:ascii="Baskerville" w:eastAsia="MS PMincho" w:hAnsi="Baskerville" w:cs="Arabic Typesetting"/>
        </w:rPr>
        <w:t>similar to</w:t>
      </w:r>
      <w:proofErr w:type="gramEnd"/>
      <w:r w:rsidRPr="007B25AE">
        <w:rPr>
          <w:rFonts w:ascii="Baskerville" w:eastAsia="MS PMincho" w:hAnsi="Baskerville" w:cs="Arabic Typesetting"/>
        </w:rPr>
        <w:t xml:space="preserve"> that administered to White children.  </w:t>
      </w:r>
    </w:p>
    <w:p w14:paraId="7601F952" w14:textId="77777777" w:rsidR="00E91BF3" w:rsidRPr="007B25AE" w:rsidRDefault="00E91BF3" w:rsidP="00E91BF3">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The implication, then, is that in the Boston integrated common schools, from 1783 until roughly around the turn of the century, the Black former slave-children who, had begun to take their seats among the other (White) children, were reporting to have been verbally harassed by White teachers and students, but never reported that they were also subjected to physical beatings.  My thinking is that since the best that these Black children could have hoped for, would have been to be treated equally, they would not have been exempt from corporal punishment. That being true, something </w:t>
      </w:r>
      <w:proofErr w:type="gramStart"/>
      <w:r w:rsidRPr="007B25AE">
        <w:rPr>
          <w:rFonts w:ascii="Baskerville" w:eastAsia="MS PMincho" w:hAnsi="Baskerville" w:cs="Arabic Typesetting"/>
        </w:rPr>
        <w:t>has to</w:t>
      </w:r>
      <w:proofErr w:type="gramEnd"/>
      <w:r w:rsidRPr="007B25AE">
        <w:rPr>
          <w:rFonts w:ascii="Baskerville" w:eastAsia="MS PMincho" w:hAnsi="Baskerville" w:cs="Arabic Typesetting"/>
        </w:rPr>
        <w:t xml:space="preserve"> be missing from the reported reason why Black parents were so desperate to remove their children from the integrated common schools of Boston. </w:t>
      </w:r>
    </w:p>
    <w:p w14:paraId="44C6A451" w14:textId="77777777" w:rsidR="00E91BF3" w:rsidRPr="007B25AE" w:rsidRDefault="00E91BF3" w:rsidP="00E91BF3">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Recent research, including that of Gershoff’s and Font’s, indicates that when Massachusetts had finally banned corporal punishment in its public schools, in 1979, it was the second state in the Union to have done so. Therefore, it is reasonable to accept DiPietro argument that everything about the two cases, in 1831 and 1859, suggests that the use of corporal punishment was neither new nor unique to the Mayhew School and the Elliott School, nor to any other integrated school, in the City of Boston, between the eighteenth to the twentieth centuries (DiPietro; Glenn’s, 1981; Vile 2009; Gershoff and Font, 2018).  </w:t>
      </w:r>
    </w:p>
    <w:p w14:paraId="139A9610" w14:textId="0F8DAC10" w:rsidR="00E91BF3" w:rsidRPr="007B25AE" w:rsidRDefault="00E91BF3" w:rsidP="00E91BF3">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Joanie DiPietro (Corporal Punishment in Beverly and Cambridge, MA: Just, or just plain (primaryresearch.org)) calls attention to research which reveals that corporal punishment, borrowed from English common law, was felt to be an absolute necessity in the business of student disciplined in America (DiPietro).  So, while the whippings at the two schools testify to the dangers of the unchecked power given to teachers to exercise discretion in their use of the whip to curb “undesirable” student behavior, in the eighteenth and nineteenth century, it also exemplifies how the whip had become the instrument for corporal punishment abuses in the final quarter of twentieth century America, all the way back to the early seventeenth century (Glenn, 1981; DiPietro; Gershoff and Font, 2018). </w:t>
      </w:r>
    </w:p>
    <w:p w14:paraId="2C7BA71A" w14:textId="77777777" w:rsidR="00E91BF3" w:rsidRPr="007B25AE" w:rsidRDefault="00E91BF3" w:rsidP="00E91BF3">
      <w:pPr>
        <w:pStyle w:val="NoSpacing"/>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Ostensibly, the growing concern over allegations of harassment of the former slave-children had apparently begun to excite a sense of urgency within the Black community of Boston to set up a safer learning environment than that within the White integrated schools.  According to Robert Hall’s (2002) account, the fact that most of the Black parents of Boston had opted to withdraw their children from the mostly White integrated common schools was a big deal (Robert Hall, 2002). </w:t>
      </w:r>
      <w:r w:rsidRPr="007B25AE">
        <w:rPr>
          <w:rFonts w:ascii="Baskerville" w:eastAsia="MS PMincho" w:hAnsi="Baskerville" w:cs="Arabic Typesetting"/>
          <w:color w:val="000000" w:themeColor="text1"/>
        </w:rPr>
        <w:t>One could hardly expect teachers who may have watched in silence or, who may have, themselves, been party to the abuse of some children simply because of race, to also be fair to those children in the matter of grading or in punitive actions.</w:t>
      </w:r>
    </w:p>
    <w:p w14:paraId="1EC64845" w14:textId="77777777" w:rsidR="00E91BF3" w:rsidRPr="007B25AE" w:rsidRDefault="00E91BF3" w:rsidP="00E91BF3">
      <w:pPr>
        <w:pStyle w:val="NoSpacing"/>
        <w:spacing w:line="360" w:lineRule="auto"/>
        <w:ind w:firstLine="720"/>
        <w:rPr>
          <w:rFonts w:ascii="Baskerville" w:eastAsia="MS PMincho" w:hAnsi="Baskerville" w:cs="Arabic Typesetting"/>
          <w:color w:val="000000" w:themeColor="text1"/>
        </w:rPr>
      </w:pPr>
      <w:r w:rsidRPr="007B25AE">
        <w:rPr>
          <w:rFonts w:ascii="Baskerville" w:eastAsia="MS PMincho" w:hAnsi="Baskerville" w:cs="Arabic Typesetting"/>
        </w:rPr>
        <w:t>Researchers such as Gershoff and Font (2018) have already shown that corporal punishment, at any time, would be brutal, and that Black children were the ones most likely to get the proverbial “end of the stick” from the time African slavery had begun in the New England states until it was banned in Massachusetts, in 1979 (Gershoff and Font, 2019). What we do know is that there were no</w:t>
      </w:r>
      <w:r w:rsidRPr="007B25AE">
        <w:rPr>
          <w:rFonts w:ascii="Baskerville" w:eastAsia="MS PMincho" w:hAnsi="Baskerville" w:cs="Arabic Typesetting"/>
          <w:color w:val="000000" w:themeColor="text1"/>
        </w:rPr>
        <w:t xml:space="preserve"> Black teachers or school administrators of color to object to the mistreatment of Black children in real time because there were no Black faculty in the integrated common schools of Boston for at least </w:t>
      </w:r>
      <w:proofErr w:type="gramStart"/>
      <w:r w:rsidRPr="007B25AE">
        <w:rPr>
          <w:rFonts w:ascii="Baskerville" w:eastAsia="MS PMincho" w:hAnsi="Baskerville" w:cs="Arabic Typesetting"/>
          <w:color w:val="000000" w:themeColor="text1"/>
        </w:rPr>
        <w:t>eighty six</w:t>
      </w:r>
      <w:proofErr w:type="gramEnd"/>
      <w:r w:rsidRPr="007B25AE">
        <w:rPr>
          <w:rFonts w:ascii="Baskerville" w:eastAsia="MS PMincho" w:hAnsi="Baskerville" w:cs="Arabic Typesetting"/>
          <w:color w:val="000000" w:themeColor="text1"/>
        </w:rPr>
        <w:t xml:space="preserve"> years after the emancipation of African slaves in Massachusetts (Robert </w:t>
      </w:r>
      <w:r w:rsidRPr="007B25AE">
        <w:rPr>
          <w:rFonts w:ascii="Baskerville" w:eastAsia="MS PMincho" w:hAnsi="Baskerville" w:cs="Arabic Typesetting"/>
          <w:color w:val="FF0000"/>
        </w:rPr>
        <w:t>Hall, 2002</w:t>
      </w:r>
      <w:r w:rsidRPr="007B25AE">
        <w:rPr>
          <w:rFonts w:ascii="Baskerville" w:eastAsia="MS PMincho" w:hAnsi="Baskerville" w:cs="Arabic Typesetting"/>
          <w:color w:val="000000" w:themeColor="text1"/>
        </w:rPr>
        <w:t xml:space="preserve">   ). </w:t>
      </w:r>
    </w:p>
    <w:p w14:paraId="4BFAD596" w14:textId="67875242" w:rsidR="00BB6016" w:rsidRPr="007B25AE" w:rsidRDefault="00E91BF3" w:rsidP="00E91BF3">
      <w:pPr>
        <w:pStyle w:val="NoSpacing"/>
        <w:spacing w:line="360" w:lineRule="auto"/>
        <w:rPr>
          <w:rFonts w:ascii="Baskerville" w:eastAsia="MS PMincho" w:hAnsi="Baskerville" w:cs="Arabic Typesetting"/>
          <w:color w:val="000000" w:themeColor="text1"/>
        </w:rPr>
      </w:pPr>
      <w:r w:rsidRPr="007B25AE">
        <w:rPr>
          <w:rFonts w:ascii="Baskerville" w:eastAsia="MS PMincho" w:hAnsi="Baskerville" w:cs="Arabic Typesetting"/>
        </w:rPr>
        <w:t>The</w:t>
      </w:r>
      <w:r w:rsidRPr="007B25AE">
        <w:rPr>
          <w:rFonts w:ascii="Baskerville" w:eastAsia="MS PMincho" w:hAnsi="Baskerville" w:cs="Arabic Typesetting"/>
          <w:color w:val="000000" w:themeColor="text1"/>
        </w:rPr>
        <w:t xml:space="preserve"> Unavoidable Necessity: White Teachers, Black Schools.</w:t>
      </w:r>
    </w:p>
    <w:p w14:paraId="6A5016E8" w14:textId="77777777" w:rsidR="000B4B04" w:rsidRPr="007B25AE" w:rsidRDefault="000B4B04" w:rsidP="00E91BF3">
      <w:pPr>
        <w:pStyle w:val="NoSpacing"/>
        <w:spacing w:line="360" w:lineRule="auto"/>
        <w:rPr>
          <w:rFonts w:ascii="Baskerville" w:eastAsia="MS PMincho" w:hAnsi="Baskerville" w:cs="Arabic Typesetting"/>
          <w:color w:val="000000" w:themeColor="text1"/>
        </w:rPr>
      </w:pPr>
    </w:p>
    <w:p w14:paraId="473CFD97" w14:textId="2F73E747" w:rsidR="00E91BF3" w:rsidRPr="007B25AE" w:rsidRDefault="00E91BF3" w:rsidP="00E91BF3">
      <w:pPr>
        <w:pStyle w:val="NoSpacing"/>
        <w:spacing w:line="360" w:lineRule="auto"/>
        <w:rPr>
          <w:rFonts w:ascii="Baskerville" w:eastAsia="MS PMincho" w:hAnsi="Baskerville" w:cs="Arabic Typesetting"/>
          <w:color w:val="FF0000"/>
        </w:rPr>
      </w:pPr>
      <w:r w:rsidRPr="007B25AE">
        <w:rPr>
          <w:rFonts w:ascii="Baskerville" w:eastAsia="MS PMincho" w:hAnsi="Baskerville" w:cs="Arabic Typesetting"/>
          <w:color w:val="FF0000"/>
        </w:rPr>
        <w:t>An Unavoidable Necessity: White Teachers, Black Schools.</w:t>
      </w:r>
    </w:p>
    <w:p w14:paraId="40357799" w14:textId="26EA1783" w:rsidR="00600340" w:rsidRPr="007B25AE" w:rsidRDefault="00E91BF3" w:rsidP="00E91BF3">
      <w:pPr>
        <w:pStyle w:val="NoSpacing"/>
        <w:spacing w:line="360" w:lineRule="auto"/>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Doubtlessly, the most vital tool available to teachers in their “extra-instructional” mission to help stimulate and guide students’ character-development, including the cultivation of sound moral judgment, is that of their being the best </w:t>
      </w:r>
      <w:r w:rsidR="000D0259" w:rsidRPr="007B25AE">
        <w:rPr>
          <w:rFonts w:ascii="Baskerville" w:eastAsia="MS PMincho" w:hAnsi="Baskerville" w:cs="Arabic Typesetting"/>
          <w:color w:val="000000" w:themeColor="text1"/>
        </w:rPr>
        <w:t>suited</w:t>
      </w:r>
      <w:r w:rsidRPr="007B25AE">
        <w:rPr>
          <w:rFonts w:ascii="Baskerville" w:eastAsia="MS PMincho" w:hAnsi="Baskerville" w:cs="Arabic Typesetting"/>
          <w:color w:val="000000" w:themeColor="text1"/>
        </w:rPr>
        <w:t xml:space="preserve"> role-models, in an environment of fairness and justice. But clearly, the chance that these former slave children would have teacher-role-models who resembled their parents in culture and race, in late eighteenth-century Boston, was slim to none.</w:t>
      </w:r>
    </w:p>
    <w:p w14:paraId="706512F5" w14:textId="367C9338" w:rsidR="00600340" w:rsidRPr="007B25AE" w:rsidRDefault="00336915" w:rsidP="001772F3">
      <w:pPr>
        <w:pStyle w:val="NoSpacing"/>
        <w:spacing w:line="360" w:lineRule="auto"/>
        <w:jc w:val="center"/>
        <w:rPr>
          <w:rFonts w:ascii="Baskerville" w:eastAsia="MS PMincho" w:hAnsi="Baskerville" w:cs="Arabic Typesetting"/>
        </w:rPr>
      </w:pPr>
      <w:r w:rsidRPr="007B25AE">
        <w:rPr>
          <w:rFonts w:ascii="Baskerville" w:eastAsia="MS PMincho" w:hAnsi="Baskerville" w:cs="Arabic Typesetting"/>
        </w:rPr>
        <w:t xml:space="preserve">Lit Review </w:t>
      </w:r>
      <w:proofErr w:type="gramStart"/>
      <w:r w:rsidRPr="007B25AE">
        <w:rPr>
          <w:rFonts w:ascii="Baskerville" w:eastAsia="MS PMincho" w:hAnsi="Baskerville" w:cs="Arabic Typesetting"/>
        </w:rPr>
        <w:t>To</w:t>
      </w:r>
      <w:proofErr w:type="gramEnd"/>
      <w:r w:rsidRPr="007B25AE">
        <w:rPr>
          <w:rFonts w:ascii="Baskerville" w:eastAsia="MS PMincho" w:hAnsi="Baskerville" w:cs="Arabic Typesetting"/>
        </w:rPr>
        <w:t xml:space="preserve"> Be Continued</w:t>
      </w:r>
    </w:p>
    <w:p w14:paraId="3A58CCD2" w14:textId="23821405" w:rsidR="00071C33" w:rsidRPr="007B25AE" w:rsidRDefault="00071C33" w:rsidP="00600340">
      <w:pPr>
        <w:spacing w:line="360" w:lineRule="auto"/>
        <w:rPr>
          <w:rFonts w:ascii="Baskerville" w:eastAsia="MS PMincho" w:hAnsi="Baskerville" w:cs="Arabic Typesetting"/>
          <w:color w:val="FF0000"/>
        </w:rPr>
      </w:pPr>
    </w:p>
    <w:p w14:paraId="05A5B777" w14:textId="77777777" w:rsidR="00071C33" w:rsidRPr="007B25AE" w:rsidRDefault="00071C33" w:rsidP="00071C33">
      <w:pPr>
        <w:spacing w:line="360" w:lineRule="auto"/>
        <w:rPr>
          <w:rFonts w:ascii="Baskerville" w:eastAsia="MS PMincho" w:hAnsi="Baskerville" w:cs="Arabic Typesetting"/>
        </w:rPr>
      </w:pPr>
      <w:r w:rsidRPr="007B25AE">
        <w:rPr>
          <w:rFonts w:ascii="Baskerville" w:eastAsia="MS PMincho" w:hAnsi="Baskerville" w:cs="Arabic Typesetting"/>
        </w:rPr>
        <w:t xml:space="preserve">Collection of data for analysis: Out of a random sample of 60 students, drawn from the population in question, 57 of them did not pick teaching as a career goal?  </w:t>
      </w:r>
    </w:p>
    <w:p w14:paraId="417BFF36" w14:textId="023E2CD4" w:rsidR="00071C33" w:rsidRPr="007B25AE" w:rsidRDefault="00071C33" w:rsidP="00071C33">
      <w:pPr>
        <w:spacing w:line="360" w:lineRule="auto"/>
        <w:rPr>
          <w:rFonts w:ascii="Baskerville" w:eastAsia="MS PMincho" w:hAnsi="Baskerville" w:cs="Arabic Typesetting"/>
        </w:rPr>
      </w:pPr>
      <w:r w:rsidRPr="007B25AE">
        <w:rPr>
          <w:rFonts w:ascii="Baskerville" w:eastAsia="MS PMincho" w:hAnsi="Baskerville" w:cs="Arabic Typesetting"/>
        </w:rPr>
        <w:t>Null Hypothesis (H</w:t>
      </w:r>
      <w:r w:rsidRPr="007B25AE">
        <w:rPr>
          <w:rFonts w:ascii="Baskerville" w:eastAsia="MS PMincho" w:hAnsi="Baskerville" w:cs="Arabic Typesetting"/>
          <w:vertAlign w:val="subscript"/>
        </w:rPr>
        <w:t>o</w:t>
      </w:r>
      <w:r w:rsidRPr="007B25AE">
        <w:rPr>
          <w:rFonts w:ascii="Baskerville" w:eastAsia="MS PMincho" w:hAnsi="Baskerville" w:cs="Arabic Typesetting"/>
        </w:rPr>
        <w:t>): "</w:t>
      </w:r>
      <w:r w:rsidRPr="007B25AE">
        <w:rPr>
          <w:rFonts w:ascii="Baskerville" w:eastAsia="MS PMincho" w:hAnsi="Baskerville" w:cs="Arabic Typesetting"/>
          <w:color w:val="FF0000"/>
        </w:rPr>
        <w:t>fifty-seven</w:t>
      </w:r>
      <w:r w:rsidRPr="007B25AE">
        <w:rPr>
          <w:rFonts w:ascii="Baskerville" w:eastAsia="MS PMincho" w:hAnsi="Baskerville" w:cs="Arabic Typesetting"/>
        </w:rPr>
        <w:t xml:space="preserve"> out of 60 Black New York City public school twelfth graders, for whom 20 % or</w:t>
      </w:r>
      <w:r w:rsidR="00336915" w:rsidRPr="007B25AE">
        <w:rPr>
          <w:rFonts w:ascii="Baskerville" w:eastAsia="MS PMincho" w:hAnsi="Baskerville" w:cs="Arabic Typesetting"/>
        </w:rPr>
        <w:t xml:space="preserve"> less had </w:t>
      </w:r>
      <w:r w:rsidRPr="007B25AE">
        <w:rPr>
          <w:rFonts w:ascii="Baskerville" w:eastAsia="MS PMincho" w:hAnsi="Baskerville" w:cs="Arabic Typesetting"/>
        </w:rPr>
        <w:t xml:space="preserve">Black </w:t>
      </w:r>
      <w:r w:rsidR="00336915" w:rsidRPr="007B25AE">
        <w:rPr>
          <w:rFonts w:ascii="Baskerville" w:eastAsia="MS PMincho" w:hAnsi="Baskerville" w:cs="Arabic Typesetting"/>
        </w:rPr>
        <w:t xml:space="preserve">teachers, </w:t>
      </w:r>
      <w:r w:rsidRPr="007B25AE">
        <w:rPr>
          <w:rFonts w:ascii="Baskerville" w:eastAsia="MS PMincho" w:hAnsi="Baskerville" w:cs="Arabic Typesetting"/>
        </w:rPr>
        <w:t xml:space="preserve">did not declare a major other than teaching to be their career goal on their college application." </w:t>
      </w:r>
    </w:p>
    <w:p w14:paraId="4CFA902F" w14:textId="77777777" w:rsidR="00071C33" w:rsidRPr="007B25AE" w:rsidRDefault="00071C33" w:rsidP="00071C33">
      <w:pPr>
        <w:spacing w:line="360" w:lineRule="auto"/>
        <w:rPr>
          <w:rFonts w:ascii="Baskerville" w:eastAsia="MS PMincho" w:hAnsi="Baskerville" w:cs="Arabic Typesetting"/>
        </w:rPr>
      </w:pPr>
      <w:r w:rsidRPr="007B25AE">
        <w:rPr>
          <w:rFonts w:ascii="Baskerville" w:eastAsia="MS PMincho" w:hAnsi="Baskerville" w:cs="Arabic Typesetting"/>
        </w:rPr>
        <w:t>Alternate Hypothesis (H</w:t>
      </w:r>
      <w:r w:rsidRPr="007B25AE">
        <w:rPr>
          <w:rFonts w:ascii="Baskerville" w:eastAsia="MS PMincho" w:hAnsi="Baskerville" w:cs="Arabic Typesetting"/>
          <w:vertAlign w:val="subscript"/>
        </w:rPr>
        <w:t>a</w:t>
      </w:r>
      <w:r w:rsidRPr="007B25AE">
        <w:rPr>
          <w:rFonts w:ascii="Baskerville" w:eastAsia="MS PMincho" w:hAnsi="Baskerville" w:cs="Arabic Typesetting"/>
        </w:rPr>
        <w:t xml:space="preserve">): "57 out of 60 of Black New York City public school twelfth graders, for whom 20 % or less of their high school teachers was Black, declare a major other than teaching to be their career goal on their college application." </w:t>
      </w:r>
    </w:p>
    <w:p w14:paraId="437A458C" w14:textId="77777777" w:rsidR="00071C33" w:rsidRPr="007B25AE" w:rsidRDefault="00071C33" w:rsidP="00071C33">
      <w:pPr>
        <w:spacing w:line="360" w:lineRule="auto"/>
        <w:rPr>
          <w:rFonts w:ascii="Baskerville" w:eastAsia="MS PMincho" w:hAnsi="Baskerville" w:cs="Arabic Typesetting"/>
        </w:rPr>
      </w:pPr>
      <w:r w:rsidRPr="007B25AE">
        <w:rPr>
          <w:rFonts w:ascii="Baskerville" w:eastAsia="MS PMincho" w:hAnsi="Baskerville" w:cs="Arabic Typesetting"/>
        </w:rPr>
        <w:t xml:space="preserve">Probability (P) Therefore:  P(x </w:t>
      </w:r>
      <w:r w:rsidRPr="007B25AE">
        <w:rPr>
          <w:rFonts w:ascii="Baskerville" w:eastAsia="MS PMincho" w:hAnsi="Baskerville" w:cs="Arabic Typesetting"/>
          <w:u w:val="single"/>
        </w:rPr>
        <w:t>&lt;</w:t>
      </w:r>
      <w:r w:rsidRPr="007B25AE">
        <w:rPr>
          <w:rFonts w:ascii="Baskerville" w:eastAsia="MS PMincho" w:hAnsi="Baskerville" w:cs="Arabic Typesetting"/>
        </w:rPr>
        <w:t xml:space="preserve"> 3) = P(x = 0) + P(x = 1) + P(x = 2) +. . . . + P(x +  3) </w:t>
      </w:r>
    </w:p>
    <w:p w14:paraId="44CAE9F8" w14:textId="77777777" w:rsidR="00071C33" w:rsidRPr="007B25AE" w:rsidRDefault="00071C33" w:rsidP="00071C33">
      <w:pPr>
        <w:spacing w:line="360" w:lineRule="auto"/>
        <w:rPr>
          <w:rFonts w:ascii="Baskerville" w:eastAsia="MS PMincho" w:hAnsi="Baskerville" w:cs="Arabic Typesetting"/>
        </w:rPr>
      </w:pPr>
      <w:r w:rsidRPr="007B25AE">
        <w:rPr>
          <w:rFonts w:ascii="Baskerville" w:eastAsia="MS PMincho" w:hAnsi="Baskerville" w:cs="Arabic Typesetting"/>
        </w:rPr>
        <w:tab/>
        <w:t>Sample mean: µ = np = 60 (0.98) =  58.8</w:t>
      </w:r>
    </w:p>
    <w:p w14:paraId="377EAE54" w14:textId="4DE45B05" w:rsidR="00071C33" w:rsidRPr="007B25AE" w:rsidRDefault="00071C33" w:rsidP="00071C33">
      <w:pPr>
        <w:spacing w:line="360" w:lineRule="auto"/>
        <w:rPr>
          <w:rFonts w:ascii="Baskerville" w:eastAsia="MS PMincho" w:hAnsi="Baskerville" w:cs="Arabic Typesetting"/>
        </w:rPr>
      </w:pPr>
      <w:r w:rsidRPr="007B25AE">
        <w:rPr>
          <w:rFonts w:ascii="Baskerville" w:eastAsia="MS PMincho" w:hAnsi="Baskerville" w:cs="Arabic Typesetting"/>
        </w:rPr>
        <w:tab/>
        <w:t xml:space="preserve">Standard deviation: </w:t>
      </w:r>
      <m:oMath>
        <m:r>
          <m:rPr>
            <m:sty m:val="b"/>
          </m:rPr>
          <w:rPr>
            <w:rFonts w:ascii="Cambria Math" w:eastAsia="MS PMincho" w:hAnsi="Cambria Math" w:cs="Arabic Typesetting"/>
          </w:rPr>
          <m:t>σ</m:t>
        </m:r>
      </m:oMath>
      <w:r w:rsidRPr="007B25AE">
        <w:rPr>
          <w:rFonts w:ascii="Baskerville" w:eastAsia="MS PMincho" w:hAnsi="Baskerville" w:cs="Arabic Typesetting"/>
        </w:rPr>
        <w:t xml:space="preserve"> = </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np(1--p) = </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60(0.98)(1- 0.98) </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(58.8)(0.02) = </w:t>
      </w:r>
      <m:oMath>
        <m:r>
          <m:rPr>
            <m:sty m:val="p"/>
          </m:rPr>
          <w:rPr>
            <w:rFonts w:ascii="Cambria Math" w:eastAsia="MS PMincho" w:hAnsi="Cambria Math" w:cs="Arabic Typesetting"/>
          </w:rPr>
          <m:t>√</m:t>
        </m:r>
      </m:oMath>
      <w:r w:rsidRPr="007B25AE">
        <w:rPr>
          <w:rFonts w:ascii="Baskerville" w:eastAsia="MS PMincho" w:hAnsi="Baskerville" w:cs="Arabic Typesetting"/>
        </w:rPr>
        <w:t>1.176 = 1.08</w:t>
      </w:r>
    </w:p>
    <w:p w14:paraId="11F2A130" w14:textId="77777777" w:rsidR="00071C33" w:rsidRPr="007B25AE" w:rsidRDefault="00071C33" w:rsidP="00071C33">
      <w:pPr>
        <w:spacing w:line="360" w:lineRule="auto"/>
        <w:rPr>
          <w:rFonts w:ascii="Baskerville" w:eastAsia="MS PMincho" w:hAnsi="Baskerville" w:cs="Arabic Typesetting"/>
        </w:rPr>
      </w:pPr>
      <w:r w:rsidRPr="007B25AE">
        <w:rPr>
          <w:rFonts w:ascii="Baskerville" w:eastAsia="MS PMincho" w:hAnsi="Baskerville" w:cs="Arabic Typesetting"/>
        </w:rPr>
        <w:tab/>
        <w:t>Using a z score from the standard normal table</w:t>
      </w:r>
    </w:p>
    <w:p w14:paraId="3E14CEDE" w14:textId="10311C28" w:rsidR="00071C33" w:rsidRPr="007B25AE" w:rsidRDefault="00071C33" w:rsidP="00071C33">
      <w:pPr>
        <w:spacing w:line="360" w:lineRule="auto"/>
        <w:rPr>
          <w:rFonts w:ascii="Baskerville" w:eastAsia="MS PMincho" w:hAnsi="Baskerville" w:cs="Arabic Typesetting"/>
        </w:rPr>
      </w:pPr>
      <w:r w:rsidRPr="007B25AE">
        <w:rPr>
          <w:rFonts w:ascii="Baskerville" w:eastAsia="MS PMincho" w:hAnsi="Baskerville" w:cs="Arabic Typesetting"/>
        </w:rPr>
        <w:tab/>
        <w:t xml:space="preserve">P(x </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 3) </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 P (z </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 </w:t>
      </w:r>
      <w:r w:rsidRPr="007B25AE">
        <w:rPr>
          <w:rFonts w:ascii="Baskerville" w:eastAsia="MS PMincho" w:hAnsi="Baskerville" w:cs="Arabic Typesetting"/>
          <w:u w:val="single"/>
        </w:rPr>
        <w:t>x - µ</w:t>
      </w:r>
      <w:r w:rsidRPr="007B25AE">
        <w:rPr>
          <w:rFonts w:ascii="Baskerville" w:eastAsia="MS PMincho" w:hAnsi="Baskerville" w:cs="Arabic Typesetting"/>
        </w:rPr>
        <w:t xml:space="preserve">) </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  </w:t>
      </w:r>
      <w:r w:rsidRPr="007B25AE">
        <w:rPr>
          <w:rFonts w:ascii="Baskerville" w:eastAsia="MS PMincho" w:hAnsi="Baskerville" w:cs="Arabic Typesetting"/>
          <w:u w:val="single"/>
        </w:rPr>
        <w:t>57 - 58.8</w:t>
      </w:r>
      <w:r w:rsidRPr="007B25AE">
        <w:rPr>
          <w:rFonts w:ascii="Baskerville" w:eastAsia="MS PMincho" w:hAnsi="Baskerville" w:cs="Arabic Typesetting"/>
        </w:rPr>
        <w:t xml:space="preserve"> </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  P(z </w:t>
      </w:r>
      <m:oMath>
        <m:r>
          <m:rPr>
            <m:sty m:val="p"/>
          </m:rPr>
          <w:rPr>
            <w:rFonts w:ascii="Cambria Math" w:eastAsia="MS PMincho" w:hAnsi="Cambria Math" w:cs="Arabic Typesetting"/>
          </w:rPr>
          <m:t>≤</m:t>
        </m:r>
      </m:oMath>
      <w:r w:rsidRPr="007B25AE">
        <w:rPr>
          <w:rFonts w:ascii="Baskerville" w:eastAsia="MS PMincho" w:hAnsi="Baskerville" w:cs="Arabic Typesetting"/>
        </w:rPr>
        <w:t xml:space="preserve"> - 1.66) = 0.05 ( from the z table).</w:t>
      </w:r>
      <w:r w:rsidR="009603C7" w:rsidRPr="007B25AE">
        <w:rPr>
          <w:rFonts w:ascii="Baskerville" w:eastAsia="MS PMincho" w:hAnsi="Baskerville" w:cs="Arabic Typesetting"/>
        </w:rPr>
        <w:t xml:space="preserve"> </w:t>
      </w:r>
      <m:oMath>
        <m:r>
          <m:rPr>
            <m:sty m:val="b"/>
          </m:rPr>
          <w:rPr>
            <w:rFonts w:ascii="Cambria Math" w:eastAsia="MS PMincho" w:hAnsi="Cambria Math" w:cs="Arabic Typesetting"/>
          </w:rPr>
          <m:t>σ</m:t>
        </m:r>
      </m:oMath>
      <w:r w:rsidR="009603C7" w:rsidRPr="007B25AE">
        <w:rPr>
          <w:rFonts w:ascii="Baskerville" w:eastAsia="MS PMincho" w:hAnsi="Baskerville" w:cs="Arabic Typesetting"/>
        </w:rPr>
        <w:t xml:space="preserve"> =</w:t>
      </w:r>
      <w:r w:rsidRPr="007B25AE">
        <w:rPr>
          <w:rFonts w:ascii="Baskerville" w:eastAsia="MS PMincho" w:hAnsi="Baskerville" w:cs="Arabic Typesetting"/>
        </w:rPr>
        <w:t xml:space="preserve"> 1.08</w:t>
      </w:r>
    </w:p>
    <w:p w14:paraId="3F50F563" w14:textId="77777777" w:rsidR="00071C33" w:rsidRPr="007B25AE" w:rsidRDefault="00071C33" w:rsidP="00071C33">
      <w:pPr>
        <w:spacing w:line="360" w:lineRule="auto"/>
        <w:ind w:firstLine="720"/>
        <w:rPr>
          <w:rFonts w:ascii="Baskerville" w:eastAsia="MS PMincho" w:hAnsi="Baskerville" w:cs="Arabic Typesetting"/>
        </w:rPr>
      </w:pPr>
      <w:r w:rsidRPr="007B25AE">
        <w:rPr>
          <w:rFonts w:ascii="Baskerville" w:eastAsia="MS PMincho" w:hAnsi="Baskerville" w:cs="Arabic Typesetting"/>
        </w:rPr>
        <w:t xml:space="preserve">So, if it is true that 98% of twelfth graders in the population did not declare a major other than teaching, there should be a probability that there is 2% or less of such students in the finding that shows 57 or more twelfth graders from a random sample of 60 in this population </w:t>
      </w:r>
      <w:r w:rsidRPr="007B25AE">
        <w:rPr>
          <w:rFonts w:ascii="Baskerville" w:eastAsia="MS PMincho" w:hAnsi="Baskerville" w:cs="Arabic Typesetting"/>
          <w:color w:val="FF0000"/>
        </w:rPr>
        <w:t xml:space="preserve">do not </w:t>
      </w:r>
      <w:r w:rsidRPr="007B25AE">
        <w:rPr>
          <w:rFonts w:ascii="Baskerville" w:eastAsia="MS PMincho" w:hAnsi="Baskerville" w:cs="Arabic Typesetting"/>
        </w:rPr>
        <w:t xml:space="preserve">select a major </w:t>
      </w:r>
      <w:r w:rsidRPr="007B25AE">
        <w:rPr>
          <w:rFonts w:ascii="Baskerville" w:eastAsia="MS PMincho" w:hAnsi="Baskerville" w:cs="Arabic Typesetting"/>
          <w:color w:val="FF0000"/>
        </w:rPr>
        <w:t>other</w:t>
      </w:r>
      <w:r w:rsidRPr="007B25AE">
        <w:rPr>
          <w:rFonts w:ascii="Baskerville" w:eastAsia="MS PMincho" w:hAnsi="Baskerville" w:cs="Arabic Typesetting"/>
        </w:rPr>
        <w:t xml:space="preserve"> than education on their college application would be significant, and H</w:t>
      </w:r>
      <w:r w:rsidRPr="007B25AE">
        <w:rPr>
          <w:rFonts w:ascii="Baskerville" w:eastAsia="MS PMincho" w:hAnsi="Baskerville" w:cs="Arabic Typesetting"/>
          <w:vertAlign w:val="subscript"/>
        </w:rPr>
        <w:t>0</w:t>
      </w:r>
      <w:r w:rsidRPr="007B25AE">
        <w:rPr>
          <w:rFonts w:ascii="Baskerville" w:eastAsia="MS PMincho" w:hAnsi="Baskerville" w:cs="Arabic Typesetting"/>
        </w:rPr>
        <w:t xml:space="preserve"> would not be rejected. However, the above finding is not true. </w:t>
      </w:r>
    </w:p>
    <w:p w14:paraId="6C3518CB" w14:textId="7FF6EAC9" w:rsidR="00F06D49" w:rsidRPr="007B25AE" w:rsidRDefault="00071C33" w:rsidP="000A2392">
      <w:pPr>
        <w:spacing w:line="360" w:lineRule="auto"/>
        <w:rPr>
          <w:rFonts w:ascii="Baskerville" w:eastAsia="MS PMincho" w:hAnsi="Baskerville" w:cs="Arabic Typesetting"/>
        </w:rPr>
      </w:pPr>
      <w:r w:rsidRPr="007B25AE">
        <w:rPr>
          <w:rFonts w:ascii="Baskerville" w:eastAsia="MS PMincho" w:hAnsi="Baskerville" w:cs="Arabic Typesetting"/>
        </w:rPr>
        <w:tab/>
        <w:t xml:space="preserve">The finding of the above test shows figures that are near opposite to a non-rejection. Basically, the double negative of the null hypothesis, is saying, in essence, that 57 out of 60 Black twelfth graders pick education as a college major. But the significance level shown in the above null hypothesis test is 0.05 or less for non-rejection.  Therefore, it would be false to say that 98% of twelfth graders picked education, when the significance level only provides the probable chance of success for 5% of such students. In this test the null hypothesis is rejected. </w:t>
      </w:r>
    </w:p>
    <w:p w14:paraId="7C4C7281" w14:textId="77777777" w:rsidR="00F06D49" w:rsidRPr="007B25AE" w:rsidRDefault="00F06D49" w:rsidP="000A2392">
      <w:pPr>
        <w:spacing w:line="360" w:lineRule="auto"/>
        <w:rPr>
          <w:rFonts w:ascii="Baskerville" w:eastAsia="MS PMincho" w:hAnsi="Baskerville" w:cs="Arabic Typesetting"/>
        </w:rPr>
      </w:pPr>
    </w:p>
    <w:p w14:paraId="5F3716AE" w14:textId="77777777" w:rsidR="00B9067D" w:rsidRPr="007B25AE" w:rsidRDefault="00B9067D" w:rsidP="00071C33">
      <w:pPr>
        <w:rPr>
          <w:rFonts w:ascii="Baskerville" w:eastAsia="MS PMincho" w:hAnsi="Baskerville" w:cs="Arabic Typesetting"/>
        </w:rPr>
      </w:pPr>
    </w:p>
    <w:p w14:paraId="16DF2366" w14:textId="77777777" w:rsidR="00B9067D" w:rsidRPr="007B25AE" w:rsidRDefault="00B9067D" w:rsidP="00071C33">
      <w:pPr>
        <w:rPr>
          <w:rFonts w:ascii="Baskerville" w:eastAsia="MS PMincho" w:hAnsi="Baskerville" w:cs="Arabic Typesetting"/>
        </w:rPr>
      </w:pPr>
    </w:p>
    <w:p w14:paraId="585E6C79" w14:textId="77777777" w:rsidR="00071C33" w:rsidRPr="007B25AE" w:rsidRDefault="00071C33" w:rsidP="00071C33">
      <w:pPr>
        <w:rPr>
          <w:rFonts w:ascii="Baskerville" w:eastAsia="MS PMincho" w:hAnsi="Baskerville" w:cs="Arabic Typesetting"/>
        </w:rPr>
      </w:pPr>
      <w:r w:rsidRPr="007B25AE">
        <w:rPr>
          <w:rFonts w:ascii="Baskerville" w:eastAsia="MS PMincho" w:hAnsi="Baskerville" w:cs="Arabic Typesetting"/>
          <w:noProof/>
        </w:rPr>
        <w:drawing>
          <wp:inline distT="0" distB="0" distL="0" distR="0" wp14:anchorId="550DC49C" wp14:editId="0C3C836B">
            <wp:extent cx="5943600" cy="3006725"/>
            <wp:effectExtent l="0" t="0" r="0" b="3175"/>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006725"/>
                    </a:xfrm>
                    <a:prstGeom prst="rect">
                      <a:avLst/>
                    </a:prstGeom>
                  </pic:spPr>
                </pic:pic>
              </a:graphicData>
            </a:graphic>
          </wp:inline>
        </w:drawing>
      </w:r>
    </w:p>
    <w:p w14:paraId="39744C2D" w14:textId="77777777" w:rsidR="00071C33" w:rsidRPr="007B25AE" w:rsidRDefault="00071C33" w:rsidP="00071C33">
      <w:pPr>
        <w:rPr>
          <w:rFonts w:ascii="Baskerville" w:eastAsia="MS PMincho" w:hAnsi="Baskerville" w:cs="Arabic Typesetting"/>
        </w:rPr>
      </w:pPr>
      <w:r w:rsidRPr="007B25AE">
        <w:rPr>
          <w:rFonts w:ascii="Baskerville" w:eastAsia="MS PMincho" w:hAnsi="Baskerville" w:cs="Arabic Typesetting"/>
        </w:rPr>
        <w:t xml:space="preserve">                                                                     </w:t>
      </w:r>
    </w:p>
    <w:p w14:paraId="3D9B3B9B" w14:textId="080AA25E" w:rsidR="00071C33" w:rsidRPr="007B25AE" w:rsidRDefault="00071C33" w:rsidP="00071C33">
      <w:pPr>
        <w:rPr>
          <w:rFonts w:ascii="Baskerville" w:eastAsia="MS PMincho" w:hAnsi="Baskerville" w:cs="Arabic Typesetting"/>
        </w:rPr>
      </w:pPr>
      <w:r w:rsidRPr="007B25AE">
        <w:rPr>
          <w:rFonts w:ascii="Baskerville" w:eastAsia="MS PMincho" w:hAnsi="Baskerville" w:cs="Arabic Typesetting"/>
        </w:rPr>
        <w:t xml:space="preserve">                 54                </w:t>
      </w:r>
      <w:r w:rsidR="00B923F5" w:rsidRPr="007B25AE">
        <w:rPr>
          <w:rFonts w:ascii="Baskerville" w:eastAsia="MS PMincho" w:hAnsi="Baskerville" w:cs="Arabic Typesetting"/>
        </w:rPr>
        <w:t xml:space="preserve">    </w:t>
      </w:r>
      <w:r w:rsidRPr="007B25AE">
        <w:rPr>
          <w:rFonts w:ascii="Baskerville" w:eastAsia="MS PMincho" w:hAnsi="Baskerville" w:cs="Arabic Typesetting"/>
        </w:rPr>
        <w:t xml:space="preserve">    57                   </w:t>
      </w:r>
      <w:r w:rsidR="00B923F5" w:rsidRPr="007B25AE">
        <w:rPr>
          <w:rFonts w:ascii="Baskerville" w:eastAsia="MS PMincho" w:hAnsi="Baskerville" w:cs="Arabic Typesetting"/>
        </w:rPr>
        <w:t xml:space="preserve">      </w:t>
      </w:r>
      <w:r w:rsidRPr="007B25AE">
        <w:rPr>
          <w:rFonts w:ascii="Baskerville" w:eastAsia="MS PMincho" w:hAnsi="Baskerville" w:cs="Arabic Typesetting"/>
        </w:rPr>
        <w:t xml:space="preserve">59             </w:t>
      </w:r>
      <w:r w:rsidR="00B923F5" w:rsidRPr="007B25AE">
        <w:rPr>
          <w:rFonts w:ascii="Baskerville" w:eastAsia="MS PMincho" w:hAnsi="Baskerville" w:cs="Arabic Typesetting"/>
        </w:rPr>
        <w:t xml:space="preserve">   </w:t>
      </w:r>
      <w:r w:rsidRPr="007B25AE">
        <w:rPr>
          <w:rFonts w:ascii="Baskerville" w:eastAsia="MS PMincho" w:hAnsi="Baskerville" w:cs="Arabic Typesetting"/>
        </w:rPr>
        <w:t xml:space="preserve">       61                </w:t>
      </w:r>
      <w:r w:rsidR="00B923F5" w:rsidRPr="007B25AE">
        <w:rPr>
          <w:rFonts w:ascii="Baskerville" w:eastAsia="MS PMincho" w:hAnsi="Baskerville" w:cs="Arabic Typesetting"/>
        </w:rPr>
        <w:t xml:space="preserve">   </w:t>
      </w:r>
      <w:r w:rsidRPr="007B25AE">
        <w:rPr>
          <w:rFonts w:ascii="Baskerville" w:eastAsia="MS PMincho" w:hAnsi="Baskerville" w:cs="Arabic Typesetting"/>
        </w:rPr>
        <w:t xml:space="preserve">  63 </w:t>
      </w:r>
    </w:p>
    <w:p w14:paraId="074A7A4F" w14:textId="77777777" w:rsidR="00071C33" w:rsidRPr="007B25AE" w:rsidRDefault="00071C33" w:rsidP="00071C33">
      <w:pPr>
        <w:rPr>
          <w:rFonts w:ascii="Baskerville" w:eastAsia="MS PMincho" w:hAnsi="Baskerville" w:cs="Arabic Typesetting"/>
        </w:rPr>
      </w:pPr>
      <w:r w:rsidRPr="007B25AE">
        <w:rPr>
          <w:rFonts w:ascii="Baskerville" w:eastAsia="MS PMincho" w:hAnsi="Baskerville" w:cs="Arabic Typesetting"/>
        </w:rPr>
        <w:tab/>
      </w:r>
      <w:r w:rsidRPr="007B25AE">
        <w:rPr>
          <w:rFonts w:ascii="Baskerville" w:eastAsia="MS PMincho" w:hAnsi="Baskerville" w:cs="Arabic Typesetting"/>
        </w:rPr>
        <w:tab/>
      </w:r>
      <w:r w:rsidRPr="007B25AE">
        <w:rPr>
          <w:rFonts w:ascii="Baskerville" w:eastAsia="MS PMincho" w:hAnsi="Baskerville" w:cs="Arabic Typesetting"/>
        </w:rPr>
        <w:tab/>
      </w:r>
      <w:r w:rsidRPr="007B25AE">
        <w:rPr>
          <w:rFonts w:ascii="Baskerville" w:eastAsia="MS PMincho" w:hAnsi="Baskerville" w:cs="Arabic Typesetting"/>
        </w:rPr>
        <w:tab/>
      </w:r>
      <w:r w:rsidRPr="007B25AE">
        <w:rPr>
          <w:rFonts w:ascii="Baskerville" w:eastAsia="MS PMincho" w:hAnsi="Baskerville" w:cs="Arabic Typesetting"/>
        </w:rPr>
        <w:tab/>
        <w:t xml:space="preserve"> </w:t>
      </w:r>
    </w:p>
    <w:p w14:paraId="674CE7C6" w14:textId="2CCF7502" w:rsidR="00071C33" w:rsidRPr="007B25AE" w:rsidRDefault="00071C33" w:rsidP="00071C33">
      <w:pPr>
        <w:rPr>
          <w:rFonts w:ascii="Baskerville" w:eastAsia="MS PMincho" w:hAnsi="Baskerville" w:cs="Arabic Typesetting"/>
        </w:rPr>
      </w:pPr>
      <w:r w:rsidRPr="007B25AE">
        <w:rPr>
          <w:rFonts w:ascii="Baskerville" w:eastAsia="MS PMincho" w:hAnsi="Baskerville" w:cs="Arabic Typesetting"/>
        </w:rPr>
        <w:t xml:space="preserve">                -4</w:t>
      </w:r>
      <m:oMath>
        <m:r>
          <m:rPr>
            <m:sty m:val="b"/>
          </m:rPr>
          <w:rPr>
            <w:rFonts w:ascii="Cambria Math" w:eastAsia="MS PMincho" w:hAnsi="Cambria Math" w:cs="Arabic Typesetting"/>
          </w:rPr>
          <m:t>σ</m:t>
        </m:r>
      </m:oMath>
      <w:r w:rsidRPr="007B25AE">
        <w:rPr>
          <w:rFonts w:ascii="Baskerville" w:eastAsia="MS PMincho" w:hAnsi="Baskerville" w:cs="Arabic Typesetting"/>
        </w:rPr>
        <w:t xml:space="preserve">                 </w:t>
      </w:r>
      <w:r w:rsidR="00B923F5" w:rsidRPr="007B25AE">
        <w:rPr>
          <w:rFonts w:ascii="Baskerville" w:eastAsia="MS PMincho" w:hAnsi="Baskerville" w:cs="Arabic Typesetting"/>
        </w:rPr>
        <w:t xml:space="preserve">   </w:t>
      </w:r>
      <w:r w:rsidRPr="007B25AE">
        <w:rPr>
          <w:rFonts w:ascii="Baskerville" w:eastAsia="MS PMincho" w:hAnsi="Baskerville" w:cs="Arabic Typesetting"/>
        </w:rPr>
        <w:t xml:space="preserve"> -2</w:t>
      </w:r>
      <m:oMath>
        <m:r>
          <m:rPr>
            <m:sty m:val="b"/>
          </m:rPr>
          <w:rPr>
            <w:rFonts w:ascii="Cambria Math" w:eastAsia="MS PMincho" w:hAnsi="Cambria Math" w:cs="Arabic Typesetting"/>
          </w:rPr>
          <m:t>σ</m:t>
        </m:r>
      </m:oMath>
      <w:r w:rsidRPr="007B25AE">
        <w:rPr>
          <w:rFonts w:ascii="Baskerville" w:eastAsia="MS PMincho" w:hAnsi="Baskerville" w:cs="Arabic Typesetting"/>
        </w:rPr>
        <w:tab/>
        <w:t xml:space="preserve">       </w:t>
      </w:r>
      <w:r w:rsidR="00B923F5" w:rsidRPr="007B25AE">
        <w:rPr>
          <w:rFonts w:ascii="Baskerville" w:eastAsia="MS PMincho" w:hAnsi="Baskerville" w:cs="Arabic Typesetting"/>
        </w:rPr>
        <w:t xml:space="preserve">         </w:t>
      </w:r>
      <w:r w:rsidRPr="007B25AE">
        <w:rPr>
          <w:rFonts w:ascii="Baskerville" w:eastAsia="MS PMincho" w:hAnsi="Baskerville" w:cs="Arabic Typesetting"/>
        </w:rPr>
        <w:t>(</w:t>
      </w:r>
      <m:oMath>
        <m:r>
          <m:rPr>
            <m:sty m:val="b"/>
          </m:rPr>
          <w:rPr>
            <w:rFonts w:ascii="Cambria Math" w:eastAsia="MS PMincho" w:hAnsi="Cambria Math" w:cs="Arabic Typesetting"/>
          </w:rPr>
          <m:t>μx</m:t>
        </m:r>
        <m:r>
          <m:rPr>
            <m:sty m:val="p"/>
          </m:rPr>
          <w:rPr>
            <w:rFonts w:ascii="Cambria Math" w:eastAsia="MS PMincho" w:hAnsi="Cambria Math" w:cs="Arabic Typesetting"/>
          </w:rPr>
          <m:t xml:space="preserve">)  </m:t>
        </m:r>
      </m:oMath>
      <w:r w:rsidRPr="007B25AE">
        <w:rPr>
          <w:rFonts w:ascii="Baskerville" w:eastAsia="MS PMincho" w:hAnsi="Baskerville" w:cs="Arabic Typesetting"/>
        </w:rPr>
        <w:t xml:space="preserve">  </w:t>
      </w:r>
      <w:r w:rsidRPr="007B25AE">
        <w:rPr>
          <w:rFonts w:ascii="Baskerville" w:eastAsia="MS PMincho" w:hAnsi="Baskerville" w:cs="Arabic Typesetting"/>
        </w:rPr>
        <w:tab/>
        <w:t xml:space="preserve">   </w:t>
      </w:r>
      <w:r w:rsidR="00B923F5" w:rsidRPr="007B25AE">
        <w:rPr>
          <w:rFonts w:ascii="Baskerville" w:eastAsia="MS PMincho" w:hAnsi="Baskerville" w:cs="Arabic Typesetting"/>
        </w:rPr>
        <w:t xml:space="preserve">            </w:t>
      </w:r>
      <w:r w:rsidRPr="007B25AE">
        <w:rPr>
          <w:rFonts w:ascii="Baskerville" w:eastAsia="MS PMincho" w:hAnsi="Baskerville" w:cs="Arabic Typesetting"/>
        </w:rPr>
        <w:t xml:space="preserve"> 2</w:t>
      </w:r>
      <m:oMath>
        <m:r>
          <m:rPr>
            <m:sty m:val="b"/>
          </m:rPr>
          <w:rPr>
            <w:rFonts w:ascii="Cambria Math" w:eastAsia="MS PMincho" w:hAnsi="Cambria Math" w:cs="Arabic Typesetting"/>
          </w:rPr>
          <m:t>σ</m:t>
        </m:r>
        <m:r>
          <m:rPr>
            <m:sty m:val="p"/>
          </m:rPr>
          <w:rPr>
            <w:rFonts w:ascii="Cambria Math" w:eastAsia="MS PMincho" w:hAnsi="Cambria Math" w:cs="Arabic Typesetting"/>
          </w:rPr>
          <m:t xml:space="preserve">                  </m:t>
        </m:r>
      </m:oMath>
      <w:r w:rsidRPr="007B25AE">
        <w:rPr>
          <w:rFonts w:ascii="Baskerville" w:eastAsia="MS PMincho" w:hAnsi="Baskerville" w:cs="Arabic Typesetting"/>
        </w:rPr>
        <w:t xml:space="preserve">  4</w:t>
      </w:r>
      <m:oMath>
        <m:r>
          <m:rPr>
            <m:sty m:val="b"/>
          </m:rPr>
          <w:rPr>
            <w:rFonts w:ascii="Cambria Math" w:eastAsia="MS PMincho" w:hAnsi="Cambria Math" w:cs="Arabic Typesetting"/>
          </w:rPr>
          <m:t>σ</m:t>
        </m:r>
      </m:oMath>
    </w:p>
    <w:p w14:paraId="043C48DF" w14:textId="77777777" w:rsidR="001772F3" w:rsidRPr="007B25AE" w:rsidRDefault="001772F3" w:rsidP="00071C33">
      <w:pPr>
        <w:rPr>
          <w:rFonts w:ascii="Baskerville" w:eastAsia="MS PMincho" w:hAnsi="Baskerville" w:cs="Arabic Typesetting"/>
        </w:rPr>
      </w:pPr>
    </w:p>
    <w:p w14:paraId="5FFEF903" w14:textId="139AA8A2" w:rsidR="001772F3" w:rsidRPr="007B25AE" w:rsidRDefault="00FD7162" w:rsidP="00071C33">
      <w:pPr>
        <w:rPr>
          <w:rFonts w:ascii="Baskerville" w:eastAsia="MS PMincho" w:hAnsi="Baskerville" w:cs="Arabic Typesetting"/>
        </w:rPr>
      </w:pPr>
      <w:r w:rsidRPr="007B25AE">
        <w:rPr>
          <w:rFonts w:ascii="Baskerville" w:eastAsia="MS PMincho" w:hAnsi="Baskerville" w:cs="Arabic Typesetting"/>
        </w:rPr>
        <w:t>Finally, m</w:t>
      </w:r>
      <w:r w:rsidR="001772F3" w:rsidRPr="007B25AE">
        <w:rPr>
          <w:rFonts w:ascii="Baskerville" w:eastAsia="MS PMincho" w:hAnsi="Baskerville" w:cs="Arabic Typesetting"/>
        </w:rPr>
        <w:t xml:space="preserve">y dissertation will </w:t>
      </w:r>
      <w:r w:rsidRPr="007B25AE">
        <w:rPr>
          <w:rFonts w:ascii="Baskerville" w:eastAsia="MS PMincho" w:hAnsi="Baskerville" w:cs="Arabic Typesetting"/>
        </w:rPr>
        <w:t xml:space="preserve">follow a correlation design. The two main instruments will be “Pearson r” and “Eta-squared.” </w:t>
      </w:r>
    </w:p>
    <w:p w14:paraId="6FB1C21C" w14:textId="77777777" w:rsidR="0065144B" w:rsidRPr="007B25AE" w:rsidRDefault="0065144B" w:rsidP="00071C33">
      <w:pPr>
        <w:rPr>
          <w:rFonts w:ascii="Baskerville" w:eastAsia="MS PMincho" w:hAnsi="Baskerville" w:cs="Arabic Typesetting"/>
        </w:rPr>
      </w:pPr>
    </w:p>
    <w:p w14:paraId="29EAF820" w14:textId="77777777" w:rsidR="0065144B" w:rsidRPr="007B25AE" w:rsidRDefault="0065144B" w:rsidP="00071C33">
      <w:pPr>
        <w:rPr>
          <w:rFonts w:ascii="Baskerville" w:eastAsia="MS PMincho" w:hAnsi="Baskerville" w:cs="Arabic Typesetting"/>
        </w:rPr>
      </w:pPr>
    </w:p>
    <w:p w14:paraId="7627D79A" w14:textId="77777777" w:rsidR="0065144B" w:rsidRPr="007B25AE" w:rsidRDefault="0065144B" w:rsidP="00071C33">
      <w:pPr>
        <w:rPr>
          <w:rFonts w:ascii="Baskerville" w:eastAsia="MS PMincho" w:hAnsi="Baskerville" w:cs="Arabic Typesetting"/>
        </w:rPr>
      </w:pPr>
    </w:p>
    <w:p w14:paraId="69F7B8D3" w14:textId="77777777" w:rsidR="0065144B" w:rsidRPr="007B25AE" w:rsidRDefault="0065144B" w:rsidP="00071C33">
      <w:pPr>
        <w:rPr>
          <w:rFonts w:ascii="Baskerville" w:eastAsia="MS PMincho" w:hAnsi="Baskerville" w:cs="Arabic Typesetting"/>
        </w:rPr>
      </w:pPr>
    </w:p>
    <w:p w14:paraId="5AA9A081" w14:textId="77777777" w:rsidR="00CD291C" w:rsidRPr="007B25AE" w:rsidRDefault="00CD291C" w:rsidP="0065144B">
      <w:pPr>
        <w:pStyle w:val="NoSpacing"/>
        <w:ind w:firstLine="720"/>
        <w:rPr>
          <w:rFonts w:ascii="Baskerville" w:eastAsia="MS PMincho" w:hAnsi="Baskerville" w:cs="Arabic Typesetting"/>
        </w:rPr>
      </w:pPr>
    </w:p>
    <w:p w14:paraId="3C61F233" w14:textId="77777777" w:rsidR="00CD291C" w:rsidRPr="007B25AE" w:rsidRDefault="00CD291C" w:rsidP="006A03FF">
      <w:pPr>
        <w:pStyle w:val="NoSpacing"/>
        <w:rPr>
          <w:rFonts w:ascii="Baskerville" w:eastAsia="MS PMincho" w:hAnsi="Baskerville" w:cs="Arabic Typesetting"/>
        </w:rPr>
      </w:pPr>
    </w:p>
    <w:p w14:paraId="180CE480" w14:textId="77777777" w:rsidR="009603C7" w:rsidRPr="007B25AE" w:rsidRDefault="009603C7" w:rsidP="0065144B">
      <w:pPr>
        <w:pStyle w:val="NoSpacing"/>
        <w:ind w:firstLine="720"/>
        <w:rPr>
          <w:rFonts w:ascii="Baskerville" w:eastAsia="MS PMincho" w:hAnsi="Baskerville" w:cs="Arabic Typesetting"/>
        </w:rPr>
      </w:pPr>
    </w:p>
    <w:p w14:paraId="7158B197" w14:textId="77777777" w:rsidR="00A64475" w:rsidRPr="007B25AE" w:rsidRDefault="00A64475" w:rsidP="00071C33">
      <w:pPr>
        <w:rPr>
          <w:rFonts w:ascii="Baskerville" w:eastAsia="MS PMincho" w:hAnsi="Baskerville" w:cs="Arabic Typesetting"/>
        </w:rPr>
      </w:pPr>
    </w:p>
    <w:p w14:paraId="3FA9F614" w14:textId="77777777" w:rsidR="00A17FCC" w:rsidRDefault="00A17FCC" w:rsidP="00071C33">
      <w:pPr>
        <w:rPr>
          <w:rFonts w:ascii="Baskerville" w:eastAsia="MS PMincho" w:hAnsi="Baskerville" w:cs="Arabic Typesetting"/>
        </w:rPr>
      </w:pPr>
    </w:p>
    <w:p w14:paraId="37EB510C" w14:textId="77777777" w:rsidR="00C342D7" w:rsidRDefault="00C342D7" w:rsidP="00071C33">
      <w:pPr>
        <w:rPr>
          <w:rFonts w:ascii="Baskerville" w:eastAsia="MS PMincho" w:hAnsi="Baskerville" w:cs="Arabic Typesetting"/>
        </w:rPr>
      </w:pPr>
    </w:p>
    <w:p w14:paraId="2B92149C" w14:textId="77777777" w:rsidR="00C342D7" w:rsidRDefault="00C342D7" w:rsidP="00071C33">
      <w:pPr>
        <w:rPr>
          <w:rFonts w:ascii="Baskerville" w:eastAsia="MS PMincho" w:hAnsi="Baskerville" w:cs="Arabic Typesetting"/>
        </w:rPr>
      </w:pPr>
    </w:p>
    <w:p w14:paraId="4F16BEE5" w14:textId="77777777" w:rsidR="00C342D7" w:rsidRDefault="00C342D7" w:rsidP="00071C33">
      <w:pPr>
        <w:rPr>
          <w:rFonts w:ascii="Baskerville" w:eastAsia="MS PMincho" w:hAnsi="Baskerville" w:cs="Arabic Typesetting"/>
        </w:rPr>
      </w:pPr>
    </w:p>
    <w:p w14:paraId="2220E128" w14:textId="77777777" w:rsidR="00C342D7" w:rsidRDefault="00C342D7" w:rsidP="00071C33">
      <w:pPr>
        <w:rPr>
          <w:rFonts w:ascii="Baskerville" w:eastAsia="MS PMincho" w:hAnsi="Baskerville" w:cs="Arabic Typesetting"/>
        </w:rPr>
      </w:pPr>
    </w:p>
    <w:p w14:paraId="2A2E3A82" w14:textId="77777777" w:rsidR="00C342D7" w:rsidRDefault="00C342D7" w:rsidP="00071C33">
      <w:pPr>
        <w:rPr>
          <w:rFonts w:ascii="Baskerville" w:eastAsia="MS PMincho" w:hAnsi="Baskerville" w:cs="Arabic Typesetting"/>
        </w:rPr>
      </w:pPr>
    </w:p>
    <w:p w14:paraId="47646A87" w14:textId="77777777" w:rsidR="00C342D7" w:rsidRDefault="00C342D7" w:rsidP="00071C33">
      <w:pPr>
        <w:rPr>
          <w:rFonts w:ascii="Baskerville" w:eastAsia="MS PMincho" w:hAnsi="Baskerville" w:cs="Arabic Typesetting"/>
        </w:rPr>
      </w:pPr>
    </w:p>
    <w:p w14:paraId="277A744C" w14:textId="77777777" w:rsidR="00C342D7" w:rsidRPr="007B25AE" w:rsidRDefault="00C342D7" w:rsidP="00071C33">
      <w:pPr>
        <w:rPr>
          <w:rFonts w:ascii="Baskerville" w:eastAsia="MS PMincho" w:hAnsi="Baskerville" w:cs="Arabic Typesetting"/>
        </w:rPr>
      </w:pPr>
    </w:p>
    <w:p w14:paraId="727115CD" w14:textId="77777777" w:rsidR="00600340" w:rsidRPr="007B25AE" w:rsidRDefault="00600340" w:rsidP="00071C33">
      <w:pPr>
        <w:rPr>
          <w:rFonts w:ascii="Baskerville" w:eastAsia="MS PMincho" w:hAnsi="Baskerville" w:cs="Arabic Typesetting"/>
        </w:rPr>
      </w:pPr>
    </w:p>
    <w:p w14:paraId="7B8024E0" w14:textId="47B8ABD7" w:rsidR="00600340" w:rsidRDefault="00600340" w:rsidP="00600340">
      <w:pPr>
        <w:ind w:left="720" w:firstLine="720"/>
        <w:jc w:val="center"/>
        <w:rPr>
          <w:rFonts w:ascii="Baskerville" w:eastAsia="MS PMincho" w:hAnsi="Baskerville" w:cs="Arabic Typesetting"/>
        </w:rPr>
      </w:pPr>
      <w:r w:rsidRPr="007B25AE">
        <w:rPr>
          <w:rFonts w:ascii="Baskerville" w:eastAsia="MS PMincho" w:hAnsi="Baskerville" w:cs="Arabic Typesetting"/>
        </w:rPr>
        <w:t>WORKS CITED</w:t>
      </w:r>
    </w:p>
    <w:p w14:paraId="7DC655D4" w14:textId="77777777" w:rsidR="00C342D7" w:rsidRPr="007B25AE" w:rsidRDefault="00C342D7" w:rsidP="00600340">
      <w:pPr>
        <w:ind w:left="720" w:firstLine="720"/>
        <w:jc w:val="center"/>
        <w:rPr>
          <w:rFonts w:ascii="Baskerville" w:eastAsia="MS PMincho" w:hAnsi="Baskerville" w:cs="Arabic Typesetting"/>
        </w:rPr>
      </w:pPr>
    </w:p>
    <w:p w14:paraId="32AE1F25" w14:textId="77777777" w:rsidR="00600340" w:rsidRPr="007B25AE" w:rsidRDefault="00600340" w:rsidP="00600340">
      <w:pPr>
        <w:ind w:left="720" w:firstLine="720"/>
        <w:jc w:val="center"/>
        <w:rPr>
          <w:rFonts w:ascii="Baskerville" w:eastAsia="MS PMincho" w:hAnsi="Baskerville" w:cs="Arabic Typesetting"/>
        </w:rPr>
      </w:pPr>
    </w:p>
    <w:p w14:paraId="52B802A5" w14:textId="77777777" w:rsidR="0033543C" w:rsidRPr="007B25AE" w:rsidRDefault="0033543C" w:rsidP="00600340">
      <w:pPr>
        <w:ind w:left="720" w:firstLine="720"/>
        <w:jc w:val="center"/>
        <w:rPr>
          <w:rFonts w:ascii="Baskerville" w:eastAsia="MS PMincho" w:hAnsi="Baskerville" w:cs="Arabic Typesetting"/>
        </w:rPr>
      </w:pPr>
    </w:p>
    <w:p w14:paraId="6794E2B5" w14:textId="77777777" w:rsidR="0033543C" w:rsidRPr="007B25AE" w:rsidRDefault="0033543C" w:rsidP="0033543C">
      <w:pPr>
        <w:ind w:left="705" w:right="298" w:hanging="720"/>
        <w:rPr>
          <w:rFonts w:ascii="Baskerville" w:eastAsia="MS PMincho" w:hAnsi="Baskerville" w:cs="Arabic Typesetting"/>
        </w:rPr>
      </w:pPr>
      <w:r w:rsidRPr="007B25AE">
        <w:rPr>
          <w:rFonts w:ascii="Baskerville" w:eastAsia="MS PMincho" w:hAnsi="Baskerville" w:cs="Arabic Typesetting"/>
        </w:rPr>
        <w:t xml:space="preserve">Aaronson, D., Barrow, L., &amp; Sanders, W. (2007).  Teachers and student achievement in the  Chicago public high schools.  Journal of Labor Economics, 25(1), 95-135. </w:t>
      </w:r>
    </w:p>
    <w:p w14:paraId="04BF1BE2" w14:textId="77777777" w:rsidR="00F3581B" w:rsidRPr="007B25AE" w:rsidRDefault="00F3581B" w:rsidP="0033543C">
      <w:pPr>
        <w:ind w:left="705" w:right="298" w:hanging="720"/>
        <w:rPr>
          <w:rFonts w:ascii="Baskerville" w:eastAsia="MS PMincho" w:hAnsi="Baskerville" w:cs="Arabic Typesetting"/>
        </w:rPr>
      </w:pPr>
    </w:p>
    <w:p w14:paraId="7494CE4C" w14:textId="77777777" w:rsidR="00F3581B" w:rsidRPr="007B25AE" w:rsidRDefault="00F3581B" w:rsidP="00F3581B">
      <w:pPr>
        <w:spacing w:line="480" w:lineRule="auto"/>
        <w:rPr>
          <w:rFonts w:ascii="Baskerville" w:eastAsia="MS PMincho" w:hAnsi="Baskerville" w:cs="Arabic Typesetting"/>
        </w:rPr>
      </w:pPr>
      <w:r w:rsidRPr="007B25AE">
        <w:rPr>
          <w:rFonts w:ascii="Baskerville" w:eastAsia="MS PMincho" w:hAnsi="Baskerville" w:cs="Arabic Typesetting"/>
        </w:rPr>
        <w:t xml:space="preserve">Ahmad, </w:t>
      </w:r>
      <w:proofErr w:type="spellStart"/>
      <w:r w:rsidRPr="007B25AE">
        <w:rPr>
          <w:rFonts w:ascii="Baskerville" w:eastAsia="MS PMincho" w:hAnsi="Baskerville" w:cs="Arabic Typesetting"/>
        </w:rPr>
        <w:t>Fwrah</w:t>
      </w:r>
      <w:proofErr w:type="spellEnd"/>
      <w:r w:rsidRPr="007B25AE">
        <w:rPr>
          <w:rFonts w:ascii="Baskerville" w:eastAsia="MS PMincho" w:hAnsi="Baskerville" w:cs="Arabic Typesetting"/>
        </w:rPr>
        <w:t xml:space="preserve"> Z. &amp; Boser, Ulrich. (2020). American Leaky Pipeline of teaches of color.</w:t>
      </w:r>
    </w:p>
    <w:p w14:paraId="571D7232" w14:textId="77777777" w:rsidR="00F06D49" w:rsidRPr="007B25AE" w:rsidRDefault="00F3581B" w:rsidP="00F3581B">
      <w:pPr>
        <w:rPr>
          <w:rFonts w:ascii="Baskerville" w:eastAsia="MS PMincho" w:hAnsi="Baskerville" w:cs="Arabic Typesetting"/>
        </w:rPr>
      </w:pPr>
      <w:r w:rsidRPr="007B25AE">
        <w:rPr>
          <w:rFonts w:ascii="Baskerville" w:eastAsia="MS PMincho" w:hAnsi="Baskerville" w:cs="Arabic Typesetting"/>
        </w:rPr>
        <w:t xml:space="preserve">Alliance for Excellent Education (2005).  Teacher attrition:  A costly loss to the nation and </w:t>
      </w:r>
    </w:p>
    <w:p w14:paraId="18069DE9" w14:textId="77777777" w:rsidR="00F06D49" w:rsidRPr="007B25AE" w:rsidRDefault="00F3581B" w:rsidP="00F06D49">
      <w:pPr>
        <w:ind w:firstLine="705"/>
        <w:rPr>
          <w:rFonts w:ascii="Baskerville" w:eastAsia="MS PMincho" w:hAnsi="Baskerville" w:cs="Arabic Typesetting"/>
        </w:rPr>
      </w:pPr>
      <w:r w:rsidRPr="007B25AE">
        <w:rPr>
          <w:rFonts w:ascii="Baskerville" w:eastAsia="MS PMincho" w:hAnsi="Baskerville" w:cs="Arabic Typesetting"/>
        </w:rPr>
        <w:t xml:space="preserve">to the  States. Retrieved April 8, 2010, from, </w:t>
      </w:r>
      <w:r w:rsidR="00F06D49" w:rsidRPr="007B25AE">
        <w:rPr>
          <w:rFonts w:ascii="Baskerville" w:eastAsia="MS PMincho" w:hAnsi="Baskerville" w:cs="Arabic Typesetting"/>
        </w:rPr>
        <w:t xml:space="preserve">     </w:t>
      </w:r>
    </w:p>
    <w:p w14:paraId="570DF1F9" w14:textId="3CBF45F8" w:rsidR="00F3581B" w:rsidRPr="007B25AE" w:rsidRDefault="00F06D49" w:rsidP="00F06D49">
      <w:pPr>
        <w:ind w:firstLine="705"/>
        <w:rPr>
          <w:rFonts w:ascii="Baskerville" w:eastAsia="MS PMincho" w:hAnsi="Baskerville" w:cs="Arabic Typesetting"/>
        </w:rPr>
      </w:pPr>
      <w:hyperlink r:id="rId12" w:history="1">
        <w:r w:rsidRPr="007B25AE">
          <w:rPr>
            <w:rStyle w:val="Hyperlink"/>
            <w:rFonts w:ascii="Baskerville" w:eastAsia="MS PMincho" w:hAnsi="Baskerville" w:cs="Arabic Typesetting"/>
          </w:rPr>
          <w:t>http://www.all4ed.org/files/archive/publications/TeacherAttrition.pdf</w:t>
        </w:r>
      </w:hyperlink>
      <w:r w:rsidR="00F3581B" w:rsidRPr="007B25AE">
        <w:rPr>
          <w:rFonts w:ascii="Baskerville" w:eastAsia="MS PMincho" w:hAnsi="Baskerville" w:cs="Arabic Typesetting"/>
          <w:color w:val="0000FF"/>
          <w:u w:val="single" w:color="0000FF"/>
        </w:rPr>
        <w:t>.</w:t>
      </w:r>
    </w:p>
    <w:p w14:paraId="2638ED3C" w14:textId="77777777" w:rsidR="000B6329" w:rsidRPr="007B25AE" w:rsidRDefault="000B6329" w:rsidP="000B6329">
      <w:pPr>
        <w:ind w:left="705"/>
        <w:rPr>
          <w:rFonts w:ascii="Baskerville" w:eastAsia="MS PMincho" w:hAnsi="Baskerville" w:cs="Arabic Typesetting"/>
          <w:color w:val="0000FF"/>
          <w:u w:val="single" w:color="0000FF"/>
        </w:rPr>
      </w:pPr>
    </w:p>
    <w:p w14:paraId="4B82C690" w14:textId="0C656B1B" w:rsidR="00F3581B" w:rsidRPr="007B25AE" w:rsidRDefault="00F3581B" w:rsidP="00F3581B">
      <w:pPr>
        <w:spacing w:line="480" w:lineRule="auto"/>
        <w:rPr>
          <w:rFonts w:ascii="Baskerville" w:eastAsia="MS PMincho" w:hAnsi="Baskerville" w:cs="Arabic Typesetting"/>
        </w:rPr>
      </w:pPr>
      <w:r w:rsidRPr="007B25AE">
        <w:rPr>
          <w:rFonts w:ascii="Baskerville" w:eastAsia="MS PMincho" w:hAnsi="Baskerville" w:cs="Arabic Typesetting"/>
          <w:color w:val="000000" w:themeColor="text1"/>
        </w:rPr>
        <w:t xml:space="preserve">Alston, D. A. (1988). Recruiting minority teachers: A national challenge. Washington D.C. </w:t>
      </w:r>
    </w:p>
    <w:p w14:paraId="73086DFB" w14:textId="77777777" w:rsidR="00F3581B" w:rsidRPr="007B25AE" w:rsidRDefault="00F3581B" w:rsidP="00F3581B">
      <w:pPr>
        <w:spacing w:after="4"/>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National Governors’ Association.</w:t>
      </w:r>
    </w:p>
    <w:p w14:paraId="25703710" w14:textId="77777777" w:rsidR="00F3581B" w:rsidRPr="007B25AE" w:rsidRDefault="00F3581B" w:rsidP="00F3581B">
      <w:pPr>
        <w:spacing w:after="4"/>
        <w:rPr>
          <w:rFonts w:ascii="Baskerville" w:eastAsia="MS PMincho" w:hAnsi="Baskerville" w:cs="Arabic Typesetting"/>
          <w:color w:val="000000" w:themeColor="text1"/>
        </w:rPr>
      </w:pPr>
    </w:p>
    <w:p w14:paraId="5CFD2479" w14:textId="77777777" w:rsidR="00F3581B" w:rsidRPr="007B25AE" w:rsidRDefault="00F3581B" w:rsidP="00F3581B">
      <w:pPr>
        <w:spacing w:after="4"/>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America’s Founding Documents; LOC. archives.gov.</w:t>
      </w:r>
    </w:p>
    <w:p w14:paraId="766D109E" w14:textId="77777777" w:rsidR="00F3581B" w:rsidRPr="007B25AE" w:rsidRDefault="00F3581B" w:rsidP="00F3581B">
      <w:pPr>
        <w:spacing w:after="4"/>
        <w:ind w:left="235" w:firstLine="485"/>
        <w:rPr>
          <w:rFonts w:ascii="Baskerville" w:eastAsia="MS PMincho" w:hAnsi="Baskerville" w:cs="Arabic Typesetting"/>
          <w:color w:val="000000" w:themeColor="text1"/>
        </w:rPr>
      </w:pPr>
    </w:p>
    <w:p w14:paraId="5123755C" w14:textId="77777777" w:rsidR="00F3581B" w:rsidRPr="007B25AE" w:rsidRDefault="00F3581B" w:rsidP="00F3581B">
      <w:pPr>
        <w:spacing w:after="4"/>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Amin, Reema (2019, Nov. 5). New York City has the most diverse teaching force in the </w:t>
      </w:r>
    </w:p>
    <w:p w14:paraId="585A1CEB" w14:textId="77777777" w:rsidR="00F3581B" w:rsidRPr="007B25AE" w:rsidRDefault="00F3581B" w:rsidP="00F3581B">
      <w:pPr>
        <w:spacing w:after="4"/>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state. But it still doesn’t match the student body.  Public School Review.</w:t>
      </w:r>
    </w:p>
    <w:p w14:paraId="14143CB0" w14:textId="77777777" w:rsidR="00F3581B" w:rsidRPr="007B25AE" w:rsidRDefault="00F3581B" w:rsidP="00F3581B">
      <w:pPr>
        <w:spacing w:after="4"/>
        <w:ind w:firstLine="720"/>
        <w:rPr>
          <w:rFonts w:ascii="Baskerville" w:eastAsia="MS PMincho" w:hAnsi="Baskerville" w:cs="Arabic Typesetting"/>
          <w:color w:val="000000" w:themeColor="text1"/>
        </w:rPr>
      </w:pPr>
    </w:p>
    <w:p w14:paraId="2A172825" w14:textId="384014D0" w:rsidR="00F3581B" w:rsidRPr="007B25AE" w:rsidRDefault="00F3581B" w:rsidP="00423239">
      <w:pPr>
        <w:spacing w:after="4"/>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Anonymous (n d). Sarah C. Roberts v. The City of Boston, Suffolk, pp. 198-210.</w:t>
      </w:r>
    </w:p>
    <w:p w14:paraId="67256F03" w14:textId="77777777" w:rsidR="00423239" w:rsidRPr="007B25AE" w:rsidRDefault="00423239" w:rsidP="00423239">
      <w:pPr>
        <w:spacing w:after="4"/>
        <w:rPr>
          <w:rFonts w:ascii="Baskerville" w:eastAsia="MS PMincho" w:hAnsi="Baskerville" w:cs="Arabic Typesetting"/>
          <w:color w:val="000000" w:themeColor="text1"/>
        </w:rPr>
      </w:pPr>
    </w:p>
    <w:p w14:paraId="04D9B610" w14:textId="15EFBF35" w:rsidR="00DF295B" w:rsidRPr="007B25AE" w:rsidRDefault="00DF295B" w:rsidP="00DF295B">
      <w:pPr>
        <w:rPr>
          <w:rFonts w:ascii="Baskerville" w:eastAsia="MS PMincho" w:hAnsi="Baskerville" w:cs="Arabic Typesetting"/>
        </w:rPr>
      </w:pPr>
      <w:r w:rsidRPr="007B25AE">
        <w:rPr>
          <w:rFonts w:ascii="Baskerville" w:eastAsia="MS PMincho" w:hAnsi="Baskerville" w:cs="Arabic Typesetting"/>
        </w:rPr>
        <w:t xml:space="preserve">Bailey, Martha J. and Dynarski, Susan M. (2011). “Inequality in post-secondary attainment </w:t>
      </w:r>
    </w:p>
    <w:p w14:paraId="2F2A4154" w14:textId="77777777" w:rsidR="00DF295B" w:rsidRPr="007B25AE" w:rsidRDefault="00DF295B" w:rsidP="00DF295B">
      <w:pPr>
        <w:ind w:firstLine="720"/>
        <w:rPr>
          <w:rFonts w:ascii="Baskerville" w:eastAsia="MS PMincho" w:hAnsi="Baskerville" w:cs="Arabic Typesetting"/>
        </w:rPr>
      </w:pPr>
      <w:r w:rsidRPr="007B25AE">
        <w:rPr>
          <w:rFonts w:ascii="Baskerville" w:eastAsia="MS PMincho" w:hAnsi="Baskerville" w:cs="Arabic Typesetting"/>
        </w:rPr>
        <w:t xml:space="preserve">In ‘Whither Opportunity: Raising inequality for schools and children life chances,’ ” </w:t>
      </w:r>
    </w:p>
    <w:p w14:paraId="24416EF6" w14:textId="2EC060F3" w:rsidR="00423239" w:rsidRPr="007B25AE" w:rsidRDefault="00DF295B" w:rsidP="00423239">
      <w:pPr>
        <w:ind w:firstLine="720"/>
        <w:rPr>
          <w:rFonts w:ascii="Baskerville" w:eastAsia="MS PMincho" w:hAnsi="Baskerville" w:cs="Arabic Typesetting"/>
        </w:rPr>
      </w:pPr>
      <w:r w:rsidRPr="007B25AE">
        <w:rPr>
          <w:rFonts w:ascii="Baskerville" w:eastAsia="MS PMincho" w:hAnsi="Baskerville" w:cs="Arabic Typesetting"/>
        </w:rPr>
        <w:t>Russell Sage Foundation. pp.117-132.</w:t>
      </w:r>
      <w:r w:rsidR="0033543C" w:rsidRPr="007B25AE">
        <w:rPr>
          <w:rFonts w:ascii="Baskerville" w:eastAsia="MS PMincho" w:hAnsi="Baskerville" w:cs="Arabic Typesetting"/>
        </w:rPr>
        <w:t xml:space="preserve"> </w:t>
      </w:r>
    </w:p>
    <w:p w14:paraId="5B6F806D" w14:textId="33D28836" w:rsidR="0033543C" w:rsidRPr="007B25AE" w:rsidRDefault="00423239" w:rsidP="00423239">
      <w:pPr>
        <w:pStyle w:val="NormalWeb"/>
        <w:rPr>
          <w:rFonts w:ascii="Baskerville" w:eastAsia="MS PMincho" w:hAnsi="Baskerville" w:cs="Arabic Typesetting"/>
        </w:rPr>
      </w:pPr>
      <w:r w:rsidRPr="007B25AE">
        <w:rPr>
          <w:rFonts w:ascii="Baskerville" w:eastAsia="MS PMincho" w:hAnsi="Baskerville" w:cs="Arabic Typesetting"/>
        </w:rPr>
        <w:t>Baker-Motley, Constance (1999). Equal justice under law. An Autobiography.</w:t>
      </w:r>
    </w:p>
    <w:p w14:paraId="5F9EB31B" w14:textId="088F1CE7" w:rsidR="0033543C" w:rsidRPr="007B25AE" w:rsidRDefault="0033543C" w:rsidP="0033543C">
      <w:pPr>
        <w:ind w:left="-5" w:right="298"/>
        <w:rPr>
          <w:rFonts w:ascii="Baskerville" w:eastAsia="MS PMincho" w:hAnsi="Baskerville" w:cs="Arabic Typesetting"/>
        </w:rPr>
      </w:pPr>
      <w:r w:rsidRPr="007B25AE">
        <w:rPr>
          <w:rFonts w:ascii="Baskerville" w:eastAsia="MS PMincho" w:hAnsi="Baskerville" w:cs="Arabic Typesetting"/>
        </w:rPr>
        <w:t xml:space="preserve">Berliner, D.C. (2000).  A personal response to those who bash teacher education.  </w:t>
      </w:r>
    </w:p>
    <w:p w14:paraId="3BD888B9" w14:textId="30932E51" w:rsidR="00DF295B" w:rsidRPr="007B25AE" w:rsidRDefault="0033543C" w:rsidP="00B762B4">
      <w:pPr>
        <w:ind w:left="-5" w:right="298" w:firstLine="710"/>
        <w:rPr>
          <w:rFonts w:ascii="Baskerville" w:eastAsia="MS PMincho" w:hAnsi="Baskerville" w:cs="Arabic Typesetting"/>
        </w:rPr>
      </w:pPr>
      <w:r w:rsidRPr="007B25AE">
        <w:rPr>
          <w:rFonts w:ascii="Baskerville" w:eastAsia="MS PMincho" w:hAnsi="Baskerville" w:cs="Arabic Typesetting"/>
        </w:rPr>
        <w:t xml:space="preserve">Journal of Teacher Education, 51(5), 358-371. </w:t>
      </w:r>
    </w:p>
    <w:p w14:paraId="4EE447A4" w14:textId="77777777" w:rsidR="00573D9F" w:rsidRPr="007B25AE" w:rsidRDefault="00573D9F" w:rsidP="00C135D4">
      <w:pPr>
        <w:ind w:right="298"/>
        <w:rPr>
          <w:rFonts w:ascii="Baskerville" w:eastAsia="MS PMincho" w:hAnsi="Baskerville" w:cs="Arabic Typesetting"/>
        </w:rPr>
      </w:pPr>
    </w:p>
    <w:p w14:paraId="3714897C" w14:textId="77777777" w:rsidR="00C135D4" w:rsidRPr="007B25AE" w:rsidRDefault="00C135D4" w:rsidP="00C135D4">
      <w:pPr>
        <w:spacing w:after="18"/>
        <w:ind w:right="38"/>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Bhandari, Pritha (2022, Feb. 3). Independent and Dependent Variables: Definitions and </w:t>
      </w:r>
    </w:p>
    <w:p w14:paraId="113D20C2" w14:textId="711E6BA5" w:rsidR="00C135D4" w:rsidRPr="007B25AE" w:rsidRDefault="00C135D4" w:rsidP="00C135D4">
      <w:pPr>
        <w:spacing w:after="18"/>
        <w:ind w:right="38"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Examples. Revised on June 22, 2023.</w:t>
      </w:r>
    </w:p>
    <w:p w14:paraId="2F19B706" w14:textId="6464FCA5" w:rsidR="00B762B4" w:rsidRPr="007B25AE" w:rsidRDefault="00C135D4" w:rsidP="00C135D4">
      <w:pPr>
        <w:spacing w:after="18"/>
        <w:ind w:right="38"/>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 </w:t>
      </w:r>
    </w:p>
    <w:p w14:paraId="147B0AA3" w14:textId="77777777" w:rsidR="00DF295B" w:rsidRPr="007B25AE" w:rsidRDefault="00DF295B" w:rsidP="00DF295B">
      <w:pPr>
        <w:rPr>
          <w:rStyle w:val="Hyperlink"/>
          <w:rFonts w:ascii="Baskerville" w:eastAsia="MS PMincho" w:hAnsi="Baskerville" w:cs="Arabic Typesetting"/>
        </w:rPr>
      </w:pPr>
      <w:r w:rsidRPr="007B25AE">
        <w:rPr>
          <w:rFonts w:ascii="Baskerville" w:eastAsia="MS PMincho" w:hAnsi="Baskerville" w:cs="Arabic Typesetting"/>
          <w:color w:val="000000" w:themeColor="text1"/>
        </w:rPr>
        <w:t>Black Past African American Registry</w:t>
      </w:r>
      <w:r w:rsidRPr="007B25AE">
        <w:rPr>
          <w:rFonts w:ascii="Baskerville" w:eastAsia="MS PMincho" w:hAnsi="Baskerville" w:cs="Arabic Typesetting"/>
        </w:rPr>
        <w:t xml:space="preserve">. </w:t>
      </w:r>
      <w:hyperlink r:id="rId13" w:history="1">
        <w:r w:rsidRPr="007B25AE">
          <w:rPr>
            <w:rStyle w:val="Hyperlink"/>
            <w:rFonts w:ascii="Baskerville" w:eastAsia="MS PMincho" w:hAnsi="Baskerville" w:cs="Arabic Typesetting"/>
          </w:rPr>
          <w:t>https://aaregisty.org/story/primus-hall-soldier-</w:t>
        </w:r>
      </w:hyperlink>
    </w:p>
    <w:p w14:paraId="4F53DA25" w14:textId="77777777" w:rsidR="00DF295B" w:rsidRPr="007B25AE" w:rsidRDefault="00DF295B" w:rsidP="00DF295B">
      <w:pPr>
        <w:ind w:firstLine="720"/>
        <w:rPr>
          <w:rFonts w:ascii="Baskerville" w:eastAsia="MS PMincho" w:hAnsi="Baskerville" w:cs="Arabic Typesetting"/>
        </w:rPr>
      </w:pPr>
      <w:proofErr w:type="gramStart"/>
      <w:r w:rsidRPr="007B25AE">
        <w:rPr>
          <w:rStyle w:val="Hyperlink"/>
          <w:rFonts w:ascii="Baskerville" w:eastAsia="MS PMincho" w:hAnsi="Baskerville" w:cs="Arabic Typesetting"/>
        </w:rPr>
        <w:t>master-born</w:t>
      </w:r>
      <w:proofErr w:type="gramEnd"/>
      <w:r w:rsidRPr="007B25AE">
        <w:rPr>
          <w:rStyle w:val="Hyperlink"/>
          <w:rFonts w:ascii="Baskerville" w:eastAsia="MS PMincho" w:hAnsi="Baskerville" w:cs="Arabic Typesetting"/>
        </w:rPr>
        <w:t>.</w:t>
      </w:r>
      <w:r w:rsidRPr="007B25AE">
        <w:rPr>
          <w:rFonts w:ascii="Baskerville" w:eastAsia="MS PMincho" w:hAnsi="Baskerville" w:cs="Arabic Typesetting"/>
        </w:rPr>
        <w:t xml:space="preserve"> </w:t>
      </w:r>
    </w:p>
    <w:p w14:paraId="7F7B2C44" w14:textId="77777777" w:rsidR="00F3581B" w:rsidRPr="007B25AE" w:rsidRDefault="00F3581B" w:rsidP="0033543C">
      <w:pPr>
        <w:ind w:left="-5" w:right="298"/>
        <w:rPr>
          <w:rFonts w:ascii="Baskerville" w:eastAsia="MS PMincho" w:hAnsi="Baskerville" w:cs="Arabic Typesetting"/>
        </w:rPr>
      </w:pPr>
    </w:p>
    <w:p w14:paraId="18C52E0D" w14:textId="2FC1EC7D" w:rsidR="00423239" w:rsidRPr="007B25AE" w:rsidRDefault="0033543C" w:rsidP="00A17FCC">
      <w:pPr>
        <w:ind w:left="705" w:right="298" w:hanging="720"/>
        <w:rPr>
          <w:rFonts w:ascii="Baskerville" w:eastAsia="MS PMincho" w:hAnsi="Baskerville" w:cs="Arabic Typesetting"/>
          <w:color w:val="0000FF"/>
          <w:u w:val="single" w:color="0000FF"/>
        </w:rPr>
      </w:pPr>
      <w:r w:rsidRPr="007B25AE">
        <w:rPr>
          <w:rFonts w:ascii="Baskerville" w:eastAsia="MS PMincho" w:hAnsi="Baskerville" w:cs="Arabic Typesetting"/>
        </w:rPr>
        <w:t>Bock, R.D., Wolfe, R., &amp; Fisher, T.H. (1996). A review and analysis of the</w:t>
      </w:r>
      <w:r w:rsidR="00C375D7" w:rsidRPr="007B25AE">
        <w:rPr>
          <w:rFonts w:ascii="Baskerville" w:eastAsia="MS PMincho" w:hAnsi="Baskerville" w:cs="Arabic Typesetting"/>
        </w:rPr>
        <w:t xml:space="preserve"> </w:t>
      </w:r>
      <w:r w:rsidRPr="007B25AE">
        <w:rPr>
          <w:rFonts w:ascii="Baskerville" w:eastAsia="MS PMincho" w:hAnsi="Baskerville" w:cs="Arabic Typesetting"/>
        </w:rPr>
        <w:t xml:space="preserve">Tennessee value- added assessment system.  Final Report, Part 1.  Nashville:  Tennessee Comptroller of the Treasury, Office of Education Accountability.  Retrieved February 19, 2010, from,  </w:t>
      </w:r>
      <w:hyperlink r:id="rId14">
        <w:r w:rsidRPr="007B25AE">
          <w:rPr>
            <w:rFonts w:ascii="Baskerville" w:eastAsia="MS PMincho" w:hAnsi="Baskerville" w:cs="Arabic Typesetting"/>
            <w:color w:val="0000FF"/>
            <w:u w:val="single" w:color="0000FF"/>
          </w:rPr>
          <w:t>http://www.comptroller1.state.tn.us/repository/RE/tvaascp1.pdf</w:t>
        </w:r>
      </w:hyperlink>
      <w:r w:rsidR="00DF295B" w:rsidRPr="007B25AE">
        <w:rPr>
          <w:rFonts w:ascii="Baskerville" w:eastAsia="MS PMincho" w:hAnsi="Baskerville" w:cs="Arabic Typesetting"/>
          <w:color w:val="0000FF"/>
          <w:u w:val="single" w:color="0000FF"/>
        </w:rPr>
        <w:t>.</w:t>
      </w:r>
    </w:p>
    <w:p w14:paraId="7900F9E0" w14:textId="77777777" w:rsidR="000B6329" w:rsidRPr="007B25AE" w:rsidRDefault="000B6329" w:rsidP="00A17FCC">
      <w:pPr>
        <w:ind w:right="298"/>
        <w:rPr>
          <w:rFonts w:ascii="Baskerville" w:eastAsia="MS PMincho" w:hAnsi="Baskerville" w:cs="Arabic Typesetting"/>
          <w:color w:val="0000FF"/>
          <w:u w:val="single" w:color="0000FF"/>
        </w:rPr>
      </w:pPr>
    </w:p>
    <w:p w14:paraId="63186583" w14:textId="4B499F21" w:rsidR="000B6329" w:rsidRPr="007B25AE" w:rsidRDefault="000B6329" w:rsidP="0033543C">
      <w:pPr>
        <w:ind w:left="705" w:right="298" w:hanging="720"/>
        <w:rPr>
          <w:rFonts w:ascii="Baskerville" w:eastAsia="MS PMincho" w:hAnsi="Baskerville" w:cs="Arabic Typesetting"/>
          <w:color w:val="0000FF"/>
          <w:u w:val="single" w:color="0000FF"/>
        </w:rPr>
      </w:pPr>
      <w:proofErr w:type="spellStart"/>
      <w:r w:rsidRPr="007B25AE">
        <w:rPr>
          <w:rFonts w:ascii="Baskerville" w:eastAsia="MS PMincho" w:hAnsi="Baskerville" w:cs="Arabic Typesetting"/>
        </w:rPr>
        <w:t>Boe</w:t>
      </w:r>
      <w:proofErr w:type="spellEnd"/>
      <w:r w:rsidRPr="007B25AE">
        <w:rPr>
          <w:rFonts w:ascii="Baskerville" w:eastAsia="MS PMincho" w:hAnsi="Baskerville" w:cs="Arabic Typesetting"/>
        </w:rPr>
        <w:t>, E.E., Cook, L.H., Sunderland, R.J. (2008).Teacher turnover: Examining exit attrition,</w:t>
      </w:r>
      <w:r w:rsidR="00C375D7" w:rsidRPr="007B25AE">
        <w:rPr>
          <w:rFonts w:ascii="Baskerville" w:eastAsia="MS PMincho" w:hAnsi="Baskerville" w:cs="Arabic Typesetting"/>
        </w:rPr>
        <w:t xml:space="preserve"> </w:t>
      </w:r>
      <w:r w:rsidRPr="007B25AE">
        <w:rPr>
          <w:rFonts w:ascii="Baskerville" w:eastAsia="MS PMincho" w:hAnsi="Baskerville" w:cs="Arabic Typesetting"/>
        </w:rPr>
        <w:t>teaching area transfer, and social migration.  Exceptional Children, 75(1), 7-31.</w:t>
      </w:r>
    </w:p>
    <w:p w14:paraId="302FB4F2" w14:textId="77777777" w:rsidR="00DF295B" w:rsidRPr="007B25AE" w:rsidRDefault="00DF295B" w:rsidP="0033543C">
      <w:pPr>
        <w:ind w:left="705" w:right="298" w:hanging="720"/>
        <w:rPr>
          <w:rFonts w:ascii="Baskerville" w:eastAsia="MS PMincho" w:hAnsi="Baskerville" w:cs="Arabic Typesetting"/>
          <w:color w:val="0000FF"/>
          <w:u w:val="single" w:color="0000FF"/>
        </w:rPr>
      </w:pPr>
    </w:p>
    <w:p w14:paraId="60EC1A31" w14:textId="77777777" w:rsidR="00DF295B" w:rsidRPr="007B25AE" w:rsidRDefault="00DF295B" w:rsidP="00DF295B">
      <w:pPr>
        <w:spacing w:after="4"/>
        <w:ind w:left="235" w:hanging="25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Bogdan, R., &amp; Biklen, S. K. (1992). Qualitative research for education: An introduction to </w:t>
      </w:r>
    </w:p>
    <w:p w14:paraId="764D0690" w14:textId="58002B93" w:rsidR="0008725A" w:rsidRPr="007B25AE" w:rsidRDefault="00DF295B" w:rsidP="007A7410">
      <w:pPr>
        <w:spacing w:after="4"/>
        <w:ind w:left="235" w:firstLine="485"/>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theory and methods. Boston: Allyn &amp; Bacon.</w:t>
      </w:r>
    </w:p>
    <w:p w14:paraId="0401A8BE" w14:textId="6E5F45A8" w:rsidR="0008725A" w:rsidRPr="007B25AE" w:rsidRDefault="0008725A" w:rsidP="0008725A">
      <w:pPr>
        <w:pStyle w:val="NormalWeb"/>
        <w:rPr>
          <w:rFonts w:ascii="Baskerville" w:eastAsia="MS PMincho" w:hAnsi="Baskerville" w:cs="Arabic Typesetting"/>
        </w:rPr>
      </w:pPr>
      <w:r w:rsidRPr="007B25AE">
        <w:rPr>
          <w:rFonts w:ascii="Baskerville" w:eastAsia="MS PMincho" w:hAnsi="Baskerville" w:cs="Arabic Typesetting"/>
        </w:rPr>
        <w:t xml:space="preserve">Boger, John Charles &amp; Orfield, Gary (Eds.) (2009). School Resegregation: Must the South </w:t>
      </w:r>
    </w:p>
    <w:p w14:paraId="433BEF3F" w14:textId="4DB24FFF" w:rsidR="00DF295B" w:rsidRPr="007B25AE" w:rsidRDefault="0008725A" w:rsidP="0008725A">
      <w:pPr>
        <w:pStyle w:val="NormalWeb"/>
        <w:ind w:firstLine="720"/>
        <w:rPr>
          <w:rFonts w:ascii="Baskerville" w:eastAsia="MS PMincho" w:hAnsi="Baskerville" w:cs="Arabic Typesetting"/>
        </w:rPr>
      </w:pPr>
      <w:r w:rsidRPr="007B25AE">
        <w:rPr>
          <w:rFonts w:ascii="Baskerville" w:eastAsia="MS PMincho" w:hAnsi="Baskerville" w:cs="Arabic Typesetting"/>
        </w:rPr>
        <w:t>Turn Back.</w:t>
      </w:r>
    </w:p>
    <w:p w14:paraId="6E067AB1" w14:textId="77777777" w:rsidR="00F47DF2" w:rsidRPr="007B25AE" w:rsidRDefault="00DF295B" w:rsidP="00DF295B">
      <w:pPr>
        <w:rPr>
          <w:rFonts w:ascii="Baskerville" w:eastAsia="MS PMincho" w:hAnsi="Baskerville" w:cs="Arabic Typesetting"/>
        </w:rPr>
      </w:pPr>
      <w:r w:rsidRPr="007B25AE">
        <w:rPr>
          <w:rFonts w:ascii="Baskerville" w:eastAsia="MS PMincho" w:hAnsi="Baskerville" w:cs="Arabic Typesetting"/>
        </w:rPr>
        <w:t xml:space="preserve">Boone C. (2018). The black teacher pipeline is clogged by discrimination. Here is how to </w:t>
      </w:r>
    </w:p>
    <w:p w14:paraId="578E9916" w14:textId="77777777" w:rsidR="00F47DF2" w:rsidRPr="007B25AE" w:rsidRDefault="00DF295B" w:rsidP="00F47DF2">
      <w:pPr>
        <w:ind w:firstLine="720"/>
        <w:rPr>
          <w:rFonts w:ascii="Baskerville" w:eastAsia="MS PMincho" w:hAnsi="Baskerville" w:cs="Arabic Typesetting"/>
        </w:rPr>
      </w:pPr>
      <w:r w:rsidRPr="007B25AE">
        <w:rPr>
          <w:rFonts w:ascii="Baskerville" w:eastAsia="MS PMincho" w:hAnsi="Baskerville" w:cs="Arabic Typesetting"/>
        </w:rPr>
        <w:t xml:space="preserve">fix it. Blog post. </w:t>
      </w:r>
      <w:hyperlink r:id="rId15" w:history="1">
        <w:r w:rsidRPr="007B25AE">
          <w:rPr>
            <w:rStyle w:val="Hyperlink"/>
            <w:rFonts w:ascii="Baskerville" w:eastAsia="MS PMincho" w:hAnsi="Baskerville" w:cs="Arabic Typesetting"/>
          </w:rPr>
          <w:t>https://ahead</w:t>
        </w:r>
      </w:hyperlink>
      <w:r w:rsidRPr="007B25AE">
        <w:rPr>
          <w:rFonts w:ascii="Baskerville" w:eastAsia="MS PMincho" w:hAnsi="Baskerville" w:cs="Arabic Typesetting"/>
        </w:rPr>
        <w:t xml:space="preserve"> oftheheard.org/the-black-teacher-pipeline-</w:t>
      </w:r>
      <w:proofErr w:type="spellStart"/>
      <w:r w:rsidRPr="007B25AE">
        <w:rPr>
          <w:rFonts w:ascii="Baskerville" w:eastAsia="MS PMincho" w:hAnsi="Baskerville" w:cs="Arabic Typesetting"/>
        </w:rPr>
        <w:t>isclogged</w:t>
      </w:r>
      <w:proofErr w:type="spellEnd"/>
      <w:r w:rsidRPr="007B25AE">
        <w:rPr>
          <w:rFonts w:ascii="Baskerville" w:eastAsia="MS PMincho" w:hAnsi="Baskerville" w:cs="Arabic Typesetting"/>
        </w:rPr>
        <w:t xml:space="preserve">-  </w:t>
      </w:r>
    </w:p>
    <w:p w14:paraId="197A945E" w14:textId="067F2A83" w:rsidR="00DF295B" w:rsidRPr="007B25AE" w:rsidRDefault="00DF295B" w:rsidP="00F47DF2">
      <w:pPr>
        <w:ind w:firstLine="720"/>
        <w:rPr>
          <w:rFonts w:ascii="Baskerville" w:eastAsia="MS PMincho" w:hAnsi="Baskerville" w:cs="Arabic Typesetting"/>
        </w:rPr>
      </w:pPr>
      <w:r w:rsidRPr="007B25AE">
        <w:rPr>
          <w:rFonts w:ascii="Baskerville" w:eastAsia="MS PMincho" w:hAnsi="Baskerville" w:cs="Arabic Typesetting"/>
        </w:rPr>
        <w:t>by-decades-of-discrimination-</w:t>
      </w:r>
      <w:proofErr w:type="spellStart"/>
      <w:r w:rsidRPr="007B25AE">
        <w:rPr>
          <w:rFonts w:ascii="Baskerville" w:eastAsia="MS PMincho" w:hAnsi="Baskerville" w:cs="Arabic Typesetting"/>
        </w:rPr>
        <w:t>heres</w:t>
      </w:r>
      <w:proofErr w:type="spellEnd"/>
      <w:r w:rsidRPr="007B25AE">
        <w:rPr>
          <w:rFonts w:ascii="Baskerville" w:eastAsia="MS PMincho" w:hAnsi="Baskerville" w:cs="Arabic Typesetting"/>
        </w:rPr>
        <w:t>-how-to-fix-it/.</w:t>
      </w:r>
    </w:p>
    <w:p w14:paraId="0E9AA801" w14:textId="77777777" w:rsidR="00DF295B" w:rsidRPr="007B25AE" w:rsidRDefault="00DF295B" w:rsidP="0008725A">
      <w:pPr>
        <w:rPr>
          <w:rFonts w:ascii="Baskerville" w:eastAsia="MS PMincho" w:hAnsi="Baskerville" w:cs="Arabic Typesetting"/>
        </w:rPr>
      </w:pPr>
    </w:p>
    <w:p w14:paraId="5E2BD746" w14:textId="77777777" w:rsidR="00DF295B" w:rsidRPr="007B25AE" w:rsidRDefault="00DF295B" w:rsidP="00DF295B">
      <w:pPr>
        <w:rPr>
          <w:rFonts w:ascii="Baskerville" w:eastAsia="MS PMincho" w:hAnsi="Baskerville" w:cs="Arabic Typesetting"/>
        </w:rPr>
      </w:pPr>
      <w:r w:rsidRPr="007B25AE">
        <w:rPr>
          <w:rFonts w:ascii="Baskerville" w:eastAsia="MS PMincho" w:hAnsi="Baskerville" w:cs="Arabic Typesetting"/>
        </w:rPr>
        <w:t>Brummet, Quentin, Gershenson, Seth, and Hayes, Michael S. (2017). “</w:t>
      </w:r>
      <w:proofErr w:type="gramStart"/>
      <w:r w:rsidRPr="007B25AE">
        <w:rPr>
          <w:rFonts w:ascii="Baskerville" w:eastAsia="MS PMincho" w:hAnsi="Baskerville" w:cs="Arabic Typesetting"/>
        </w:rPr>
        <w:t>Teachers</w:t>
      </w:r>
      <w:proofErr w:type="gramEnd"/>
      <w:r w:rsidRPr="007B25AE">
        <w:rPr>
          <w:rFonts w:ascii="Baskerville" w:eastAsia="MS PMincho" w:hAnsi="Baskerville" w:cs="Arabic Typesetting"/>
        </w:rPr>
        <w:t xml:space="preserve"> grade-</w:t>
      </w:r>
    </w:p>
    <w:p w14:paraId="52EE7903" w14:textId="77777777" w:rsidR="00DF295B" w:rsidRPr="007B25AE" w:rsidRDefault="00DF295B" w:rsidP="00DF295B">
      <w:pPr>
        <w:ind w:firstLine="720"/>
        <w:rPr>
          <w:rFonts w:ascii="Baskerville" w:eastAsia="MS PMincho" w:hAnsi="Baskerville" w:cs="Arabic Typesetting"/>
        </w:rPr>
      </w:pPr>
      <w:r w:rsidRPr="007B25AE">
        <w:rPr>
          <w:rFonts w:ascii="Baskerville" w:eastAsia="MS PMincho" w:hAnsi="Baskerville" w:cs="Arabic Typesetting"/>
        </w:rPr>
        <w:t xml:space="preserve">level reassignment: Evidence from Michigan, “Educational Policy, 31 (2), 249-271. </w:t>
      </w:r>
    </w:p>
    <w:p w14:paraId="21A5471A" w14:textId="77777777" w:rsidR="00DF295B" w:rsidRPr="007B25AE" w:rsidRDefault="00DF295B" w:rsidP="00DF295B">
      <w:pPr>
        <w:ind w:firstLine="720"/>
        <w:rPr>
          <w:rFonts w:ascii="Baskerville" w:eastAsia="MS PMincho" w:hAnsi="Baskerville" w:cs="Arabic Typesetting"/>
        </w:rPr>
      </w:pPr>
    </w:p>
    <w:p w14:paraId="5CA57035" w14:textId="58FF1849" w:rsidR="00DF295B" w:rsidRPr="007B25AE" w:rsidRDefault="00DF295B" w:rsidP="00DF295B">
      <w:pPr>
        <w:rPr>
          <w:rFonts w:ascii="Baskerville" w:eastAsia="MS PMincho" w:hAnsi="Baskerville" w:cs="Arabic Typesetting"/>
        </w:rPr>
      </w:pPr>
      <w:r w:rsidRPr="007B25AE">
        <w:rPr>
          <w:rFonts w:ascii="Baskerville" w:eastAsia="MS PMincho" w:hAnsi="Baskerville" w:cs="Arabic Typesetting"/>
        </w:rPr>
        <w:t xml:space="preserve">Buckman, Shelby R., Choi, Laura </w:t>
      </w:r>
      <w:proofErr w:type="spellStart"/>
      <w:r w:rsidRPr="007B25AE">
        <w:rPr>
          <w:rFonts w:ascii="Baskerville" w:eastAsia="MS PMincho" w:hAnsi="Baskerville" w:cs="Arabic Typesetting"/>
        </w:rPr>
        <w:t>Y.,Daly</w:t>
      </w:r>
      <w:proofErr w:type="spellEnd"/>
      <w:r w:rsidRPr="007B25AE">
        <w:rPr>
          <w:rFonts w:ascii="Baskerville" w:eastAsia="MS PMincho" w:hAnsi="Baskerville" w:cs="Arabic Typesetting"/>
        </w:rPr>
        <w:t xml:space="preserve">, Mary C., </w:t>
      </w:r>
      <w:proofErr w:type="spellStart"/>
      <w:r w:rsidRPr="007B25AE">
        <w:rPr>
          <w:rFonts w:ascii="Baskerville" w:eastAsia="MS PMincho" w:hAnsi="Baskerville" w:cs="Arabic Typesetting"/>
        </w:rPr>
        <w:t>Seitelman</w:t>
      </w:r>
      <w:proofErr w:type="spellEnd"/>
      <w:r w:rsidRPr="007B25AE">
        <w:rPr>
          <w:rFonts w:ascii="Baskerville" w:eastAsia="MS PMincho" w:hAnsi="Baskerville" w:cs="Arabic Typesetting"/>
        </w:rPr>
        <w:t xml:space="preserve">, Lily M. (2021, Fall). The </w:t>
      </w:r>
    </w:p>
    <w:p w14:paraId="45FEBE10" w14:textId="28DCAD3B" w:rsidR="00412165" w:rsidRPr="007B25AE" w:rsidRDefault="00DF295B" w:rsidP="00A17FCC">
      <w:pPr>
        <w:ind w:left="720"/>
        <w:rPr>
          <w:rFonts w:ascii="Baskerville" w:eastAsia="MS PMincho" w:hAnsi="Baskerville" w:cs="Arabic Typesetting"/>
        </w:rPr>
      </w:pPr>
      <w:r w:rsidRPr="007B25AE">
        <w:rPr>
          <w:rFonts w:ascii="Baskerville" w:eastAsia="MS PMincho" w:hAnsi="Baskerville" w:cs="Arabic Typesetting"/>
        </w:rPr>
        <w:t xml:space="preserve">economic gains from equity. Bookings Paper on Economic Activity. Booking Institution Press.  pp.71-139. Doi: </w:t>
      </w:r>
      <w:hyperlink r:id="rId16" w:history="1">
        <w:r w:rsidRPr="007B25AE">
          <w:rPr>
            <w:rStyle w:val="Hyperlink"/>
            <w:rFonts w:ascii="Baskerville" w:eastAsia="MS PMincho" w:hAnsi="Baskerville" w:cs="Arabic Typesetting"/>
          </w:rPr>
          <w:t>https://doi.org.org/10.1353/eca.2022.0001</w:t>
        </w:r>
      </w:hyperlink>
      <w:r w:rsidRPr="007B25AE">
        <w:rPr>
          <w:rFonts w:ascii="Baskerville" w:eastAsia="MS PMincho" w:hAnsi="Baskerville" w:cs="Arabic Typesetting"/>
        </w:rPr>
        <w:t>.</w:t>
      </w:r>
    </w:p>
    <w:p w14:paraId="3E554FF0" w14:textId="77777777" w:rsidR="00A17FCC" w:rsidRPr="007B25AE" w:rsidRDefault="00A17FCC" w:rsidP="00A17FCC">
      <w:pPr>
        <w:ind w:left="720"/>
        <w:rPr>
          <w:rFonts w:ascii="Baskerville" w:eastAsia="MS PMincho" w:hAnsi="Baskerville" w:cs="Arabic Typesetting"/>
        </w:rPr>
      </w:pPr>
    </w:p>
    <w:p w14:paraId="734CEB81" w14:textId="42568902" w:rsidR="000C6FBD" w:rsidRPr="007B25AE" w:rsidRDefault="000C6FBD" w:rsidP="000C6FBD">
      <w:pPr>
        <w:rPr>
          <w:rFonts w:ascii="Baskerville" w:eastAsia="MS PMincho" w:hAnsi="Baskerville" w:cs="Arabic Typesetting"/>
        </w:rPr>
      </w:pPr>
      <w:r w:rsidRPr="007B25AE">
        <w:rPr>
          <w:rFonts w:ascii="Baskerville" w:eastAsia="MS PMincho" w:hAnsi="Baskerville" w:cs="Arabic Typesetting"/>
        </w:rPr>
        <w:t xml:space="preserve">Carver-Thomas, D. (2017). Diversifying the field: Barriers to recruiting and retaining </w:t>
      </w:r>
    </w:p>
    <w:p w14:paraId="68F3A24E" w14:textId="7B3EA8DC" w:rsidR="000C6FBD" w:rsidRPr="007B25AE" w:rsidRDefault="000C6FBD" w:rsidP="000C6FBD">
      <w:pPr>
        <w:ind w:left="720"/>
        <w:rPr>
          <w:rFonts w:ascii="Baskerville" w:eastAsia="MS PMincho" w:hAnsi="Baskerville" w:cs="Arabic Typesetting"/>
        </w:rPr>
      </w:pPr>
      <w:r w:rsidRPr="007B25AE">
        <w:rPr>
          <w:rFonts w:ascii="Baskerville" w:eastAsia="MS PMincho" w:hAnsi="Baskerville" w:cs="Arabic Typesetting"/>
        </w:rPr>
        <w:t>teachers of color and how to overcome them. Literature review. Equity Assistance Center Region II. intercultural Development Research Association. Retrieved from</w:t>
      </w:r>
    </w:p>
    <w:p w14:paraId="27E4102A" w14:textId="69E884D9" w:rsidR="000C6FBD" w:rsidRPr="007B25AE" w:rsidRDefault="000C6FBD" w:rsidP="00A17FCC">
      <w:pPr>
        <w:rPr>
          <w:rFonts w:ascii="Baskerville" w:eastAsia="MS PMincho" w:hAnsi="Baskerville" w:cs="Arabic Typesetting"/>
        </w:rPr>
      </w:pPr>
      <w:r w:rsidRPr="007B25AE">
        <w:rPr>
          <w:rFonts w:ascii="Baskerville" w:eastAsia="MS PMincho" w:hAnsi="Baskerville" w:cs="Arabic Typesetting"/>
        </w:rPr>
        <w:tab/>
      </w:r>
      <w:hyperlink r:id="rId17" w:history="1">
        <w:r w:rsidRPr="007B25AE">
          <w:rPr>
            <w:rStyle w:val="Hyperlink"/>
            <w:rFonts w:ascii="Baskerville" w:eastAsia="MS PMincho" w:hAnsi="Baskerville" w:cs="Arabic Typesetting"/>
          </w:rPr>
          <w:t>https://www.americanprogress</w:t>
        </w:r>
      </w:hyperlink>
      <w:r w:rsidRPr="007B25AE">
        <w:rPr>
          <w:rFonts w:ascii="Baskerville" w:eastAsia="MS PMincho" w:hAnsi="Baskerville" w:cs="Arabic Typesetting"/>
        </w:rPr>
        <w:t xml:space="preserve"> eric ed.gov.</w:t>
      </w:r>
    </w:p>
    <w:p w14:paraId="081CEE2C" w14:textId="77777777" w:rsidR="00A17FCC" w:rsidRPr="007B25AE" w:rsidRDefault="00A17FCC" w:rsidP="00A17FCC">
      <w:pPr>
        <w:rPr>
          <w:rFonts w:ascii="Baskerville" w:eastAsia="MS PMincho" w:hAnsi="Baskerville" w:cs="Arabic Typesetting"/>
        </w:rPr>
      </w:pPr>
    </w:p>
    <w:p w14:paraId="5092D626" w14:textId="77777777" w:rsidR="000C6FBD" w:rsidRPr="007B25AE" w:rsidRDefault="000C6FBD" w:rsidP="000C6FBD">
      <w:pPr>
        <w:rPr>
          <w:rFonts w:ascii="Baskerville" w:eastAsia="MS PMincho" w:hAnsi="Baskerville" w:cs="Arabic Typesetting"/>
        </w:rPr>
      </w:pPr>
      <w:r w:rsidRPr="007B25AE">
        <w:rPr>
          <w:rFonts w:ascii="Baskerville" w:eastAsia="MS PMincho" w:hAnsi="Baskerville" w:cs="Arabic Typesetting"/>
        </w:rPr>
        <w:t xml:space="preserve">Chen, Grace (2023, Dec. 8). The New York City schools: Most segregated in the nation. </w:t>
      </w:r>
    </w:p>
    <w:p w14:paraId="2CB08843" w14:textId="58E9B9F7" w:rsidR="00595B7F" w:rsidRPr="007B25AE" w:rsidRDefault="000C6FBD" w:rsidP="00A17FCC">
      <w:pPr>
        <w:ind w:left="720"/>
        <w:rPr>
          <w:rFonts w:ascii="Baskerville" w:eastAsia="MS PMincho" w:hAnsi="Baskerville" w:cs="Arabic Typesetting"/>
        </w:rPr>
      </w:pPr>
      <w:r w:rsidRPr="007B25AE">
        <w:rPr>
          <w:rFonts w:ascii="Baskerville" w:eastAsia="MS PMincho" w:hAnsi="Baskerville" w:cs="Arabic Typesetting"/>
        </w:rPr>
        <w:t xml:space="preserve">Public School Review.  </w:t>
      </w:r>
    </w:p>
    <w:p w14:paraId="4ABA3375" w14:textId="77777777" w:rsidR="00A17FCC" w:rsidRPr="007B25AE" w:rsidRDefault="00A17FCC" w:rsidP="00A17FCC">
      <w:pPr>
        <w:ind w:left="720"/>
        <w:rPr>
          <w:rFonts w:ascii="Baskerville" w:eastAsia="MS PMincho" w:hAnsi="Baskerville" w:cs="Arabic Typesetting"/>
        </w:rPr>
      </w:pPr>
    </w:p>
    <w:p w14:paraId="0B68339B" w14:textId="77777777" w:rsidR="00595B7F" w:rsidRPr="007B25AE" w:rsidRDefault="00595B7F" w:rsidP="00595B7F">
      <w:pPr>
        <w:spacing w:after="4"/>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Chen, Grace (2022, July 2). New York City schools: Most segregated in the nation. Public </w:t>
      </w:r>
    </w:p>
    <w:p w14:paraId="37907CCD" w14:textId="77777777" w:rsidR="00595B7F" w:rsidRPr="007B25AE" w:rsidRDefault="00595B7F" w:rsidP="00595B7F">
      <w:pPr>
        <w:spacing w:after="4"/>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School Review.</w:t>
      </w:r>
    </w:p>
    <w:p w14:paraId="0A8C256C" w14:textId="3D10A6DB" w:rsidR="000C6FBD" w:rsidRPr="007B25AE" w:rsidRDefault="000C6FBD" w:rsidP="000C6FBD">
      <w:pPr>
        <w:rPr>
          <w:rFonts w:ascii="Baskerville" w:eastAsia="MS PMincho" w:hAnsi="Baskerville" w:cs="Arabic Typesetting"/>
        </w:rPr>
      </w:pPr>
      <w:r w:rsidRPr="007B25AE">
        <w:rPr>
          <w:rFonts w:ascii="Baskerville" w:eastAsia="MS PMincho" w:hAnsi="Baskerville" w:cs="Arabic Typesetting"/>
        </w:rPr>
        <w:t xml:space="preserve">                                                            </w:t>
      </w:r>
    </w:p>
    <w:p w14:paraId="3D8457E8" w14:textId="77777777" w:rsidR="000C6FBD" w:rsidRPr="007B25AE" w:rsidRDefault="000C6FBD" w:rsidP="000C6FBD">
      <w:pPr>
        <w:rPr>
          <w:rFonts w:ascii="Baskerville" w:eastAsia="MS PMincho" w:hAnsi="Baskerville" w:cs="Arabic Typesetting"/>
        </w:rPr>
      </w:pPr>
      <w:r w:rsidRPr="007B25AE">
        <w:rPr>
          <w:rFonts w:ascii="Baskerville" w:eastAsia="MS PMincho" w:hAnsi="Baskerville" w:cs="Arabic Typesetting"/>
        </w:rPr>
        <w:t xml:space="preserve">Cherry, Kendra (2024, May 21). What is a dependent variable. Very Well Mind (Student </w:t>
      </w:r>
    </w:p>
    <w:p w14:paraId="192D378D" w14:textId="77777777" w:rsidR="000C6FBD" w:rsidRPr="007B25AE" w:rsidRDefault="000C6FBD" w:rsidP="000C6FBD">
      <w:pPr>
        <w:ind w:firstLine="720"/>
        <w:rPr>
          <w:rFonts w:ascii="Baskerville" w:eastAsia="MS PMincho" w:hAnsi="Baskerville" w:cs="Arabic Typesetting"/>
        </w:rPr>
      </w:pPr>
      <w:r w:rsidRPr="007B25AE">
        <w:rPr>
          <w:rFonts w:ascii="Baskerville" w:eastAsia="MS PMincho" w:hAnsi="Baskerville" w:cs="Arabic Typesetting"/>
        </w:rPr>
        <w:t xml:space="preserve">Resources. Fact checked by Cara Lustik. </w:t>
      </w:r>
    </w:p>
    <w:p w14:paraId="7BAFF830" w14:textId="77777777" w:rsidR="00923661" w:rsidRPr="007B25AE" w:rsidRDefault="00923661" w:rsidP="00923661">
      <w:pPr>
        <w:rPr>
          <w:rFonts w:ascii="Baskerville" w:eastAsia="MS PMincho" w:hAnsi="Baskerville" w:cs="Arabic Typesetting"/>
        </w:rPr>
      </w:pPr>
    </w:p>
    <w:p w14:paraId="6403955A" w14:textId="77777777" w:rsidR="00923661" w:rsidRPr="007B25AE" w:rsidRDefault="00923661" w:rsidP="00923661">
      <w:pPr>
        <w:rPr>
          <w:rFonts w:ascii="Baskerville" w:eastAsia="MS PMincho" w:hAnsi="Baskerville" w:cs="Arabic Typesetting"/>
        </w:rPr>
      </w:pPr>
      <w:r w:rsidRPr="007B25AE">
        <w:rPr>
          <w:rFonts w:ascii="Baskerville" w:eastAsia="MS PMincho" w:hAnsi="Baskerville" w:cs="Arabic Typesetting"/>
        </w:rPr>
        <w:t xml:space="preserve">Chung, Kim Sau, (2000). Role models and the argument for affirmative action. American </w:t>
      </w:r>
    </w:p>
    <w:p w14:paraId="7D092CAB" w14:textId="622572B5" w:rsidR="00923661" w:rsidRPr="007B25AE" w:rsidRDefault="00923661" w:rsidP="00923661">
      <w:pPr>
        <w:ind w:firstLine="720"/>
        <w:rPr>
          <w:rFonts w:ascii="Baskerville" w:eastAsia="MS PMincho" w:hAnsi="Baskerville" w:cs="Arabic Typesetting"/>
        </w:rPr>
      </w:pPr>
      <w:r w:rsidRPr="007B25AE">
        <w:rPr>
          <w:rFonts w:ascii="Baskerville" w:eastAsia="MS PMincho" w:hAnsi="Baskerville" w:cs="Arabic Typesetting"/>
        </w:rPr>
        <w:t xml:space="preserve">Economic Review, 90(3), 640-648. </w:t>
      </w:r>
    </w:p>
    <w:p w14:paraId="76B8CEA5" w14:textId="77777777" w:rsidR="000C6FBD" w:rsidRPr="007B25AE" w:rsidRDefault="000C6FBD" w:rsidP="00DF295B">
      <w:pPr>
        <w:rPr>
          <w:rFonts w:ascii="Baskerville" w:eastAsia="MS PMincho" w:hAnsi="Baskerville" w:cs="Arabic Typesetting"/>
        </w:rPr>
      </w:pPr>
    </w:p>
    <w:p w14:paraId="67C65A69" w14:textId="77777777" w:rsidR="00DF295B" w:rsidRPr="007B25AE" w:rsidRDefault="00DF295B" w:rsidP="00DF295B">
      <w:pPr>
        <w:rPr>
          <w:rFonts w:ascii="Baskerville" w:eastAsia="MS PMincho" w:hAnsi="Baskerville" w:cs="Arabic Typesetting"/>
        </w:rPr>
      </w:pPr>
      <w:r w:rsidRPr="007B25AE">
        <w:rPr>
          <w:rFonts w:ascii="Baskerville" w:eastAsia="MS PMincho" w:hAnsi="Baskerville" w:cs="Arabic Typesetting"/>
        </w:rPr>
        <w:t xml:space="preserve">Comer, J. P. (1989). Racism and the education of young children. Teachers’ College </w:t>
      </w:r>
    </w:p>
    <w:p w14:paraId="3F8769C7" w14:textId="77777777" w:rsidR="00DF295B" w:rsidRPr="007B25AE" w:rsidRDefault="00DF295B" w:rsidP="00DF295B">
      <w:pPr>
        <w:ind w:firstLine="720"/>
        <w:rPr>
          <w:rFonts w:ascii="Baskerville" w:eastAsia="MS PMincho" w:hAnsi="Baskerville" w:cs="Arabic Typesetting"/>
        </w:rPr>
      </w:pPr>
      <w:r w:rsidRPr="007B25AE">
        <w:rPr>
          <w:rFonts w:ascii="Baskerville" w:eastAsia="MS PMincho" w:hAnsi="Baskerville" w:cs="Arabic Typesetting"/>
        </w:rPr>
        <w:t>Record, 90, 352-361. EJ 395975.</w:t>
      </w:r>
    </w:p>
    <w:p w14:paraId="48F1C5E4" w14:textId="77777777" w:rsidR="00DF295B" w:rsidRPr="007B25AE" w:rsidRDefault="00DF295B" w:rsidP="00DF295B">
      <w:pPr>
        <w:rPr>
          <w:rFonts w:ascii="Baskerville" w:eastAsia="MS PMincho" w:hAnsi="Baskerville" w:cs="Arabic Typesetting"/>
        </w:rPr>
      </w:pPr>
    </w:p>
    <w:p w14:paraId="7E41AA6B" w14:textId="77777777" w:rsidR="00DF295B" w:rsidRPr="007B25AE" w:rsidRDefault="00DF295B" w:rsidP="00DF295B">
      <w:pPr>
        <w:rPr>
          <w:rFonts w:ascii="Baskerville" w:eastAsia="MS PMincho" w:hAnsi="Baskerville" w:cs="Arabic Typesetting"/>
        </w:rPr>
      </w:pPr>
      <w:r w:rsidRPr="007B25AE">
        <w:rPr>
          <w:rFonts w:ascii="Baskerville" w:eastAsia="MS PMincho" w:hAnsi="Baskerville" w:cs="Arabic Typesetting"/>
        </w:rPr>
        <w:t xml:space="preserve">Cushing, John (1961). The Cushing court and the abolition of slavery in Massachusetts: </w:t>
      </w:r>
    </w:p>
    <w:p w14:paraId="3833CEF8" w14:textId="77777777" w:rsidR="00DF295B" w:rsidRPr="007B25AE" w:rsidRDefault="00DF295B" w:rsidP="00DF295B">
      <w:pPr>
        <w:ind w:firstLine="720"/>
        <w:rPr>
          <w:rFonts w:ascii="Baskerville" w:eastAsia="MS PMincho" w:hAnsi="Baskerville" w:cs="Arabic Typesetting"/>
        </w:rPr>
      </w:pPr>
      <w:r w:rsidRPr="007B25AE">
        <w:rPr>
          <w:rFonts w:ascii="Baskerville" w:eastAsia="MS PMincho" w:hAnsi="Baskerville" w:cs="Arabic Typesetting"/>
        </w:rPr>
        <w:t>More notes on the “Quock Walker Case,” The Journal of Legal History, 5, p.118.</w:t>
      </w:r>
    </w:p>
    <w:p w14:paraId="44E05519" w14:textId="77777777" w:rsidR="00B43879" w:rsidRPr="007B25AE" w:rsidRDefault="00B43879" w:rsidP="00B43879">
      <w:pPr>
        <w:rPr>
          <w:rFonts w:ascii="Baskerville" w:eastAsia="MS PMincho" w:hAnsi="Baskerville" w:cs="Arabic Typesetting"/>
        </w:rPr>
      </w:pPr>
    </w:p>
    <w:p w14:paraId="006EE5E6" w14:textId="77777777" w:rsidR="00B43879" w:rsidRPr="007B25AE" w:rsidRDefault="00B43879" w:rsidP="00B43879">
      <w:pPr>
        <w:rPr>
          <w:rFonts w:ascii="Baskerville" w:eastAsia="MS PMincho" w:hAnsi="Baskerville" w:cs="Arabic Typesetting"/>
        </w:rPr>
      </w:pPr>
      <w:proofErr w:type="spellStart"/>
      <w:r w:rsidRPr="007B25AE">
        <w:rPr>
          <w:rFonts w:ascii="Baskerville" w:eastAsia="MS PMincho" w:hAnsi="Baskerville" w:cs="Arabic Typesetting"/>
        </w:rPr>
        <w:t>D’amico</w:t>
      </w:r>
      <w:proofErr w:type="spellEnd"/>
      <w:r w:rsidRPr="007B25AE">
        <w:rPr>
          <w:rFonts w:ascii="Baskerville" w:eastAsia="MS PMincho" w:hAnsi="Baskerville" w:cs="Arabic Typesetting"/>
        </w:rPr>
        <w:t xml:space="preserve">, D., </w:t>
      </w:r>
      <w:proofErr w:type="spellStart"/>
      <w:r w:rsidRPr="007B25AE">
        <w:rPr>
          <w:rFonts w:ascii="Baskerville" w:eastAsia="MS PMincho" w:hAnsi="Baskerville" w:cs="Arabic Typesetting"/>
        </w:rPr>
        <w:t>Pawlewicz</w:t>
      </w:r>
      <w:proofErr w:type="spellEnd"/>
      <w:r w:rsidRPr="007B25AE">
        <w:rPr>
          <w:rFonts w:ascii="Baskerville" w:eastAsia="MS PMincho" w:hAnsi="Baskerville" w:cs="Arabic Typesetting"/>
        </w:rPr>
        <w:t xml:space="preserve">, R. J., Earley, P.M., &amp; McGeehan, A.P. (2017) Where are all the </w:t>
      </w:r>
    </w:p>
    <w:p w14:paraId="39765FA1" w14:textId="77777777" w:rsidR="00B43879" w:rsidRPr="007B25AE" w:rsidRDefault="00B43879" w:rsidP="00B43879">
      <w:pPr>
        <w:ind w:firstLine="720"/>
        <w:rPr>
          <w:rFonts w:ascii="Baskerville" w:eastAsia="MS PMincho" w:hAnsi="Baskerville" w:cs="Arabic Typesetting"/>
        </w:rPr>
      </w:pPr>
      <w:r w:rsidRPr="007B25AE">
        <w:rPr>
          <w:rFonts w:ascii="Baskerville" w:eastAsia="MS PMincho" w:hAnsi="Baskerville" w:cs="Arabic Typesetting"/>
        </w:rPr>
        <w:t xml:space="preserve">Black teachers? Discrimination in the teacher Labor market. Harvad Education </w:t>
      </w:r>
    </w:p>
    <w:p w14:paraId="776513EA" w14:textId="3577FFCF" w:rsidR="00B43879" w:rsidRPr="007B25AE" w:rsidRDefault="00B43879" w:rsidP="00B43879">
      <w:pPr>
        <w:ind w:firstLine="720"/>
        <w:rPr>
          <w:rFonts w:ascii="Baskerville" w:eastAsia="MS PMincho" w:hAnsi="Baskerville" w:cs="Arabic Typesetting"/>
        </w:rPr>
      </w:pPr>
      <w:r w:rsidRPr="007B25AE">
        <w:rPr>
          <w:rFonts w:ascii="Baskerville" w:eastAsia="MS PMincho" w:hAnsi="Baskerville" w:cs="Arabic Typesetting"/>
        </w:rPr>
        <w:t>Review, 87(1), 26-49.</w:t>
      </w:r>
    </w:p>
    <w:p w14:paraId="32058862" w14:textId="77777777" w:rsidR="00475A34" w:rsidRPr="007B25AE" w:rsidRDefault="00475A34" w:rsidP="00B43879">
      <w:pPr>
        <w:ind w:firstLine="720"/>
        <w:rPr>
          <w:rFonts w:ascii="Baskerville" w:eastAsia="MS PMincho" w:hAnsi="Baskerville" w:cs="Arabic Typesetting"/>
        </w:rPr>
      </w:pPr>
    </w:p>
    <w:p w14:paraId="194DE30F" w14:textId="77777777" w:rsidR="00475A34" w:rsidRPr="007B25AE" w:rsidRDefault="00475A34" w:rsidP="00475A34">
      <w:pPr>
        <w:rPr>
          <w:rFonts w:ascii="Baskerville" w:eastAsia="MS PMincho" w:hAnsi="Baskerville" w:cs="Arabic Typesetting"/>
        </w:rPr>
      </w:pPr>
      <w:r w:rsidRPr="007B25AE">
        <w:rPr>
          <w:rFonts w:ascii="Baskerville" w:eastAsia="MS PMincho" w:hAnsi="Baskerville" w:cs="Arabic Typesetting"/>
        </w:rPr>
        <w:t xml:space="preserve">Danns, Dionne; Purdy, Michelle A; Span, Christopher M. (Eds) (2015). Using past as </w:t>
      </w:r>
    </w:p>
    <w:p w14:paraId="5C0C668D" w14:textId="77777777" w:rsidR="00475A34" w:rsidRPr="007B25AE" w:rsidRDefault="00475A34" w:rsidP="00475A34">
      <w:pPr>
        <w:ind w:firstLine="720"/>
        <w:rPr>
          <w:rFonts w:ascii="Baskerville" w:eastAsia="MS PMincho" w:hAnsi="Baskerville" w:cs="Arabic Typesetting"/>
        </w:rPr>
      </w:pPr>
      <w:r w:rsidRPr="007B25AE">
        <w:rPr>
          <w:rFonts w:ascii="Baskerville" w:eastAsia="MS PMincho" w:hAnsi="Baskerville" w:cs="Arabic Typesetting"/>
        </w:rPr>
        <w:t xml:space="preserve">prologue: contemporary perspective on African American educational history. IAP </w:t>
      </w:r>
    </w:p>
    <w:p w14:paraId="62C72096" w14:textId="77777777" w:rsidR="00475A34" w:rsidRPr="007B25AE" w:rsidRDefault="00475A34" w:rsidP="00475A34">
      <w:pPr>
        <w:ind w:firstLine="720"/>
        <w:rPr>
          <w:rFonts w:ascii="Baskerville" w:eastAsia="MS PMincho" w:hAnsi="Baskerville" w:cs="Arabic Typesetting"/>
        </w:rPr>
      </w:pPr>
      <w:r w:rsidRPr="007B25AE">
        <w:rPr>
          <w:rFonts w:ascii="Baskerville" w:eastAsia="MS PMincho" w:hAnsi="Baskerville" w:cs="Arabic Typesetting"/>
        </w:rPr>
        <w:t>Inc.</w:t>
      </w:r>
    </w:p>
    <w:p w14:paraId="0C3A13E1" w14:textId="77777777" w:rsidR="00475A34" w:rsidRPr="007B25AE" w:rsidRDefault="00475A34" w:rsidP="00475A34">
      <w:pPr>
        <w:rPr>
          <w:rFonts w:ascii="Baskerville" w:eastAsia="MS PMincho" w:hAnsi="Baskerville" w:cs="Arabic Typesetting"/>
        </w:rPr>
      </w:pPr>
    </w:p>
    <w:p w14:paraId="2B195C1B" w14:textId="77777777" w:rsidR="00475A34" w:rsidRPr="007B25AE" w:rsidRDefault="00475A34" w:rsidP="00475A34">
      <w:pPr>
        <w:rPr>
          <w:rFonts w:ascii="Baskerville" w:eastAsia="MS PMincho" w:hAnsi="Baskerville" w:cs="Arabic Typesetting"/>
        </w:rPr>
      </w:pPr>
      <w:r w:rsidRPr="007B25AE">
        <w:rPr>
          <w:rFonts w:ascii="Baskerville" w:eastAsia="MS PMincho" w:hAnsi="Baskerville" w:cs="Arabic Typesetting"/>
        </w:rPr>
        <w:t xml:space="preserve">Davis, Laurel &amp; Bilder, Sarah Mary (2018). The library of Robert Morris, Civil Rights lawyer &amp; </w:t>
      </w:r>
    </w:p>
    <w:p w14:paraId="06EF4896" w14:textId="77777777" w:rsidR="00475A34" w:rsidRPr="007B25AE" w:rsidRDefault="00475A34" w:rsidP="00475A34">
      <w:pPr>
        <w:ind w:firstLine="720"/>
        <w:rPr>
          <w:rFonts w:ascii="Baskerville" w:eastAsia="MS PMincho" w:hAnsi="Baskerville" w:cs="Arabic Typesetting"/>
        </w:rPr>
      </w:pPr>
      <w:r w:rsidRPr="007B25AE">
        <w:rPr>
          <w:rFonts w:ascii="Baskerville" w:eastAsia="MS PMincho" w:hAnsi="Baskerville" w:cs="Arabic Typesetting"/>
        </w:rPr>
        <w:t xml:space="preserve">activist, Boston College Law School, Faculty Papers, Digital Commons, pp. 33-‘7. </w:t>
      </w:r>
    </w:p>
    <w:p w14:paraId="24C04EA0" w14:textId="77777777" w:rsidR="00475A34" w:rsidRPr="007B25AE" w:rsidRDefault="00475A34" w:rsidP="00475A34">
      <w:pPr>
        <w:rPr>
          <w:rFonts w:ascii="Baskerville" w:eastAsia="MS PMincho" w:hAnsi="Baskerville" w:cs="Arabic Typesetting"/>
        </w:rPr>
      </w:pPr>
    </w:p>
    <w:p w14:paraId="00952972" w14:textId="77777777" w:rsidR="00475A34" w:rsidRPr="007B25AE" w:rsidRDefault="00475A34" w:rsidP="00475A34">
      <w:pPr>
        <w:rPr>
          <w:rFonts w:ascii="Baskerville" w:eastAsia="MS PMincho" w:hAnsi="Baskerville" w:cs="Arabic Typesetting"/>
        </w:rPr>
      </w:pPr>
      <w:r w:rsidRPr="007B25AE">
        <w:rPr>
          <w:rFonts w:ascii="Baskerville" w:eastAsia="MS PMincho" w:hAnsi="Baskerville" w:cs="Arabic Typesetting"/>
        </w:rPr>
        <w:t xml:space="preserve">Dee, Thomas S. (2005). A teacher like me: Does race, ethnicity, or gender matter? The </w:t>
      </w:r>
    </w:p>
    <w:p w14:paraId="75639B4E" w14:textId="77777777" w:rsidR="00475A34" w:rsidRPr="007B25AE" w:rsidRDefault="00475A34" w:rsidP="00475A34">
      <w:pPr>
        <w:ind w:firstLine="720"/>
        <w:rPr>
          <w:rFonts w:ascii="Baskerville" w:eastAsia="MS PMincho" w:hAnsi="Baskerville" w:cs="Arabic Typesetting"/>
        </w:rPr>
      </w:pPr>
      <w:r w:rsidRPr="007B25AE">
        <w:rPr>
          <w:rFonts w:ascii="Baskerville" w:eastAsia="MS PMincho" w:hAnsi="Baskerville" w:cs="Arabic Typesetting"/>
        </w:rPr>
        <w:t xml:space="preserve">American Economic Journal, 95 (2), 158-165.  </w:t>
      </w:r>
    </w:p>
    <w:p w14:paraId="755EDF8B" w14:textId="77777777" w:rsidR="00475A34" w:rsidRPr="007B25AE" w:rsidRDefault="00475A34" w:rsidP="00152B0F">
      <w:pPr>
        <w:rPr>
          <w:rFonts w:ascii="Baskerville" w:eastAsia="MS PMincho" w:hAnsi="Baskerville" w:cs="Arabic Typesetting"/>
        </w:rPr>
      </w:pPr>
    </w:p>
    <w:p w14:paraId="53B2BADA" w14:textId="263CA6B9" w:rsidR="00475A34" w:rsidRPr="007B25AE" w:rsidRDefault="00475A34" w:rsidP="00475A34">
      <w:pPr>
        <w:rPr>
          <w:rFonts w:ascii="Baskerville" w:eastAsia="MS PMincho" w:hAnsi="Baskerville" w:cs="Arabic Typesetting"/>
        </w:rPr>
      </w:pPr>
      <w:r w:rsidRPr="007B25AE">
        <w:rPr>
          <w:rFonts w:ascii="Baskerville" w:eastAsia="MS PMincho" w:hAnsi="Baskerville" w:cs="Arabic Typesetting"/>
        </w:rPr>
        <w:t xml:space="preserve">Dee, Thomas S. (2004). Teacher race, and teacher experience in a randomized experiment, </w:t>
      </w:r>
    </w:p>
    <w:p w14:paraId="0AB711A5" w14:textId="77777777" w:rsidR="00475A34" w:rsidRPr="007B25AE" w:rsidRDefault="00475A34" w:rsidP="00475A34">
      <w:pPr>
        <w:ind w:firstLine="720"/>
        <w:rPr>
          <w:rFonts w:ascii="Baskerville" w:eastAsia="MS PMincho" w:hAnsi="Baskerville" w:cs="Arabic Typesetting"/>
        </w:rPr>
      </w:pPr>
      <w:r w:rsidRPr="007B25AE">
        <w:rPr>
          <w:rFonts w:ascii="Baskerville" w:eastAsia="MS PMincho" w:hAnsi="Baskerville" w:cs="Arabic Typesetting"/>
        </w:rPr>
        <w:t>Review of Economics and Statistics, 86 (1), 195-210.</w:t>
      </w:r>
    </w:p>
    <w:p w14:paraId="2C2C8F41" w14:textId="77777777" w:rsidR="00475A34" w:rsidRPr="007B25AE" w:rsidRDefault="00475A34" w:rsidP="00475A34">
      <w:pPr>
        <w:ind w:firstLine="720"/>
        <w:rPr>
          <w:rFonts w:ascii="Baskerville" w:eastAsia="MS PMincho" w:hAnsi="Baskerville" w:cs="Arabic Typesetting"/>
        </w:rPr>
      </w:pPr>
    </w:p>
    <w:p w14:paraId="44807FD0" w14:textId="77777777" w:rsidR="00475A34" w:rsidRPr="007B25AE" w:rsidRDefault="00475A34" w:rsidP="00475A34">
      <w:pPr>
        <w:rPr>
          <w:rFonts w:ascii="Baskerville" w:eastAsia="MS PMincho" w:hAnsi="Baskerville" w:cs="Arabic Typesetting"/>
        </w:rPr>
      </w:pPr>
      <w:r w:rsidRPr="007B25AE">
        <w:rPr>
          <w:rFonts w:ascii="Baskerville" w:eastAsia="MS PMincho" w:hAnsi="Baskerville" w:cs="Arabic Typesetting"/>
        </w:rPr>
        <w:t xml:space="preserve">Dee, Thomas S. and Penner, Emily (2017). The causal effects of Cultural relevance: </w:t>
      </w:r>
    </w:p>
    <w:p w14:paraId="10B4282E" w14:textId="77777777" w:rsidR="00475A34" w:rsidRPr="007B25AE" w:rsidRDefault="00475A34" w:rsidP="00475A34">
      <w:pPr>
        <w:ind w:firstLine="720"/>
        <w:rPr>
          <w:rFonts w:ascii="Baskerville" w:eastAsia="MS PMincho" w:hAnsi="Baskerville" w:cs="Arabic Typesetting"/>
        </w:rPr>
      </w:pPr>
      <w:r w:rsidRPr="007B25AE">
        <w:rPr>
          <w:rFonts w:ascii="Baskerville" w:eastAsia="MS PMincho" w:hAnsi="Baskerville" w:cs="Arabic Typesetting"/>
        </w:rPr>
        <w:t xml:space="preserve">Evidence from an ethnic studies curriculum, American Educational Research </w:t>
      </w:r>
    </w:p>
    <w:p w14:paraId="6A76297A" w14:textId="77777777" w:rsidR="00475A34" w:rsidRPr="007B25AE" w:rsidRDefault="00475A34" w:rsidP="00475A34">
      <w:pPr>
        <w:ind w:firstLine="720"/>
        <w:rPr>
          <w:rFonts w:ascii="Baskerville" w:eastAsia="MS PMincho" w:hAnsi="Baskerville" w:cs="Arabic Typesetting"/>
        </w:rPr>
      </w:pPr>
      <w:r w:rsidRPr="007B25AE">
        <w:rPr>
          <w:rFonts w:ascii="Baskerville" w:eastAsia="MS PMincho" w:hAnsi="Baskerville" w:cs="Arabic Typesetting"/>
        </w:rPr>
        <w:t>Journal, 54 (1), 127-166.</w:t>
      </w:r>
    </w:p>
    <w:p w14:paraId="52221312" w14:textId="77777777" w:rsidR="00475A34" w:rsidRPr="007B25AE" w:rsidRDefault="00475A34" w:rsidP="00475A34">
      <w:pPr>
        <w:ind w:firstLine="720"/>
        <w:rPr>
          <w:rFonts w:ascii="Baskerville" w:eastAsia="MS PMincho" w:hAnsi="Baskerville" w:cs="Arabic Typesetting"/>
        </w:rPr>
      </w:pPr>
    </w:p>
    <w:p w14:paraId="00428D02" w14:textId="77777777" w:rsidR="00475A34" w:rsidRPr="007B25AE" w:rsidRDefault="00475A34" w:rsidP="00475A34">
      <w:pPr>
        <w:rPr>
          <w:rFonts w:ascii="Baskerville" w:eastAsia="MS PMincho" w:hAnsi="Baskerville" w:cs="Arabic Typesetting"/>
        </w:rPr>
      </w:pPr>
      <w:r w:rsidRPr="007B25AE">
        <w:rPr>
          <w:rFonts w:ascii="Baskerville" w:eastAsia="MS PMincho" w:hAnsi="Baskerville" w:cs="Arabic Typesetting"/>
        </w:rPr>
        <w:t xml:space="preserve">Dee, Thomas S. and Gershenson, Seth (2017). Unconscious bias in the classroom: </w:t>
      </w:r>
    </w:p>
    <w:p w14:paraId="142835AF" w14:textId="77777777" w:rsidR="00475A34" w:rsidRPr="007B25AE" w:rsidRDefault="00475A34" w:rsidP="00475A34">
      <w:pPr>
        <w:ind w:firstLine="720"/>
        <w:rPr>
          <w:rFonts w:ascii="Baskerville" w:eastAsia="MS PMincho" w:hAnsi="Baskerville" w:cs="Arabic Typesetting"/>
        </w:rPr>
      </w:pPr>
      <w:r w:rsidRPr="007B25AE">
        <w:rPr>
          <w:rFonts w:ascii="Baskerville" w:eastAsia="MS PMincho" w:hAnsi="Baskerville" w:cs="Arabic Typesetting"/>
        </w:rPr>
        <w:t>Evidence and Opportunities, Mountain View, CA: Google Inc.</w:t>
      </w:r>
    </w:p>
    <w:p w14:paraId="65A037A4" w14:textId="77777777" w:rsidR="00475A34" w:rsidRPr="007B25AE" w:rsidRDefault="00475A34" w:rsidP="00475A34">
      <w:pPr>
        <w:rPr>
          <w:rFonts w:ascii="Baskerville" w:eastAsia="MS PMincho" w:hAnsi="Baskerville" w:cs="Arabic Typesetting"/>
        </w:rPr>
      </w:pPr>
    </w:p>
    <w:p w14:paraId="4E837835" w14:textId="77777777" w:rsidR="00475A34" w:rsidRPr="007B25AE" w:rsidRDefault="00475A34" w:rsidP="00475A34">
      <w:pPr>
        <w:spacing w:after="4"/>
        <w:rPr>
          <w:rFonts w:ascii="Baskerville" w:eastAsia="MS PMincho" w:hAnsi="Baskerville" w:cs="Arabic Typesetting"/>
          <w:color w:val="000000" w:themeColor="text1"/>
        </w:rPr>
      </w:pPr>
      <w:proofErr w:type="spellStart"/>
      <w:r w:rsidRPr="007B25AE">
        <w:rPr>
          <w:rFonts w:ascii="Baskerville" w:eastAsia="MS PMincho" w:hAnsi="Baskerville" w:cs="Arabic Typesetting"/>
          <w:color w:val="000000" w:themeColor="text1"/>
        </w:rPr>
        <w:t>DeMatthews</w:t>
      </w:r>
      <w:proofErr w:type="spellEnd"/>
      <w:r w:rsidRPr="007B25AE">
        <w:rPr>
          <w:rFonts w:ascii="Baskerville" w:eastAsia="MS PMincho" w:hAnsi="Baskerville" w:cs="Arabic Typesetting"/>
          <w:color w:val="000000" w:themeColor="text1"/>
        </w:rPr>
        <w:t xml:space="preserve">, David E., Carey, Roderick L., Olivarez, Arturo, Olivarez, Saeedi, Kevin </w:t>
      </w:r>
    </w:p>
    <w:p w14:paraId="24A76F4F" w14:textId="77777777" w:rsidR="00475A34" w:rsidRPr="007B25AE" w:rsidRDefault="00475A34" w:rsidP="00475A34">
      <w:pPr>
        <w:spacing w:after="4"/>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Moussavi (2017). Guilty as charged? Principles’ Perspectives on Disciplinary </w:t>
      </w:r>
    </w:p>
    <w:p w14:paraId="4665EC4F" w14:textId="77777777" w:rsidR="00475A34" w:rsidRPr="007B25AE" w:rsidRDefault="00475A34" w:rsidP="00475A34">
      <w:pPr>
        <w:spacing w:after="4"/>
        <w:ind w:left="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Practices and the Racial discipline Gap. Educational Administration Quarterly, SAGE, 0(0), 2. University of Texas. DOI: 10.1177/0013161x17714844.</w:t>
      </w:r>
    </w:p>
    <w:p w14:paraId="4F277EE5" w14:textId="77777777" w:rsidR="00475A34" w:rsidRPr="007B25AE" w:rsidRDefault="00475A34" w:rsidP="00475A34">
      <w:pPr>
        <w:spacing w:after="4"/>
        <w:ind w:left="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Journals.sagepub.com/home/</w:t>
      </w:r>
      <w:proofErr w:type="spellStart"/>
      <w:r w:rsidRPr="007B25AE">
        <w:rPr>
          <w:rFonts w:ascii="Baskerville" w:eastAsia="MS PMincho" w:hAnsi="Baskerville" w:cs="Arabic Typesetting"/>
          <w:color w:val="000000" w:themeColor="text1"/>
        </w:rPr>
        <w:t>eaq</w:t>
      </w:r>
      <w:proofErr w:type="spellEnd"/>
      <w:r w:rsidRPr="007B25AE">
        <w:rPr>
          <w:rFonts w:ascii="Baskerville" w:eastAsia="MS PMincho" w:hAnsi="Baskerville" w:cs="Arabic Typesetting"/>
          <w:color w:val="000000" w:themeColor="text1"/>
        </w:rPr>
        <w:t>.</w:t>
      </w:r>
    </w:p>
    <w:p w14:paraId="393BFC1F" w14:textId="77777777" w:rsidR="00475A34" w:rsidRPr="007B25AE" w:rsidRDefault="00475A34" w:rsidP="00475A34">
      <w:pPr>
        <w:rPr>
          <w:rFonts w:ascii="Baskerville" w:eastAsia="MS PMincho" w:hAnsi="Baskerville" w:cs="Arabic Typesetting"/>
        </w:rPr>
      </w:pPr>
    </w:p>
    <w:p w14:paraId="4D43FE70" w14:textId="77777777" w:rsidR="00475A34" w:rsidRPr="007B25AE" w:rsidRDefault="00475A34" w:rsidP="00475A34">
      <w:pPr>
        <w:spacing w:after="18" w:line="480" w:lineRule="auto"/>
        <w:ind w:left="225" w:right="38" w:hanging="24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Denzin, N. &amp; Lincoln, Y. (Eds.). (1994). Handbook of qualitative research. London: Sage.</w:t>
      </w:r>
    </w:p>
    <w:p w14:paraId="4484EBF9" w14:textId="77777777" w:rsidR="00475A34" w:rsidRPr="007B25AE" w:rsidRDefault="00475A34" w:rsidP="00475A34">
      <w:pPr>
        <w:spacing w:after="4"/>
        <w:ind w:left="235" w:hanging="25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Denzin, N. K. (1994). Symbolic interactionism and cultural studies: The politics of </w:t>
      </w:r>
    </w:p>
    <w:p w14:paraId="3A5D8EC4" w14:textId="77777777" w:rsidR="00475A34" w:rsidRPr="007B25AE" w:rsidRDefault="00475A34" w:rsidP="00475A34">
      <w:pPr>
        <w:spacing w:after="4"/>
        <w:ind w:left="235" w:firstLine="485"/>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interpretation. Cambridge, MA: Blackwell.</w:t>
      </w:r>
    </w:p>
    <w:p w14:paraId="7C54B87B" w14:textId="77777777" w:rsidR="000D439F" w:rsidRPr="007B25AE" w:rsidRDefault="000D439F" w:rsidP="00475A34">
      <w:pPr>
        <w:spacing w:after="4"/>
        <w:ind w:left="235" w:firstLine="485"/>
        <w:rPr>
          <w:rFonts w:ascii="Baskerville" w:eastAsia="MS PMincho" w:hAnsi="Baskerville" w:cs="Arabic Typesetting"/>
          <w:color w:val="000000" w:themeColor="text1"/>
        </w:rPr>
      </w:pPr>
    </w:p>
    <w:p w14:paraId="10C355CE" w14:textId="2944AED1" w:rsidR="000D439F" w:rsidRPr="007B25AE" w:rsidRDefault="000D439F" w:rsidP="000D439F">
      <w:pPr>
        <w:spacing w:after="4"/>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Developing Research Questions: Hypotheses and Variables. Pdf.</w:t>
      </w:r>
    </w:p>
    <w:p w14:paraId="457213F3" w14:textId="7902CE07" w:rsidR="000D439F" w:rsidRPr="007B25AE" w:rsidRDefault="000D439F" w:rsidP="000D439F">
      <w:pPr>
        <w:spacing w:after="4"/>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ab/>
        <w:t>https://uca.edu/psychology/files/2013/08/Ch4.</w:t>
      </w:r>
    </w:p>
    <w:p w14:paraId="54E09D5F" w14:textId="77777777" w:rsidR="00B43879" w:rsidRPr="007B25AE" w:rsidRDefault="00B43879" w:rsidP="00B43879">
      <w:pPr>
        <w:rPr>
          <w:rFonts w:ascii="Baskerville" w:eastAsia="MS PMincho" w:hAnsi="Baskerville" w:cs="Arabic Typesetting"/>
        </w:rPr>
      </w:pPr>
    </w:p>
    <w:p w14:paraId="48021DB4" w14:textId="77777777" w:rsidR="00B43879" w:rsidRPr="007B25AE" w:rsidRDefault="00B43879" w:rsidP="00B43879">
      <w:pPr>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Dilworth, Mary E. (1990, August). Reading between the he lines: Teachers and </w:t>
      </w:r>
      <w:proofErr w:type="gramStart"/>
      <w:r w:rsidRPr="007B25AE">
        <w:rPr>
          <w:rFonts w:ascii="Baskerville" w:eastAsia="MS PMincho" w:hAnsi="Baskerville" w:cs="Arabic Typesetting"/>
          <w:color w:val="000000" w:themeColor="text1"/>
        </w:rPr>
        <w:t>their</w:t>
      </w:r>
      <w:proofErr w:type="gramEnd"/>
      <w:r w:rsidRPr="007B25AE">
        <w:rPr>
          <w:rFonts w:ascii="Baskerville" w:eastAsia="MS PMincho" w:hAnsi="Baskerville" w:cs="Arabic Typesetting"/>
          <w:color w:val="000000" w:themeColor="text1"/>
        </w:rPr>
        <w:t xml:space="preserve"> </w:t>
      </w:r>
    </w:p>
    <w:p w14:paraId="143A5437" w14:textId="77777777" w:rsidR="00B43879" w:rsidRPr="007B25AE" w:rsidRDefault="00B43879" w:rsidP="00B43879">
      <w:pPr>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racial/ethnic cultures. Forward by Linda Darling Hammond. ERIC Clearing House on </w:t>
      </w:r>
    </w:p>
    <w:p w14:paraId="1CBD82F2" w14:textId="77777777" w:rsidR="00B43879" w:rsidRPr="007B25AE" w:rsidRDefault="00B43879" w:rsidP="00B43879">
      <w:pPr>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Teacher Education. </w:t>
      </w:r>
    </w:p>
    <w:p w14:paraId="3129E0A6" w14:textId="77777777" w:rsidR="00B43879" w:rsidRPr="007B25AE" w:rsidRDefault="00B43879" w:rsidP="00B43879">
      <w:pPr>
        <w:ind w:firstLine="720"/>
        <w:rPr>
          <w:rFonts w:ascii="Baskerville" w:eastAsia="MS PMincho" w:hAnsi="Baskerville" w:cs="Arabic Typesetting"/>
          <w:color w:val="000000" w:themeColor="text1"/>
        </w:rPr>
      </w:pPr>
    </w:p>
    <w:p w14:paraId="4CB4032D" w14:textId="77777777" w:rsidR="00B43879" w:rsidRPr="007B25AE" w:rsidRDefault="00B43879" w:rsidP="00B43879">
      <w:pPr>
        <w:rPr>
          <w:rFonts w:ascii="Baskerville" w:eastAsia="MS PMincho" w:hAnsi="Baskerville" w:cs="Arabic Typesetting"/>
        </w:rPr>
      </w:pPr>
      <w:r w:rsidRPr="007B25AE">
        <w:rPr>
          <w:rFonts w:ascii="Baskerville" w:eastAsia="MS PMincho" w:hAnsi="Baskerville" w:cs="Arabic Typesetting"/>
        </w:rPr>
        <w:t xml:space="preserve">DiPietro, Joanie (n.d.) Corporal Punishment in Beverly and Cambridge, MA: Just, or just </w:t>
      </w:r>
    </w:p>
    <w:p w14:paraId="30EAA991" w14:textId="77777777" w:rsidR="00B43879" w:rsidRPr="007B25AE" w:rsidRDefault="00B43879" w:rsidP="00B43879">
      <w:pPr>
        <w:ind w:firstLine="720"/>
        <w:rPr>
          <w:rFonts w:ascii="Baskerville" w:eastAsia="MS PMincho" w:hAnsi="Baskerville" w:cs="Arabic Typesetting"/>
        </w:rPr>
      </w:pPr>
      <w:r w:rsidRPr="007B25AE">
        <w:rPr>
          <w:rFonts w:ascii="Baskerville" w:eastAsia="MS PMincho" w:hAnsi="Baskerville" w:cs="Arabic Typesetting"/>
        </w:rPr>
        <w:t>plain (primaryresearch.org).</w:t>
      </w:r>
    </w:p>
    <w:p w14:paraId="5B7AB4A3" w14:textId="094A8C37" w:rsidR="00B43879" w:rsidRPr="007B25AE" w:rsidRDefault="00B43879" w:rsidP="00B43879">
      <w:pPr>
        <w:rPr>
          <w:rFonts w:ascii="Baskerville" w:eastAsia="MS PMincho" w:hAnsi="Baskerville" w:cs="Arabic Typesetting"/>
          <w:color w:val="000000" w:themeColor="text1"/>
        </w:rPr>
      </w:pPr>
    </w:p>
    <w:p w14:paraId="0D70A97C" w14:textId="36DBB85D" w:rsidR="00B43879" w:rsidRPr="007B25AE" w:rsidRDefault="00B43879" w:rsidP="00B43879">
      <w:pPr>
        <w:rPr>
          <w:rFonts w:ascii="Baskerville" w:eastAsia="MS PMincho" w:hAnsi="Baskerville" w:cs="Arabic Typesetting"/>
        </w:rPr>
      </w:pPr>
      <w:r w:rsidRPr="007B25AE">
        <w:rPr>
          <w:rFonts w:ascii="Baskerville" w:eastAsia="MS PMincho" w:hAnsi="Baskerville" w:cs="Arabic Typesetting"/>
        </w:rPr>
        <w:t xml:space="preserve">Drake S., Cowen, J.M., Auletto, A.(2019, May).Race and gender difference in teacher </w:t>
      </w:r>
    </w:p>
    <w:p w14:paraId="3622AC79" w14:textId="77777777" w:rsidR="00B43879" w:rsidRPr="007B25AE" w:rsidRDefault="00B43879" w:rsidP="00B43879">
      <w:pPr>
        <w:ind w:firstLine="720"/>
        <w:rPr>
          <w:rFonts w:ascii="Baskerville" w:eastAsia="MS PMincho" w:hAnsi="Baskerville" w:cs="Arabic Typesetting"/>
        </w:rPr>
      </w:pPr>
      <w:r w:rsidRPr="007B25AE">
        <w:rPr>
          <w:rFonts w:ascii="Baskerville" w:eastAsia="MS PMincho" w:hAnsi="Baskerville" w:cs="Arabic Typesetting"/>
        </w:rPr>
        <w:t>evaluation ratings and teacher employment outcomes. Epic, Retrieved from :</w:t>
      </w:r>
    </w:p>
    <w:p w14:paraId="6B3F8129" w14:textId="77777777" w:rsidR="00B43879" w:rsidRPr="007B25AE" w:rsidRDefault="00B43879" w:rsidP="00B43879">
      <w:pPr>
        <w:ind w:firstLine="720"/>
        <w:rPr>
          <w:rFonts w:ascii="Baskerville" w:eastAsia="MS PMincho" w:hAnsi="Baskerville" w:cs="Arabic Typesetting"/>
        </w:rPr>
      </w:pPr>
      <w:hyperlink r:id="rId18" w:history="1">
        <w:r w:rsidRPr="007B25AE">
          <w:rPr>
            <w:rStyle w:val="Hyperlink"/>
            <w:rFonts w:ascii="Baskerville" w:eastAsia="MS PMincho" w:hAnsi="Baskerville" w:cs="Arabic Typesetting"/>
          </w:rPr>
          <w:t>https://epicedpolicy</w:t>
        </w:r>
      </w:hyperlink>
      <w:r w:rsidRPr="007B25AE">
        <w:rPr>
          <w:rFonts w:ascii="Baskerville" w:eastAsia="MS PMincho" w:hAnsi="Baskerville" w:cs="Arabic Typesetting"/>
        </w:rPr>
        <w:t xml:space="preserve"> org/wp-content/uploads/2019/05/race-</w:t>
      </w:r>
      <w:proofErr w:type="spellStart"/>
      <w:r w:rsidRPr="007B25AE">
        <w:rPr>
          <w:rFonts w:ascii="Baskerville" w:eastAsia="MS PMincho" w:hAnsi="Baskerville" w:cs="Arabic Typesetting"/>
        </w:rPr>
        <w:t>abd</w:t>
      </w:r>
      <w:proofErr w:type="spellEnd"/>
      <w:r w:rsidRPr="007B25AE">
        <w:rPr>
          <w:rFonts w:ascii="Baskerville" w:eastAsia="MS PMincho" w:hAnsi="Baskerville" w:cs="Arabic Typesetting"/>
        </w:rPr>
        <w:t>-gender-policy-</w:t>
      </w:r>
    </w:p>
    <w:p w14:paraId="7E4AEE9D" w14:textId="5E7FE3D1" w:rsidR="00B43879" w:rsidRPr="007B25AE" w:rsidRDefault="00B43879" w:rsidP="00923661">
      <w:pPr>
        <w:ind w:firstLine="720"/>
        <w:rPr>
          <w:rFonts w:ascii="Baskerville" w:eastAsia="MS PMincho" w:hAnsi="Baskerville" w:cs="Arabic Typesetting"/>
        </w:rPr>
      </w:pPr>
      <w:r w:rsidRPr="007B25AE">
        <w:rPr>
          <w:rFonts w:ascii="Baskerville" w:eastAsia="MS PMincho" w:hAnsi="Baskerville" w:cs="Arabic Typesetting"/>
        </w:rPr>
        <w:t>brief4WEB pdf.</w:t>
      </w:r>
    </w:p>
    <w:p w14:paraId="1BB0EC75" w14:textId="77777777" w:rsidR="00B43879" w:rsidRPr="007B25AE" w:rsidRDefault="00B43879" w:rsidP="00B43879">
      <w:pPr>
        <w:rPr>
          <w:rFonts w:ascii="Baskerville" w:eastAsia="MS PMincho" w:hAnsi="Baskerville" w:cs="Arabic Typesetting"/>
        </w:rPr>
      </w:pPr>
    </w:p>
    <w:p w14:paraId="6D6BFBE0" w14:textId="5F4A2641" w:rsidR="00B43879" w:rsidRPr="007B25AE" w:rsidRDefault="00B43879" w:rsidP="00B43879">
      <w:pPr>
        <w:rPr>
          <w:rFonts w:ascii="Baskerville" w:eastAsia="MS PMincho" w:hAnsi="Baskerville" w:cs="Arabic Typesetting"/>
        </w:rPr>
      </w:pPr>
      <w:r w:rsidRPr="007B25AE">
        <w:rPr>
          <w:rFonts w:ascii="Baskerville" w:eastAsia="MS PMincho" w:hAnsi="Baskerville" w:cs="Arabic Typesetting"/>
        </w:rPr>
        <w:t xml:space="preserve">DuBois, C.C. &amp; Schanzenbach, D.W. (2017) The effect of Court-Ordered hiring guidelines </w:t>
      </w:r>
    </w:p>
    <w:p w14:paraId="032B4867" w14:textId="76FB525C" w:rsidR="00ED4FE4" w:rsidRPr="007B25AE" w:rsidRDefault="00B43879" w:rsidP="00571DBB">
      <w:pPr>
        <w:ind w:left="720"/>
        <w:rPr>
          <w:rFonts w:ascii="Baskerville" w:eastAsia="MS PMincho" w:hAnsi="Baskerville" w:cs="Arabic Typesetting"/>
        </w:rPr>
      </w:pPr>
      <w:r w:rsidRPr="007B25AE">
        <w:rPr>
          <w:rFonts w:ascii="Baskerville" w:eastAsia="MS PMincho" w:hAnsi="Baskerville" w:cs="Arabic Typesetting"/>
        </w:rPr>
        <w:t>teacher composition and student achievement (No. w24111). National Bureau of Economic Research.</w:t>
      </w:r>
    </w:p>
    <w:p w14:paraId="03AE2FCA" w14:textId="77777777" w:rsidR="00B43879" w:rsidRPr="007B25AE" w:rsidRDefault="00B43879" w:rsidP="00B43879">
      <w:pPr>
        <w:rPr>
          <w:rFonts w:ascii="Baskerville" w:eastAsia="MS PMincho" w:hAnsi="Baskerville" w:cs="Arabic Typesetting"/>
        </w:rPr>
      </w:pPr>
    </w:p>
    <w:p w14:paraId="0BF1CA76" w14:textId="08DA397A" w:rsidR="00B43879" w:rsidRPr="007B25AE" w:rsidRDefault="00B43879" w:rsidP="00B43879">
      <w:pPr>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Dworkin, A.G. (1980). The changing demography of teachers: Some implication for faculty </w:t>
      </w:r>
    </w:p>
    <w:p w14:paraId="4A29C9C8" w14:textId="77777777" w:rsidR="00ED4FE4" w:rsidRPr="007B25AE" w:rsidRDefault="00B43879" w:rsidP="00ED4FE4">
      <w:pPr>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turnover in urban areas. Sociology of Education, 53, 63-73. EJ 222558.</w:t>
      </w:r>
    </w:p>
    <w:p w14:paraId="35CB6F52" w14:textId="11AF710D" w:rsidR="00475A34" w:rsidRPr="007B25AE" w:rsidRDefault="000B4B04" w:rsidP="00ED4FE4">
      <w:pPr>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br/>
      </w:r>
      <w:r w:rsidR="00475A34" w:rsidRPr="007B25AE">
        <w:rPr>
          <w:rFonts w:ascii="Baskerville" w:eastAsia="MS PMincho" w:hAnsi="Baskerville" w:cs="Arabic Typesetting"/>
        </w:rPr>
        <w:t xml:space="preserve">Egalite, A. J., </w:t>
      </w:r>
      <w:proofErr w:type="spellStart"/>
      <w:r w:rsidR="00475A34" w:rsidRPr="007B25AE">
        <w:rPr>
          <w:rFonts w:ascii="Baskerville" w:eastAsia="MS PMincho" w:hAnsi="Baskerville" w:cs="Arabic Typesetting"/>
        </w:rPr>
        <w:t>Kisda</w:t>
      </w:r>
      <w:proofErr w:type="spellEnd"/>
      <w:r w:rsidR="00475A34" w:rsidRPr="007B25AE">
        <w:rPr>
          <w:rFonts w:ascii="Baskerville" w:eastAsia="MS PMincho" w:hAnsi="Baskerville" w:cs="Arabic Typesetting"/>
        </w:rPr>
        <w:t>, B., &amp; Winters,</w:t>
      </w:r>
      <w:r w:rsidR="00C143B9" w:rsidRPr="007B25AE">
        <w:rPr>
          <w:rFonts w:ascii="Baskerville" w:eastAsia="MS PMincho" w:hAnsi="Baskerville" w:cs="Arabic Typesetting"/>
        </w:rPr>
        <w:t xml:space="preserve"> </w:t>
      </w:r>
      <w:r w:rsidR="00475A34" w:rsidRPr="007B25AE">
        <w:rPr>
          <w:rFonts w:ascii="Baskerville" w:eastAsia="MS PMincho" w:hAnsi="Baskerville" w:cs="Arabic Typesetting"/>
        </w:rPr>
        <w:t xml:space="preserve">M.A. (2015). Representation in the classroom: The effect </w:t>
      </w:r>
    </w:p>
    <w:p w14:paraId="587A6CBD" w14:textId="77777777" w:rsidR="00475A34" w:rsidRPr="007B25AE" w:rsidRDefault="00475A34" w:rsidP="00475A34">
      <w:pPr>
        <w:ind w:left="720"/>
        <w:rPr>
          <w:rFonts w:ascii="Baskerville" w:eastAsia="MS PMincho" w:hAnsi="Baskerville" w:cs="Arabic Typesetting"/>
        </w:rPr>
      </w:pPr>
      <w:r w:rsidRPr="007B25AE">
        <w:rPr>
          <w:rFonts w:ascii="Baskerville" w:eastAsia="MS PMincho" w:hAnsi="Baskerville" w:cs="Arabic Typesetting"/>
        </w:rPr>
        <w:t>of own race teachers on student achievement. Economics of Education Review, 45, 44-52.</w:t>
      </w:r>
    </w:p>
    <w:p w14:paraId="44980BF9" w14:textId="77777777" w:rsidR="00C143B9" w:rsidRPr="007B25AE" w:rsidRDefault="00C143B9" w:rsidP="00475A34">
      <w:pPr>
        <w:ind w:left="720"/>
        <w:rPr>
          <w:rFonts w:ascii="Baskerville" w:eastAsia="MS PMincho" w:hAnsi="Baskerville" w:cs="Arabic Typesetting"/>
        </w:rPr>
      </w:pPr>
    </w:p>
    <w:p w14:paraId="3E2A0480" w14:textId="4534B278" w:rsidR="00C143B9" w:rsidRPr="007B25AE" w:rsidRDefault="00C143B9" w:rsidP="00C143B9">
      <w:pPr>
        <w:rPr>
          <w:rFonts w:ascii="Baskerville" w:eastAsia="MS PMincho" w:hAnsi="Baskerville" w:cs="Arabic Typesetting"/>
        </w:rPr>
      </w:pPr>
      <w:r w:rsidRPr="007B25AE">
        <w:rPr>
          <w:rFonts w:ascii="Baskerville" w:eastAsia="MS PMincho" w:hAnsi="Baskerville" w:cs="Arabic Typesetting"/>
        </w:rPr>
        <w:t xml:space="preserve">Education Research Center: Massachusetts </w:t>
      </w:r>
    </w:p>
    <w:p w14:paraId="587C9909" w14:textId="77777777" w:rsidR="000B4B04" w:rsidRPr="007B25AE" w:rsidRDefault="000B4B04" w:rsidP="00230873">
      <w:pPr>
        <w:rPr>
          <w:rFonts w:ascii="Baskerville" w:eastAsia="MS PMincho" w:hAnsi="Baskerville" w:cs="Arabic Typesetting"/>
        </w:rPr>
      </w:pPr>
    </w:p>
    <w:p w14:paraId="3F07D4C6" w14:textId="4CE50413" w:rsidR="000B4B04" w:rsidRPr="007B25AE" w:rsidRDefault="000B4B04" w:rsidP="000B4B04">
      <w:pPr>
        <w:spacing w:after="18" w:line="480" w:lineRule="auto"/>
        <w:ind w:left="-5" w:right="38" w:hanging="1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Feagin, J. R., &amp; Vera, H. (1995). White racism. New York: Routledge.</w:t>
      </w:r>
    </w:p>
    <w:p w14:paraId="0C518A13" w14:textId="2F2AB832" w:rsidR="00DC2F2E" w:rsidRPr="007B25AE" w:rsidRDefault="00DC2F2E" w:rsidP="00DC2F2E">
      <w:pPr>
        <w:rPr>
          <w:rFonts w:ascii="Baskerville" w:eastAsia="MS PMincho" w:hAnsi="Baskerville" w:cs="Arabic Typesetting"/>
        </w:rPr>
      </w:pPr>
      <w:r w:rsidRPr="007B25AE">
        <w:rPr>
          <w:rFonts w:ascii="Baskerville" w:eastAsia="MS PMincho" w:hAnsi="Baskerville" w:cs="Arabic Typesetting"/>
        </w:rPr>
        <w:t xml:space="preserve">Ferguson, Ronald F. (2003). Teacher’s perceptions and expectations and the </w:t>
      </w:r>
      <w:proofErr w:type="gramStart"/>
      <w:r w:rsidRPr="007B25AE">
        <w:rPr>
          <w:rFonts w:ascii="Baskerville" w:eastAsia="MS PMincho" w:hAnsi="Baskerville" w:cs="Arabic Typesetting"/>
        </w:rPr>
        <w:t>Black-White</w:t>
      </w:r>
      <w:proofErr w:type="gramEnd"/>
      <w:r w:rsidRPr="007B25AE">
        <w:rPr>
          <w:rFonts w:ascii="Baskerville" w:eastAsia="MS PMincho" w:hAnsi="Baskerville" w:cs="Arabic Typesetting"/>
        </w:rPr>
        <w:t xml:space="preserve"> </w:t>
      </w:r>
    </w:p>
    <w:p w14:paraId="71A641A1" w14:textId="111A014F" w:rsidR="00475A34" w:rsidRPr="007B25AE" w:rsidRDefault="00DC2F2E" w:rsidP="00475A34">
      <w:pPr>
        <w:ind w:firstLine="720"/>
        <w:rPr>
          <w:rFonts w:ascii="Baskerville" w:eastAsia="MS PMincho" w:hAnsi="Baskerville" w:cs="Arabic Typesetting"/>
        </w:rPr>
      </w:pPr>
      <w:r w:rsidRPr="007B25AE">
        <w:rPr>
          <w:rFonts w:ascii="Baskerville" w:eastAsia="MS PMincho" w:hAnsi="Baskerville" w:cs="Arabic Typesetting"/>
        </w:rPr>
        <w:t>test.</w:t>
      </w:r>
    </w:p>
    <w:p w14:paraId="3961F91D" w14:textId="77777777" w:rsidR="00AF06C5" w:rsidRPr="007B25AE" w:rsidRDefault="00AF06C5" w:rsidP="00AF06C5">
      <w:pPr>
        <w:ind w:firstLine="720"/>
        <w:rPr>
          <w:rFonts w:ascii="Baskerville" w:eastAsia="MS PMincho" w:hAnsi="Baskerville" w:cs="Arabic Typesetting"/>
        </w:rPr>
      </w:pPr>
    </w:p>
    <w:p w14:paraId="2A7A75FD" w14:textId="32E3168E" w:rsidR="000B4B04" w:rsidRPr="007B25AE" w:rsidRDefault="000B4B04" w:rsidP="000B4B04">
      <w:pPr>
        <w:spacing w:after="4"/>
        <w:ind w:left="-15"/>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Fine, M. (1991). Framing dropouts: Notes on the politics of an urban public high school.</w:t>
      </w:r>
    </w:p>
    <w:p w14:paraId="370D3E62" w14:textId="77777777" w:rsidR="000B4B04" w:rsidRPr="007B25AE" w:rsidRDefault="000B4B04" w:rsidP="000B4B04">
      <w:pPr>
        <w:spacing w:after="18"/>
        <w:ind w:left="250" w:right="38" w:firstLine="47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Albany: State University of New York Press.</w:t>
      </w:r>
    </w:p>
    <w:p w14:paraId="121EF66B" w14:textId="77777777" w:rsidR="000B4B04" w:rsidRPr="007B25AE" w:rsidRDefault="000B4B04" w:rsidP="000B4B04">
      <w:pPr>
        <w:spacing w:after="18"/>
        <w:ind w:left="250" w:right="38" w:firstLine="470"/>
        <w:rPr>
          <w:rFonts w:ascii="Baskerville" w:eastAsia="MS PMincho" w:hAnsi="Baskerville" w:cs="Arabic Typesetting"/>
          <w:color w:val="000000" w:themeColor="text1"/>
        </w:rPr>
      </w:pPr>
    </w:p>
    <w:p w14:paraId="70DD6522" w14:textId="4A582728" w:rsidR="00475A34" w:rsidRPr="007B25AE" w:rsidRDefault="000B4B04" w:rsidP="00DD3411">
      <w:pPr>
        <w:spacing w:line="480" w:lineRule="auto"/>
        <w:rPr>
          <w:rFonts w:ascii="Baskerville" w:eastAsia="MS PMincho" w:hAnsi="Baskerville" w:cs="Arabic Typesetting"/>
        </w:rPr>
      </w:pPr>
      <w:r w:rsidRPr="007B25AE">
        <w:rPr>
          <w:rFonts w:ascii="Baskerville" w:eastAsia="MS PMincho" w:hAnsi="Baskerville" w:cs="Arabic Typesetting"/>
        </w:rPr>
        <w:t xml:space="preserve">Foster, Michele (1997). Black teachers on teaching. New York, N.Y., New Press. </w:t>
      </w:r>
    </w:p>
    <w:p w14:paraId="23FC4025" w14:textId="1ECD7041" w:rsidR="00AF06C5" w:rsidRPr="007B25AE" w:rsidRDefault="000B4B04" w:rsidP="00AF06C5">
      <w:pPr>
        <w:spacing w:after="18"/>
        <w:ind w:left="225" w:right="38" w:hanging="24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Frankenberg, R. (Ed.)</w:t>
      </w:r>
      <w:r w:rsidR="00DD3411" w:rsidRPr="007B25AE">
        <w:rPr>
          <w:rFonts w:ascii="Baskerville" w:eastAsia="MS PMincho" w:hAnsi="Baskerville" w:cs="Arabic Typesetting"/>
          <w:color w:val="000000" w:themeColor="text1"/>
        </w:rPr>
        <w:t xml:space="preserve"> (n.d.).</w:t>
      </w:r>
      <w:r w:rsidRPr="007B25AE">
        <w:rPr>
          <w:rFonts w:ascii="Baskerville" w:eastAsia="MS PMincho" w:hAnsi="Baskerville" w:cs="Arabic Typesetting"/>
          <w:color w:val="000000" w:themeColor="text1"/>
        </w:rPr>
        <w:t xml:space="preserve"> Displacing Whiteness: Essays in social and cultural criticism</w:t>
      </w:r>
    </w:p>
    <w:p w14:paraId="4CB00204" w14:textId="6982ED99" w:rsidR="000B4B04" w:rsidRPr="007B25AE" w:rsidRDefault="000B4B04" w:rsidP="00AF06C5">
      <w:pPr>
        <w:spacing w:after="18"/>
        <w:ind w:left="225" w:right="38" w:firstLine="495"/>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(pp. 1–33). Durham, NC: Duke University Press.</w:t>
      </w:r>
    </w:p>
    <w:p w14:paraId="07F5B473" w14:textId="77777777" w:rsidR="00475A34" w:rsidRPr="007B25AE" w:rsidRDefault="00475A34" w:rsidP="00AF06C5">
      <w:pPr>
        <w:spacing w:after="18"/>
        <w:ind w:left="225" w:right="38" w:firstLine="495"/>
        <w:rPr>
          <w:rFonts w:ascii="Baskerville" w:eastAsia="MS PMincho" w:hAnsi="Baskerville" w:cs="Arabic Typesetting"/>
          <w:color w:val="000000" w:themeColor="text1"/>
        </w:rPr>
      </w:pPr>
    </w:p>
    <w:p w14:paraId="4F611E23" w14:textId="77777777" w:rsidR="00475A34" w:rsidRPr="007B25AE" w:rsidRDefault="00475A34" w:rsidP="00475A34">
      <w:pPr>
        <w:spacing w:after="18"/>
        <w:ind w:right="38"/>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Frankenberg, R. (1997). Introduction: Local </w:t>
      </w:r>
      <w:proofErr w:type="spellStart"/>
      <w:r w:rsidRPr="007B25AE">
        <w:rPr>
          <w:rFonts w:ascii="Baskerville" w:eastAsia="MS PMincho" w:hAnsi="Baskerville" w:cs="Arabic Typesetting"/>
          <w:color w:val="000000" w:themeColor="text1"/>
        </w:rPr>
        <w:t>Whitenesses</w:t>
      </w:r>
      <w:proofErr w:type="spellEnd"/>
      <w:r w:rsidRPr="007B25AE">
        <w:rPr>
          <w:rFonts w:ascii="Baskerville" w:eastAsia="MS PMincho" w:hAnsi="Baskerville" w:cs="Arabic Typesetting"/>
          <w:color w:val="000000" w:themeColor="text1"/>
        </w:rPr>
        <w:t xml:space="preserve">, localizing Whiteness. Durham, </w:t>
      </w:r>
    </w:p>
    <w:p w14:paraId="583EB649" w14:textId="6E7D137A" w:rsidR="00475A34" w:rsidRPr="007B25AE" w:rsidRDefault="00475A34" w:rsidP="00475A34">
      <w:pPr>
        <w:spacing w:after="18"/>
        <w:ind w:right="38"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NC: Duke University Press.</w:t>
      </w:r>
    </w:p>
    <w:p w14:paraId="29E8AA8E" w14:textId="77777777" w:rsidR="00DD3411" w:rsidRPr="007B25AE" w:rsidRDefault="00DD3411" w:rsidP="000B4B04">
      <w:pPr>
        <w:spacing w:after="18"/>
        <w:ind w:right="38"/>
        <w:rPr>
          <w:rFonts w:ascii="Baskerville" w:eastAsia="MS PMincho" w:hAnsi="Baskerville" w:cs="Arabic Typesetting"/>
          <w:color w:val="000000" w:themeColor="text1"/>
        </w:rPr>
      </w:pPr>
    </w:p>
    <w:p w14:paraId="0D90829B" w14:textId="0C3AC687" w:rsidR="00AF06C5" w:rsidRPr="007B25AE" w:rsidRDefault="000B4B04" w:rsidP="000B4B04">
      <w:pPr>
        <w:spacing w:after="18"/>
        <w:ind w:right="38"/>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Fried, Rebecca (2018, Sept. 30). Abiel Smith School (1798-1855). Black Post African </w:t>
      </w:r>
    </w:p>
    <w:p w14:paraId="50F44CCB" w14:textId="1493D55C" w:rsidR="009773F2" w:rsidRPr="007B25AE" w:rsidRDefault="000B4B04" w:rsidP="00F47DF2">
      <w:pPr>
        <w:spacing w:after="18"/>
        <w:ind w:right="38"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American Institution.</w:t>
      </w:r>
    </w:p>
    <w:p w14:paraId="10DB4D92" w14:textId="4560FD13" w:rsidR="000B4B04" w:rsidRPr="007B25AE" w:rsidRDefault="009773F2" w:rsidP="009773F2">
      <w:pPr>
        <w:pStyle w:val="NormalWeb"/>
        <w:rPr>
          <w:rFonts w:ascii="Baskerville" w:eastAsia="MS PMincho" w:hAnsi="Baskerville" w:cs="Arabic Typesetting"/>
        </w:rPr>
      </w:pPr>
      <w:r w:rsidRPr="007B25AE">
        <w:rPr>
          <w:rFonts w:ascii="Baskerville" w:eastAsia="MS PMincho" w:hAnsi="Baskerville" w:cs="Arabic Typesetting"/>
        </w:rPr>
        <w:t xml:space="preserve">Friedman, Leon. (Ed.). (n. d). The landmark oral argument before the Supreme Court.         </w:t>
      </w:r>
    </w:p>
    <w:p w14:paraId="483B9695" w14:textId="77777777" w:rsidR="000B4B04"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Gandolph, </w:t>
      </w:r>
      <w:proofErr w:type="spellStart"/>
      <w:r w:rsidRPr="007B25AE">
        <w:rPr>
          <w:rFonts w:ascii="Baskerville" w:eastAsia="MS PMincho" w:hAnsi="Baskerville" w:cs="Arabic Typesetting"/>
        </w:rPr>
        <w:t>Alysssa</w:t>
      </w:r>
      <w:proofErr w:type="spellEnd"/>
      <w:r w:rsidRPr="007B25AE">
        <w:rPr>
          <w:rFonts w:ascii="Baskerville" w:eastAsia="MS PMincho" w:hAnsi="Baskerville" w:cs="Arabic Typesetting"/>
        </w:rPr>
        <w:t xml:space="preserve"> Amber (2021, May). Contemporary segregation since Brown v. Board of </w:t>
      </w:r>
    </w:p>
    <w:p w14:paraId="310CA2FA" w14:textId="77777777" w:rsidR="000B4B04" w:rsidRPr="007B25AE" w:rsidRDefault="000B4B04" w:rsidP="000B4B04">
      <w:pPr>
        <w:ind w:firstLine="720"/>
        <w:rPr>
          <w:rFonts w:ascii="Baskerville" w:eastAsia="MS PMincho" w:hAnsi="Baskerville" w:cs="Arabic Typesetting"/>
        </w:rPr>
      </w:pPr>
      <w:r w:rsidRPr="007B25AE">
        <w:rPr>
          <w:rFonts w:ascii="Baskerville" w:eastAsia="MS PMincho" w:hAnsi="Baskerville" w:cs="Arabic Typesetting"/>
        </w:rPr>
        <w:t xml:space="preserve">Education: The role of White parents. A thesis submitted to the W. A. Franke Heron </w:t>
      </w:r>
    </w:p>
    <w:p w14:paraId="4CD52A49" w14:textId="77777777" w:rsidR="000B4B04" w:rsidRPr="007B25AE" w:rsidRDefault="000B4B04" w:rsidP="000B4B04">
      <w:pPr>
        <w:ind w:firstLine="720"/>
        <w:rPr>
          <w:rFonts w:ascii="Baskerville" w:eastAsia="MS PMincho" w:hAnsi="Baskerville" w:cs="Arabic Typesetting"/>
        </w:rPr>
      </w:pPr>
      <w:r w:rsidRPr="007B25AE">
        <w:rPr>
          <w:rFonts w:ascii="Baskerville" w:eastAsia="MS PMincho" w:hAnsi="Baskerville" w:cs="Arabic Typesetting"/>
        </w:rPr>
        <w:t xml:space="preserve">College. </w:t>
      </w:r>
    </w:p>
    <w:p w14:paraId="20CBFC04" w14:textId="231C3D40" w:rsidR="00AF06C5" w:rsidRPr="007B25AE" w:rsidRDefault="000B4B04" w:rsidP="00AF06C5">
      <w:pPr>
        <w:ind w:firstLine="720"/>
        <w:rPr>
          <w:rFonts w:ascii="Baskerville" w:eastAsia="MS PMincho" w:hAnsi="Baskerville" w:cs="Arabic Typesetting"/>
        </w:rPr>
      </w:pPr>
      <w:r w:rsidRPr="007B25AE">
        <w:rPr>
          <w:rFonts w:ascii="Baskerville" w:eastAsia="MS PMincho" w:hAnsi="Baskerville" w:cs="Arabic Typesetting"/>
        </w:rPr>
        <w:t xml:space="preserve">  </w:t>
      </w:r>
    </w:p>
    <w:p w14:paraId="0368BF1E" w14:textId="77777777" w:rsidR="000B4B04" w:rsidRPr="007B25AE" w:rsidRDefault="000B4B04" w:rsidP="000B4B04">
      <w:pPr>
        <w:spacing w:after="4"/>
        <w:ind w:left="235" w:hanging="25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Gay, G. (2000). Culturally responsive teaching: Theory, research and practice. New York: </w:t>
      </w:r>
    </w:p>
    <w:p w14:paraId="647887E3" w14:textId="77777777" w:rsidR="000B4B04" w:rsidRPr="007B25AE" w:rsidRDefault="000B4B04" w:rsidP="000B4B04">
      <w:pPr>
        <w:spacing w:after="4"/>
        <w:ind w:left="235" w:firstLine="485"/>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Teachers College Press.</w:t>
      </w:r>
    </w:p>
    <w:p w14:paraId="0ACB0FD6" w14:textId="77777777" w:rsidR="00AF06C5" w:rsidRPr="007B25AE" w:rsidRDefault="00AF06C5" w:rsidP="000B4B04">
      <w:pPr>
        <w:rPr>
          <w:rFonts w:ascii="Baskerville" w:eastAsia="MS PMincho" w:hAnsi="Baskerville" w:cs="Arabic Typesetting"/>
        </w:rPr>
      </w:pPr>
    </w:p>
    <w:p w14:paraId="33889DA9" w14:textId="5C357B61" w:rsidR="00AF06C5"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Gershenson, Seth; Hart, Cassandra M.D., Hyman, Joshua; Lindsay, Constance &amp; </w:t>
      </w:r>
    </w:p>
    <w:p w14:paraId="0DE4192F" w14:textId="77777777" w:rsidR="00AF06C5" w:rsidRPr="007B25AE" w:rsidRDefault="000B4B04" w:rsidP="00AF06C5">
      <w:pPr>
        <w:ind w:firstLine="720"/>
        <w:rPr>
          <w:rFonts w:ascii="Baskerville" w:eastAsia="MS PMincho" w:hAnsi="Baskerville" w:cs="Arabic Typesetting"/>
        </w:rPr>
      </w:pPr>
      <w:r w:rsidRPr="007B25AE">
        <w:rPr>
          <w:rFonts w:ascii="Baskerville" w:eastAsia="MS PMincho" w:hAnsi="Baskerville" w:cs="Arabic Typesetting"/>
        </w:rPr>
        <w:t xml:space="preserve">Papageorge, Nicholas W. (2021, February). The long-run impact of same race </w:t>
      </w:r>
    </w:p>
    <w:p w14:paraId="545F41C8" w14:textId="77777777" w:rsidR="00AF06C5" w:rsidRPr="007B25AE" w:rsidRDefault="000B4B04" w:rsidP="00AF06C5">
      <w:pPr>
        <w:ind w:firstLine="720"/>
        <w:rPr>
          <w:rFonts w:ascii="Baskerville" w:eastAsia="MS PMincho" w:hAnsi="Baskerville" w:cs="Arabic Typesetting"/>
        </w:rPr>
      </w:pPr>
      <w:r w:rsidRPr="007B25AE">
        <w:rPr>
          <w:rFonts w:ascii="Baskerville" w:eastAsia="MS PMincho" w:hAnsi="Baskerville" w:cs="Arabic Typesetting"/>
        </w:rPr>
        <w:t xml:space="preserve">teachers. National Bureau of Economic Research Working Papers 25254. pub. </w:t>
      </w:r>
    </w:p>
    <w:p w14:paraId="71AE5DA7" w14:textId="21193D9A" w:rsidR="007063A4" w:rsidRPr="007B25AE" w:rsidRDefault="000B4B04" w:rsidP="00C11906">
      <w:pPr>
        <w:ind w:firstLine="720"/>
        <w:rPr>
          <w:rFonts w:ascii="Baskerville" w:eastAsia="MS PMincho" w:hAnsi="Baskerville" w:cs="Arabic Typesetting"/>
        </w:rPr>
      </w:pPr>
      <w:r w:rsidRPr="007B25AE">
        <w:rPr>
          <w:rFonts w:ascii="Baskerville" w:eastAsia="MS PMincho" w:hAnsi="Baskerville" w:cs="Arabic Typesetting"/>
        </w:rPr>
        <w:t>November 2018.</w:t>
      </w:r>
      <w:hyperlink r:id="rId19" w:history="1">
        <w:r w:rsidR="00AF06C5" w:rsidRPr="007B25AE">
          <w:rPr>
            <w:rStyle w:val="Hyperlink"/>
            <w:rFonts w:ascii="Baskerville" w:eastAsia="MS PMincho" w:hAnsi="Baskerville" w:cs="Arabic Typesetting"/>
          </w:rPr>
          <w:t>https://www.nber.org/papers/25254</w:t>
        </w:r>
      </w:hyperlink>
      <w:r w:rsidRPr="007B25AE">
        <w:rPr>
          <w:rFonts w:ascii="Baskerville" w:eastAsia="MS PMincho" w:hAnsi="Baskerville" w:cs="Arabic Typesetting"/>
        </w:rPr>
        <w:t>.</w:t>
      </w:r>
    </w:p>
    <w:p w14:paraId="7C4471D3" w14:textId="77777777" w:rsidR="007063A4" w:rsidRPr="007B25AE" w:rsidRDefault="007063A4" w:rsidP="00AF06C5">
      <w:pPr>
        <w:ind w:firstLine="720"/>
        <w:rPr>
          <w:rFonts w:ascii="Baskerville" w:eastAsia="MS PMincho" w:hAnsi="Baskerville" w:cs="Arabic Typesetting"/>
        </w:rPr>
      </w:pPr>
    </w:p>
    <w:p w14:paraId="088CD306" w14:textId="6521F20A" w:rsidR="000B4B04"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Gershoff, Elizabeth T. &amp; Fort, Sarah A. (2018, Jan. 12). Corporal punishment in U.S. public </w:t>
      </w:r>
    </w:p>
    <w:p w14:paraId="185D4DCB" w14:textId="77777777" w:rsidR="00AF06C5" w:rsidRPr="007B25AE" w:rsidRDefault="000B4B04" w:rsidP="000B4B04">
      <w:pPr>
        <w:ind w:firstLine="720"/>
        <w:rPr>
          <w:rFonts w:ascii="Baskerville" w:eastAsia="MS PMincho" w:hAnsi="Baskerville" w:cs="Arabic Typesetting"/>
        </w:rPr>
      </w:pPr>
      <w:r w:rsidRPr="007B25AE">
        <w:rPr>
          <w:rFonts w:ascii="Baskerville" w:eastAsia="MS PMincho" w:hAnsi="Baskerville" w:cs="Arabic Typesetting"/>
        </w:rPr>
        <w:t xml:space="preserve">schools: Prevalence, disparity in use and status in state and federal policy. PMC, 30 </w:t>
      </w:r>
    </w:p>
    <w:p w14:paraId="1D884F7E" w14:textId="624F542E" w:rsidR="000B4B04" w:rsidRPr="007B25AE" w:rsidRDefault="000B4B04" w:rsidP="000B4B04">
      <w:pPr>
        <w:ind w:firstLine="720"/>
        <w:rPr>
          <w:rFonts w:ascii="Baskerville" w:eastAsia="MS PMincho" w:hAnsi="Baskerville" w:cs="Arabic Typesetting"/>
        </w:rPr>
      </w:pPr>
      <w:r w:rsidRPr="007B25AE">
        <w:rPr>
          <w:rFonts w:ascii="Baskerville" w:eastAsia="MS PMincho" w:hAnsi="Baskerville" w:cs="Arabic Typesetting"/>
        </w:rPr>
        <w:t>(1).</w:t>
      </w:r>
    </w:p>
    <w:p w14:paraId="115E651A" w14:textId="77777777" w:rsidR="000B4B04" w:rsidRPr="007B25AE" w:rsidRDefault="000B4B04" w:rsidP="000B4B04">
      <w:pPr>
        <w:ind w:firstLine="720"/>
        <w:rPr>
          <w:rFonts w:ascii="Baskerville" w:eastAsia="MS PMincho" w:hAnsi="Baskerville" w:cs="Arabic Typesetting"/>
        </w:rPr>
      </w:pPr>
    </w:p>
    <w:p w14:paraId="56A4F22E" w14:textId="77777777" w:rsidR="00AF06C5" w:rsidRPr="007B25AE" w:rsidRDefault="000B4B04" w:rsidP="000B4B04">
      <w:pPr>
        <w:spacing w:after="18"/>
        <w:ind w:left="225" w:right="38" w:hanging="24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Giroux, H. A. (1997). Rewriting the discourse of racial identity: Towards a pedagogy and </w:t>
      </w:r>
    </w:p>
    <w:p w14:paraId="13D7C708" w14:textId="526D9344" w:rsidR="000B4B04" w:rsidRPr="007B25AE" w:rsidRDefault="000B4B04" w:rsidP="00AF06C5">
      <w:pPr>
        <w:spacing w:after="18"/>
        <w:ind w:left="225" w:right="38" w:firstLine="495"/>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politics of White</w:t>
      </w:r>
      <w:r w:rsidR="00AF06C5" w:rsidRPr="007B25AE">
        <w:rPr>
          <w:rFonts w:ascii="Baskerville" w:eastAsia="MS PMincho" w:hAnsi="Baskerville" w:cs="Arabic Typesetting"/>
          <w:color w:val="000000" w:themeColor="text1"/>
        </w:rPr>
        <w:t>n</w:t>
      </w:r>
      <w:r w:rsidRPr="007B25AE">
        <w:rPr>
          <w:rFonts w:ascii="Baskerville" w:eastAsia="MS PMincho" w:hAnsi="Baskerville" w:cs="Arabic Typesetting"/>
          <w:color w:val="000000" w:themeColor="text1"/>
        </w:rPr>
        <w:t>ess. Harvard Educational Review, 67, 285–320.</w:t>
      </w:r>
    </w:p>
    <w:p w14:paraId="57FB4310" w14:textId="77777777" w:rsidR="000B4B04" w:rsidRPr="007B25AE" w:rsidRDefault="000B4B04" w:rsidP="000B4B04">
      <w:pPr>
        <w:spacing w:after="18"/>
        <w:ind w:right="38"/>
        <w:rPr>
          <w:rFonts w:ascii="Baskerville" w:eastAsia="MS PMincho" w:hAnsi="Baskerville" w:cs="Arabic Typesetting"/>
          <w:color w:val="000000" w:themeColor="text1"/>
        </w:rPr>
      </w:pPr>
    </w:p>
    <w:p w14:paraId="4122B981" w14:textId="77777777" w:rsidR="00AF06C5" w:rsidRPr="007B25AE" w:rsidRDefault="000B4B04" w:rsidP="000B4B04">
      <w:pPr>
        <w:spacing w:after="18"/>
        <w:ind w:right="38"/>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Glenn, Myra C. (1981). School discipline and punishment in Antebellum America. Journal </w:t>
      </w:r>
    </w:p>
    <w:p w14:paraId="22C9B25F" w14:textId="6C3373E2" w:rsidR="000B4B04" w:rsidRPr="007B25AE" w:rsidRDefault="000B4B04" w:rsidP="00AF06C5">
      <w:pPr>
        <w:spacing w:after="18"/>
        <w:ind w:right="38"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of the Early Republic, 1 (4), 395-408.https://doi.org/10.2307/3122828.</w:t>
      </w:r>
    </w:p>
    <w:p w14:paraId="2ECC98CA" w14:textId="77777777" w:rsidR="000B4B04" w:rsidRPr="007B25AE" w:rsidRDefault="000B4B04" w:rsidP="000B4B04">
      <w:pPr>
        <w:spacing w:after="18"/>
        <w:ind w:right="38"/>
        <w:rPr>
          <w:rFonts w:ascii="Baskerville" w:eastAsia="MS PMincho" w:hAnsi="Baskerville" w:cs="Arabic Typesetting"/>
          <w:color w:val="000000" w:themeColor="text1"/>
        </w:rPr>
      </w:pPr>
    </w:p>
    <w:p w14:paraId="2D7F11BD" w14:textId="28AA1DEB" w:rsidR="00AF06C5"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Goff, P.A., Jackson, M.C., Di Leone, B.A., Culotta, C.M., &amp; Di Tomasso, N.A. (2014). The </w:t>
      </w:r>
    </w:p>
    <w:p w14:paraId="5B6086EA" w14:textId="77777777" w:rsidR="00AF06C5" w:rsidRPr="007B25AE" w:rsidRDefault="000B4B04" w:rsidP="00AF06C5">
      <w:pPr>
        <w:ind w:firstLine="720"/>
        <w:rPr>
          <w:rFonts w:ascii="Baskerville" w:eastAsia="MS PMincho" w:hAnsi="Baskerville" w:cs="Arabic Typesetting"/>
        </w:rPr>
      </w:pPr>
      <w:r w:rsidRPr="007B25AE">
        <w:rPr>
          <w:rFonts w:ascii="Baskerville" w:eastAsia="MS PMincho" w:hAnsi="Baskerville" w:cs="Arabic Typesetting"/>
        </w:rPr>
        <w:t xml:space="preserve">essence of innocence: Consequence of dehumanizing black children. Journal of </w:t>
      </w:r>
    </w:p>
    <w:p w14:paraId="12859F45" w14:textId="4828AC23" w:rsidR="000B4B04" w:rsidRPr="007B25AE" w:rsidRDefault="000B4B04" w:rsidP="00AF06C5">
      <w:pPr>
        <w:ind w:firstLine="720"/>
        <w:rPr>
          <w:rFonts w:ascii="Baskerville" w:eastAsia="MS PMincho" w:hAnsi="Baskerville" w:cs="Arabic Typesetting"/>
        </w:rPr>
      </w:pPr>
      <w:r w:rsidRPr="007B25AE">
        <w:rPr>
          <w:rFonts w:ascii="Baskerville" w:eastAsia="MS PMincho" w:hAnsi="Baskerville" w:cs="Arabic Typesetting"/>
        </w:rPr>
        <w:t xml:space="preserve">Personality and Social Psychology, 106 (4), 526. </w:t>
      </w:r>
    </w:p>
    <w:p w14:paraId="2B3BE260" w14:textId="77777777" w:rsidR="000B4B04" w:rsidRPr="007B25AE" w:rsidRDefault="000B4B04" w:rsidP="000B4B04">
      <w:pPr>
        <w:rPr>
          <w:rFonts w:ascii="Baskerville" w:eastAsia="MS PMincho" w:hAnsi="Baskerville" w:cs="Arabic Typesetting"/>
        </w:rPr>
      </w:pPr>
    </w:p>
    <w:p w14:paraId="08599B79" w14:textId="70AE337E" w:rsidR="00AF06C5"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Gottlieb, D. (1964). Teaching with students: The views of Negro and White teachers. </w:t>
      </w:r>
    </w:p>
    <w:p w14:paraId="40B48B9D" w14:textId="65FA4E00" w:rsidR="000B4B04" w:rsidRPr="007B25AE" w:rsidRDefault="000B4B04" w:rsidP="00AF06C5">
      <w:pPr>
        <w:ind w:firstLine="720"/>
        <w:rPr>
          <w:rFonts w:ascii="Baskerville" w:eastAsia="MS PMincho" w:hAnsi="Baskerville" w:cs="Arabic Typesetting"/>
        </w:rPr>
      </w:pPr>
      <w:r w:rsidRPr="007B25AE">
        <w:rPr>
          <w:rFonts w:ascii="Baskerville" w:eastAsia="MS PMincho" w:hAnsi="Baskerville" w:cs="Arabic Typesetting"/>
        </w:rPr>
        <w:t xml:space="preserve">Sociology of Education, 37, 345-353. </w:t>
      </w:r>
    </w:p>
    <w:p w14:paraId="485A9724" w14:textId="77777777" w:rsidR="007063A4" w:rsidRPr="007B25AE" w:rsidRDefault="007063A4" w:rsidP="00AF06C5">
      <w:pPr>
        <w:ind w:firstLine="720"/>
        <w:rPr>
          <w:rFonts w:ascii="Baskerville" w:eastAsia="MS PMincho" w:hAnsi="Baskerville" w:cs="Arabic Typesetting"/>
        </w:rPr>
      </w:pPr>
    </w:p>
    <w:p w14:paraId="5478FF02" w14:textId="77777777" w:rsidR="007063A4" w:rsidRPr="007B25AE" w:rsidRDefault="007063A4" w:rsidP="007063A4">
      <w:pPr>
        <w:rPr>
          <w:rFonts w:ascii="Baskerville" w:eastAsia="MS PMincho" w:hAnsi="Baskerville" w:cs="Arabic Typesetting"/>
        </w:rPr>
      </w:pPr>
      <w:r w:rsidRPr="007B25AE">
        <w:rPr>
          <w:rFonts w:ascii="Baskerville" w:eastAsia="MS PMincho" w:hAnsi="Baskerville" w:cs="Arabic Typesetting"/>
        </w:rPr>
        <w:t xml:space="preserve">Gribbons, Barry Herman, Joan (1997). True and quasi-experimental designs. Practical </w:t>
      </w:r>
    </w:p>
    <w:p w14:paraId="40DBC36C" w14:textId="77777777" w:rsidR="007063A4" w:rsidRPr="007B25AE" w:rsidRDefault="007063A4" w:rsidP="007063A4">
      <w:pPr>
        <w:ind w:firstLine="720"/>
        <w:rPr>
          <w:rFonts w:ascii="Baskerville" w:eastAsia="MS PMincho" w:hAnsi="Baskerville" w:cs="Arabic Typesetting"/>
        </w:rPr>
      </w:pPr>
      <w:r w:rsidRPr="007B25AE">
        <w:rPr>
          <w:rFonts w:ascii="Baskerville" w:eastAsia="MS PMincho" w:hAnsi="Baskerville" w:cs="Arabic Typesetting"/>
        </w:rPr>
        <w:t xml:space="preserve">Assessment, Research &amp; Evaluation, 5(14) </w:t>
      </w:r>
      <w:proofErr w:type="spellStart"/>
      <w:r w:rsidRPr="007B25AE">
        <w:rPr>
          <w:rFonts w:ascii="Baskerville" w:eastAsia="MS PMincho" w:hAnsi="Baskerville" w:cs="Arabic Typesetting"/>
        </w:rPr>
        <w:t>npn</w:t>
      </w:r>
      <w:proofErr w:type="spellEnd"/>
      <w:r w:rsidRPr="007B25AE">
        <w:rPr>
          <w:rFonts w:ascii="Baskerville" w:eastAsia="MS PMincho" w:hAnsi="Baskerville" w:cs="Arabic Typesetting"/>
        </w:rPr>
        <w:t xml:space="preserve"> </w:t>
      </w:r>
    </w:p>
    <w:p w14:paraId="49E4DBF4" w14:textId="77777777" w:rsidR="007063A4" w:rsidRPr="007B25AE" w:rsidRDefault="007063A4" w:rsidP="007063A4">
      <w:pPr>
        <w:ind w:firstLine="720"/>
        <w:rPr>
          <w:rFonts w:ascii="Baskerville" w:eastAsia="MS PMincho" w:hAnsi="Baskerville" w:cs="Arabic Typesetting"/>
        </w:rPr>
      </w:pPr>
      <w:r w:rsidRPr="007B25AE">
        <w:rPr>
          <w:rFonts w:ascii="Baskerville" w:eastAsia="MS PMincho" w:hAnsi="Baskerville" w:cs="Arabic Typesetting"/>
        </w:rPr>
        <w:t>http://pareonlin e.net/</w:t>
      </w:r>
      <w:proofErr w:type="spellStart"/>
      <w:r w:rsidRPr="007B25AE">
        <w:rPr>
          <w:rFonts w:ascii="Baskerville" w:eastAsia="MS PMincho" w:hAnsi="Baskerville" w:cs="Arabic Typesetting"/>
        </w:rPr>
        <w:t>getvn.asp?v</w:t>
      </w:r>
      <w:proofErr w:type="spellEnd"/>
      <w:r w:rsidRPr="007B25AE">
        <w:rPr>
          <w:rFonts w:ascii="Baskerville" w:eastAsia="MS PMincho" w:hAnsi="Baskerville" w:cs="Arabic Typesetting"/>
        </w:rPr>
        <w:t xml:space="preserve">=5&amp;n=14. </w:t>
      </w:r>
    </w:p>
    <w:p w14:paraId="6BD6F1AF" w14:textId="77777777" w:rsidR="007063A4" w:rsidRPr="007B25AE" w:rsidRDefault="007063A4" w:rsidP="007063A4">
      <w:pPr>
        <w:ind w:firstLine="720"/>
        <w:rPr>
          <w:rFonts w:ascii="Baskerville" w:eastAsia="MS PMincho" w:hAnsi="Baskerville" w:cs="Arabic Typesetting"/>
        </w:rPr>
      </w:pPr>
      <w:r w:rsidRPr="007B25AE">
        <w:rPr>
          <w:rFonts w:ascii="Baskerville" w:eastAsia="MS PMincho" w:hAnsi="Baskerville" w:cs="Arabic Typesetting"/>
        </w:rPr>
        <w:t>Archived (</w:t>
      </w:r>
      <w:hyperlink r:id="rId20" w:history="1">
        <w:r w:rsidRPr="007B25AE">
          <w:rPr>
            <w:rStyle w:val="Hyperlink"/>
            <w:rFonts w:ascii="Baskerville" w:eastAsia="MS PMincho" w:hAnsi="Baskerville" w:cs="Arabic Typesetting"/>
          </w:rPr>
          <w:t>https://web.archive.org/web/20130502154016/http://pereoline.net</w:t>
        </w:r>
      </w:hyperlink>
    </w:p>
    <w:p w14:paraId="3002C2CE" w14:textId="77777777" w:rsidR="007063A4" w:rsidRPr="007B25AE" w:rsidRDefault="007063A4" w:rsidP="007063A4">
      <w:pPr>
        <w:ind w:firstLine="720"/>
        <w:rPr>
          <w:rFonts w:ascii="Baskerville" w:eastAsia="MS PMincho" w:hAnsi="Baskerville" w:cs="Arabic Typesetting"/>
        </w:rPr>
      </w:pPr>
      <w:r w:rsidRPr="007B25AE">
        <w:rPr>
          <w:rFonts w:ascii="Baskerville" w:eastAsia="MS PMincho" w:hAnsi="Baskerville" w:cs="Arabic Typesetting"/>
        </w:rPr>
        <w:t>/</w:t>
      </w:r>
      <w:proofErr w:type="spellStart"/>
      <w:r w:rsidRPr="007B25AE">
        <w:rPr>
          <w:rFonts w:ascii="Baskerville" w:eastAsia="MS PMincho" w:hAnsi="Baskerville" w:cs="Arabic Typesetting"/>
        </w:rPr>
        <w:t>getvn.asp?v</w:t>
      </w:r>
      <w:proofErr w:type="spellEnd"/>
      <w:r w:rsidRPr="007B25AE">
        <w:rPr>
          <w:rFonts w:ascii="Baskerville" w:eastAsia="MS PMincho" w:hAnsi="Baskerville" w:cs="Arabic Typesetting"/>
        </w:rPr>
        <w:t>=5&amp;n=4).</w:t>
      </w:r>
    </w:p>
    <w:p w14:paraId="695CEFAF" w14:textId="77777777" w:rsidR="000B4B04" w:rsidRPr="007B25AE" w:rsidRDefault="000B4B04" w:rsidP="007063A4">
      <w:pPr>
        <w:rPr>
          <w:rFonts w:ascii="Baskerville" w:eastAsia="MS PMincho" w:hAnsi="Baskerville" w:cs="Arabic Typesetting"/>
        </w:rPr>
      </w:pPr>
    </w:p>
    <w:p w14:paraId="2D63EAC3" w14:textId="2F9268DB" w:rsidR="000B4B04"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Griffin, A. &amp; Tackle, H. (2016). Through our eyes: Perspectives and reflections from Black </w:t>
      </w:r>
    </w:p>
    <w:p w14:paraId="6D31FAAD" w14:textId="77777777" w:rsidR="000B4B04" w:rsidRPr="007B25AE" w:rsidRDefault="000B4B04" w:rsidP="000B4B04">
      <w:pPr>
        <w:ind w:firstLine="720"/>
        <w:rPr>
          <w:rFonts w:ascii="Baskerville" w:eastAsia="MS PMincho" w:hAnsi="Baskerville" w:cs="Arabic Typesetting"/>
        </w:rPr>
      </w:pPr>
      <w:r w:rsidRPr="007B25AE">
        <w:rPr>
          <w:rFonts w:ascii="Baskerville" w:eastAsia="MS PMincho" w:hAnsi="Baskerville" w:cs="Arabic Typesetting"/>
        </w:rPr>
        <w:t>teachers. Oakland, Calif: The Education Trust.</w:t>
      </w:r>
    </w:p>
    <w:p w14:paraId="316AB5C3" w14:textId="77777777" w:rsidR="000B4B04" w:rsidRPr="007B25AE" w:rsidRDefault="000B4B04" w:rsidP="000B4B04">
      <w:pPr>
        <w:ind w:firstLine="720"/>
        <w:rPr>
          <w:rFonts w:ascii="Baskerville" w:eastAsia="MS PMincho" w:hAnsi="Baskerville" w:cs="Arabic Typesetting"/>
        </w:rPr>
      </w:pPr>
    </w:p>
    <w:p w14:paraId="4D85DE0C" w14:textId="6EEFAA83" w:rsidR="00DD3411"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Groff, P.J. (1961b). School desegregation and the education of Negro teachers in the </w:t>
      </w:r>
    </w:p>
    <w:p w14:paraId="534BBC82" w14:textId="23A43E1D" w:rsidR="000B4B04" w:rsidRPr="007B25AE" w:rsidRDefault="000B4B04" w:rsidP="00DD3411">
      <w:pPr>
        <w:ind w:firstLine="720"/>
        <w:rPr>
          <w:rFonts w:ascii="Baskerville" w:eastAsia="MS PMincho" w:hAnsi="Baskerville" w:cs="Arabic Typesetting"/>
        </w:rPr>
      </w:pPr>
      <w:r w:rsidRPr="007B25AE">
        <w:rPr>
          <w:rFonts w:ascii="Baskerville" w:eastAsia="MS PMincho" w:hAnsi="Baskerville" w:cs="Arabic Typesetting"/>
        </w:rPr>
        <w:t>south. Journal of Teacher Education, 12, 8-12.</w:t>
      </w:r>
    </w:p>
    <w:p w14:paraId="1B8BAF9B" w14:textId="77777777" w:rsidR="000B4B04" w:rsidRPr="007B25AE" w:rsidRDefault="000B4B04" w:rsidP="000B4B04">
      <w:pPr>
        <w:ind w:firstLine="720"/>
        <w:rPr>
          <w:rFonts w:ascii="Baskerville" w:eastAsia="MS PMincho" w:hAnsi="Baskerville" w:cs="Arabic Typesetting"/>
        </w:rPr>
      </w:pPr>
    </w:p>
    <w:p w14:paraId="68758265" w14:textId="77777777" w:rsidR="00AF06C5"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Grover, Kathryn and Da Silva, Janine (2002). “Historic resource study: Boston African </w:t>
      </w:r>
    </w:p>
    <w:p w14:paraId="1E6ACF03" w14:textId="4E8F3F20" w:rsidR="000B4B04" w:rsidRPr="007B25AE" w:rsidRDefault="000B4B04" w:rsidP="00AF06C5">
      <w:pPr>
        <w:ind w:left="720"/>
        <w:rPr>
          <w:rFonts w:ascii="Baskerville" w:eastAsia="MS PMincho" w:hAnsi="Baskerville" w:cs="Arabic Typesetting"/>
        </w:rPr>
      </w:pPr>
      <w:r w:rsidRPr="007B25AE">
        <w:rPr>
          <w:rFonts w:ascii="Baskerville" w:eastAsia="MS PMincho" w:hAnsi="Baskerville" w:cs="Arabic Typesetting"/>
        </w:rPr>
        <w:t xml:space="preserve">American National Historic Site,” Boston: African American National Site, pp. 70-81. </w:t>
      </w:r>
    </w:p>
    <w:p w14:paraId="02947046" w14:textId="77777777" w:rsidR="000B4B04" w:rsidRPr="007B25AE" w:rsidRDefault="000B4B04" w:rsidP="000B4B04">
      <w:pPr>
        <w:ind w:firstLine="720"/>
        <w:rPr>
          <w:rFonts w:ascii="Baskerville" w:eastAsia="MS PMincho" w:hAnsi="Baskerville" w:cs="Arabic Typesetting"/>
        </w:rPr>
      </w:pPr>
    </w:p>
    <w:p w14:paraId="19D13656" w14:textId="7F9C7070" w:rsidR="007C559A" w:rsidRPr="007B25AE" w:rsidRDefault="000B4B04" w:rsidP="007A7410">
      <w:pPr>
        <w:spacing w:after="18"/>
        <w:ind w:right="38"/>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Gutierrez, R. (1999). Advancing urban Latina/o youth in mathematics: Lessons from a </w:t>
      </w:r>
    </w:p>
    <w:p w14:paraId="2FDF8E90" w14:textId="22677BEE" w:rsidR="00963AD0" w:rsidRPr="007B25AE" w:rsidRDefault="000B4B04" w:rsidP="007C559A">
      <w:pPr>
        <w:spacing w:after="18"/>
        <w:ind w:left="225" w:right="38" w:firstLine="495"/>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successful mathematics department. The Urban Review, 31(3), 263–281.</w:t>
      </w:r>
    </w:p>
    <w:p w14:paraId="048287DD" w14:textId="77777777" w:rsidR="00230873" w:rsidRPr="007B25AE" w:rsidRDefault="00230873" w:rsidP="000B4B04">
      <w:pPr>
        <w:spacing w:after="18"/>
        <w:ind w:right="38"/>
        <w:rPr>
          <w:rFonts w:ascii="Baskerville" w:eastAsia="MS PMincho" w:hAnsi="Baskerville" w:cs="Arabic Typesetting"/>
          <w:color w:val="000000" w:themeColor="text1"/>
        </w:rPr>
      </w:pPr>
    </w:p>
    <w:p w14:paraId="59EC262E" w14:textId="5EB3E6B6" w:rsidR="000B4B04" w:rsidRPr="007B25AE" w:rsidRDefault="000B4B04" w:rsidP="000B4B04">
      <w:pPr>
        <w:spacing w:after="18"/>
        <w:ind w:right="38"/>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Hall, Robert L (</w:t>
      </w:r>
      <w:r w:rsidR="000D439F" w:rsidRPr="007B25AE">
        <w:rPr>
          <w:rFonts w:ascii="Baskerville" w:eastAsia="MS PMincho" w:hAnsi="Baskerville" w:cs="Arabic Typesetting"/>
          <w:color w:val="000000" w:themeColor="text1"/>
        </w:rPr>
        <w:t>E</w:t>
      </w:r>
      <w:r w:rsidRPr="007B25AE">
        <w:rPr>
          <w:rFonts w:ascii="Baskerville" w:eastAsia="MS PMincho" w:hAnsi="Baskerville" w:cs="Arabic Typesetting"/>
          <w:color w:val="000000" w:themeColor="text1"/>
        </w:rPr>
        <w:t>d</w:t>
      </w:r>
      <w:r w:rsidR="000D439F" w:rsidRPr="007B25AE">
        <w:rPr>
          <w:rFonts w:ascii="Baskerville" w:eastAsia="MS PMincho" w:hAnsi="Baskerville" w:cs="Arabic Typesetting"/>
          <w:color w:val="000000" w:themeColor="text1"/>
        </w:rPr>
        <w:t>.</w:t>
      </w:r>
      <w:r w:rsidRPr="007B25AE">
        <w:rPr>
          <w:rFonts w:ascii="Baskerville" w:eastAsia="MS PMincho" w:hAnsi="Baskerville" w:cs="Arabic Typesetting"/>
          <w:color w:val="000000" w:themeColor="text1"/>
        </w:rPr>
        <w:t>). (1995). Making a living etc.</w:t>
      </w:r>
    </w:p>
    <w:p w14:paraId="6CAD3D7E" w14:textId="77777777" w:rsidR="007063A4" w:rsidRPr="007B25AE" w:rsidRDefault="007063A4" w:rsidP="000B4B04">
      <w:pPr>
        <w:spacing w:after="18"/>
        <w:ind w:right="38"/>
        <w:rPr>
          <w:rFonts w:ascii="Baskerville" w:eastAsia="MS PMincho" w:hAnsi="Baskerville" w:cs="Arabic Typesetting"/>
          <w:color w:val="000000" w:themeColor="text1"/>
        </w:rPr>
      </w:pPr>
    </w:p>
    <w:p w14:paraId="16EA99DC" w14:textId="77777777" w:rsidR="00230873" w:rsidRPr="007B25AE" w:rsidRDefault="00230873" w:rsidP="00230873">
      <w:pPr>
        <w:rPr>
          <w:rFonts w:ascii="Baskerville" w:eastAsia="MS PMincho" w:hAnsi="Baskerville" w:cs="Arabic Typesetting"/>
        </w:rPr>
      </w:pPr>
      <w:r w:rsidRPr="007B25AE">
        <w:rPr>
          <w:rFonts w:ascii="Baskerville" w:eastAsia="MS PMincho" w:hAnsi="Baskerville" w:cs="Arabic Typesetting"/>
        </w:rPr>
        <w:t xml:space="preserve">Hanson, Michael and Lindsay, Constance (2021). Teacher diversity and student success. </w:t>
      </w:r>
    </w:p>
    <w:p w14:paraId="411D4305" w14:textId="77777777" w:rsidR="00230873" w:rsidRPr="007B25AE" w:rsidRDefault="00230873" w:rsidP="00230873">
      <w:pPr>
        <w:ind w:firstLine="720"/>
        <w:rPr>
          <w:rFonts w:ascii="Baskerville" w:eastAsia="MS PMincho" w:hAnsi="Baskerville" w:cs="Arabic Typesetting"/>
        </w:rPr>
      </w:pPr>
      <w:r w:rsidRPr="007B25AE">
        <w:rPr>
          <w:rFonts w:ascii="Baskerville" w:eastAsia="MS PMincho" w:hAnsi="Baskerville" w:cs="Arabic Typesetting"/>
        </w:rPr>
        <w:t>Cambridge: Harvard Education Press.</w:t>
      </w:r>
    </w:p>
    <w:p w14:paraId="755A87FB" w14:textId="77777777" w:rsidR="007063A4" w:rsidRPr="007B25AE" w:rsidRDefault="007063A4" w:rsidP="007063A4">
      <w:pPr>
        <w:rPr>
          <w:rFonts w:ascii="Baskerville" w:eastAsia="MS PMincho" w:hAnsi="Baskerville" w:cs="Arabic Typesetting"/>
        </w:rPr>
      </w:pPr>
    </w:p>
    <w:p w14:paraId="10ABC779" w14:textId="77777777" w:rsidR="007063A4" w:rsidRPr="007B25AE" w:rsidRDefault="007063A4" w:rsidP="007063A4">
      <w:pPr>
        <w:ind w:left="705" w:right="298" w:hanging="720"/>
        <w:rPr>
          <w:rFonts w:ascii="Baskerville" w:eastAsia="MS PMincho" w:hAnsi="Baskerville" w:cs="Arabic Typesetting"/>
        </w:rPr>
      </w:pPr>
      <w:r w:rsidRPr="007B25AE">
        <w:rPr>
          <w:rFonts w:ascii="Baskerville" w:eastAsia="MS PMincho" w:hAnsi="Baskerville" w:cs="Arabic Typesetting"/>
        </w:rPr>
        <w:t xml:space="preserve">Hanushek, E.A., Kain, J.F., &amp; Rivkin, S.G. (2004).  Why public school lose teachers.  The  Journal of Human Resources, 39(2), 326-354. </w:t>
      </w:r>
    </w:p>
    <w:p w14:paraId="4A710B60" w14:textId="77777777" w:rsidR="000B4B04" w:rsidRPr="007B25AE" w:rsidRDefault="000B4B04" w:rsidP="00230873">
      <w:pPr>
        <w:rPr>
          <w:rFonts w:ascii="Baskerville" w:eastAsia="MS PMincho" w:hAnsi="Baskerville" w:cs="Arabic Typesetting"/>
        </w:rPr>
      </w:pPr>
    </w:p>
    <w:p w14:paraId="6DCE2C6D" w14:textId="77777777" w:rsidR="000B4B04"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Hemphill, C &amp; Mader, N. (2016). Segregated schools in integrated neighborhood: The city’s </w:t>
      </w:r>
    </w:p>
    <w:p w14:paraId="198B478A" w14:textId="77777777" w:rsidR="000B4B04" w:rsidRPr="007B25AE" w:rsidRDefault="000B4B04" w:rsidP="000B4B04">
      <w:pPr>
        <w:ind w:firstLine="720"/>
        <w:rPr>
          <w:rFonts w:ascii="Baskerville" w:eastAsia="MS PMincho" w:hAnsi="Baskerville" w:cs="Arabic Typesetting"/>
        </w:rPr>
      </w:pPr>
      <w:r w:rsidRPr="007B25AE">
        <w:rPr>
          <w:rFonts w:ascii="Baskerville" w:eastAsia="MS PMincho" w:hAnsi="Baskerville" w:cs="Arabic Typesetting"/>
        </w:rPr>
        <w:t xml:space="preserve">schools are even more divided than out housing. </w:t>
      </w:r>
    </w:p>
    <w:p w14:paraId="11FDBA7F" w14:textId="77777777" w:rsidR="007063A4" w:rsidRPr="007B25AE" w:rsidRDefault="007063A4" w:rsidP="00F763AA">
      <w:pPr>
        <w:rPr>
          <w:rFonts w:ascii="Baskerville" w:eastAsia="MS PMincho" w:hAnsi="Baskerville" w:cs="Arabic Typesetting"/>
        </w:rPr>
      </w:pPr>
    </w:p>
    <w:p w14:paraId="4DE85B8C" w14:textId="77777777" w:rsidR="007063A4" w:rsidRPr="007B25AE" w:rsidRDefault="007063A4" w:rsidP="007063A4">
      <w:pPr>
        <w:rPr>
          <w:rFonts w:ascii="Baskerville" w:eastAsia="MS PMincho" w:hAnsi="Baskerville" w:cs="Arabic Typesetting"/>
        </w:rPr>
      </w:pPr>
      <w:r w:rsidRPr="007B25AE">
        <w:rPr>
          <w:rFonts w:ascii="Baskerville" w:eastAsia="MS PMincho" w:hAnsi="Baskerville" w:cs="Arabic Typesetting"/>
        </w:rPr>
        <w:t xml:space="preserve">Holt, Stephen B. and Gershenson, Seth (2019). The impact of demographic representation </w:t>
      </w:r>
    </w:p>
    <w:p w14:paraId="660CF9A6" w14:textId="77777777" w:rsidR="007063A4" w:rsidRPr="007B25AE" w:rsidRDefault="007063A4" w:rsidP="007063A4">
      <w:pPr>
        <w:ind w:firstLine="720"/>
        <w:rPr>
          <w:rFonts w:ascii="Baskerville" w:eastAsia="MS PMincho" w:hAnsi="Baskerville" w:cs="Arabic Typesetting"/>
        </w:rPr>
      </w:pPr>
      <w:r w:rsidRPr="007B25AE">
        <w:rPr>
          <w:rFonts w:ascii="Baskerville" w:eastAsia="MS PMincho" w:hAnsi="Baskerville" w:cs="Arabic Typesetting"/>
        </w:rPr>
        <w:t xml:space="preserve">on absences and suspensions, Policy Studies Journal, 47 (4), </w:t>
      </w:r>
      <w:proofErr w:type="spellStart"/>
      <w:r w:rsidRPr="007B25AE">
        <w:rPr>
          <w:rFonts w:ascii="Baskerville" w:eastAsia="MS PMincho" w:hAnsi="Baskerville" w:cs="Arabic Typesetting"/>
        </w:rPr>
        <w:t>n.p.n.</w:t>
      </w:r>
      <w:proofErr w:type="spellEnd"/>
      <w:r w:rsidRPr="007B25AE">
        <w:rPr>
          <w:rFonts w:ascii="Baskerville" w:eastAsia="MS PMincho" w:hAnsi="Baskerville" w:cs="Arabic Typesetting"/>
        </w:rPr>
        <w:t xml:space="preserve"> </w:t>
      </w:r>
    </w:p>
    <w:p w14:paraId="4E6DB7F3" w14:textId="77777777" w:rsidR="007063A4" w:rsidRPr="007B25AE" w:rsidRDefault="007063A4" w:rsidP="007063A4">
      <w:pPr>
        <w:rPr>
          <w:rFonts w:ascii="Baskerville" w:eastAsia="MS PMincho" w:hAnsi="Baskerville" w:cs="Arabic Typesetting"/>
        </w:rPr>
      </w:pPr>
    </w:p>
    <w:p w14:paraId="6236C94E" w14:textId="42F6AD5C" w:rsidR="007063A4" w:rsidRPr="007B25AE" w:rsidRDefault="007063A4" w:rsidP="007063A4">
      <w:pPr>
        <w:rPr>
          <w:rFonts w:ascii="Baskerville" w:eastAsia="MS PMincho" w:hAnsi="Baskerville" w:cs="Arabic Typesetting"/>
        </w:rPr>
      </w:pPr>
      <w:r w:rsidRPr="007B25AE">
        <w:rPr>
          <w:rFonts w:ascii="Baskerville" w:eastAsia="MS PMincho" w:hAnsi="Baskerville" w:cs="Arabic Typesetting"/>
        </w:rPr>
        <w:t>Hussar, W. and Bailey, T. (2013). Projections of Education Statistics to 2022 (NCES 2014-</w:t>
      </w:r>
    </w:p>
    <w:p w14:paraId="6AD5A1FB" w14:textId="77777777" w:rsidR="007063A4" w:rsidRPr="007B25AE" w:rsidRDefault="007063A4" w:rsidP="007063A4">
      <w:pPr>
        <w:ind w:firstLine="720"/>
        <w:rPr>
          <w:rFonts w:ascii="Baskerville" w:eastAsia="MS PMincho" w:hAnsi="Baskerville" w:cs="Arabic Typesetting"/>
        </w:rPr>
      </w:pPr>
      <w:r w:rsidRPr="007B25AE">
        <w:rPr>
          <w:rFonts w:ascii="Baskerville" w:eastAsia="MS PMincho" w:hAnsi="Baskerville" w:cs="Arabic Typesetting"/>
        </w:rPr>
        <w:t>051). U.S. Department of Education Statistics, Washington, D.C.: Author.</w:t>
      </w:r>
    </w:p>
    <w:p w14:paraId="66F6D722" w14:textId="4AB2520E" w:rsidR="007063A4" w:rsidRPr="007B25AE" w:rsidRDefault="007063A4" w:rsidP="00F763AA">
      <w:pPr>
        <w:rPr>
          <w:rFonts w:ascii="Baskerville" w:eastAsia="MS PMincho" w:hAnsi="Baskerville" w:cs="Arabic Typesetting"/>
        </w:rPr>
      </w:pPr>
    </w:p>
    <w:p w14:paraId="26A81DE7" w14:textId="77777777" w:rsidR="007063A4" w:rsidRPr="007B25AE" w:rsidRDefault="007063A4" w:rsidP="007063A4">
      <w:pPr>
        <w:spacing w:after="4"/>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Hylton, J. Gordon (2012, Dec. 20). Before there were “Red” and “Blue” states, there were </w:t>
      </w:r>
    </w:p>
    <w:p w14:paraId="1A8FE5A3" w14:textId="77777777" w:rsidR="007063A4" w:rsidRPr="007B25AE" w:rsidRDefault="007063A4" w:rsidP="007063A4">
      <w:pPr>
        <w:spacing w:after="4"/>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“Free” and “Slave” states. Marquette University Law School Faculty Blog.  </w:t>
      </w:r>
    </w:p>
    <w:p w14:paraId="603DE6EF" w14:textId="77777777" w:rsidR="00963AD0" w:rsidRPr="007B25AE" w:rsidRDefault="00963AD0" w:rsidP="00230873">
      <w:pPr>
        <w:spacing w:after="11"/>
        <w:ind w:right="230"/>
        <w:rPr>
          <w:rFonts w:ascii="Baskerville" w:eastAsia="MS PMincho" w:hAnsi="Baskerville" w:cs="Arabic Typesetting"/>
        </w:rPr>
      </w:pPr>
    </w:p>
    <w:p w14:paraId="7EADD51F" w14:textId="013765D9" w:rsidR="00230873" w:rsidRPr="007B25AE" w:rsidRDefault="00230873" w:rsidP="00230873">
      <w:pPr>
        <w:ind w:left="705" w:right="298" w:hanging="720"/>
        <w:rPr>
          <w:rFonts w:ascii="Baskerville" w:eastAsia="MS PMincho" w:hAnsi="Baskerville" w:cs="Arabic Typesetting"/>
        </w:rPr>
      </w:pPr>
      <w:r w:rsidRPr="007B25AE">
        <w:rPr>
          <w:rFonts w:ascii="Baskerville" w:eastAsia="MS PMincho" w:hAnsi="Baskerville" w:cs="Arabic Typesetting"/>
        </w:rPr>
        <w:t xml:space="preserve">Ingersoll, R., (2002).  The teacher shortage:  A case of wrong diagnosis and wrong prescription.   NASSP Bulletin, 86(631), 18-31. </w:t>
      </w:r>
    </w:p>
    <w:p w14:paraId="6DD5F394" w14:textId="77777777" w:rsidR="00230873" w:rsidRPr="007B25AE" w:rsidRDefault="00230873" w:rsidP="00230873">
      <w:pPr>
        <w:spacing w:line="259" w:lineRule="auto"/>
        <w:rPr>
          <w:rFonts w:ascii="Baskerville" w:eastAsia="MS PMincho" w:hAnsi="Baskerville" w:cs="Arabic Typesetting"/>
        </w:rPr>
      </w:pPr>
      <w:r w:rsidRPr="007B25AE">
        <w:rPr>
          <w:rFonts w:ascii="Baskerville" w:eastAsia="MS PMincho" w:hAnsi="Baskerville" w:cs="Arabic Typesetting"/>
        </w:rPr>
        <w:t xml:space="preserve"> </w:t>
      </w:r>
    </w:p>
    <w:p w14:paraId="43EE7591" w14:textId="77777777" w:rsidR="00230873" w:rsidRPr="007B25AE" w:rsidRDefault="00230873" w:rsidP="00230873">
      <w:pPr>
        <w:ind w:left="705" w:right="298" w:hanging="720"/>
        <w:rPr>
          <w:rFonts w:ascii="Baskerville" w:eastAsia="MS PMincho" w:hAnsi="Baskerville" w:cs="Arabic Typesetting"/>
        </w:rPr>
      </w:pPr>
      <w:r w:rsidRPr="007B25AE">
        <w:rPr>
          <w:rFonts w:ascii="Baskerville" w:eastAsia="MS PMincho" w:hAnsi="Baskerville" w:cs="Arabic Typesetting"/>
        </w:rPr>
        <w:t xml:space="preserve">Ingersoll, R., (2004).  Why do high poverty schools have difficulty staffing their classrooms with qualified teachers?  Report prepared for:  Renewing Our Schools, Securing Our Future.   A National Task Force on Public Education. A joint initiative of the Center for American Progress and the Institute for America’s Future.  Retrieved April 2, 2010, from: </w:t>
      </w:r>
    </w:p>
    <w:p w14:paraId="384C31BA" w14:textId="7F3A9B2C" w:rsidR="00F743A2" w:rsidRPr="007B25AE" w:rsidRDefault="00230873" w:rsidP="00F743A2">
      <w:pPr>
        <w:spacing w:after="11"/>
        <w:ind w:left="715" w:right="230"/>
        <w:rPr>
          <w:rFonts w:ascii="Baskerville" w:eastAsia="MS PMincho" w:hAnsi="Baskerville" w:cs="Arabic Typesetting"/>
        </w:rPr>
      </w:pPr>
      <w:hyperlink r:id="rId21">
        <w:r w:rsidRPr="007B25AE">
          <w:rPr>
            <w:rFonts w:ascii="Baskerville" w:eastAsia="MS PMincho" w:hAnsi="Baskerville" w:cs="Arabic Typesetting"/>
            <w:color w:val="0000FF"/>
            <w:u w:val="single" w:color="0000FF"/>
          </w:rPr>
          <w:t>http://www.americanprogress.org/kf/ingersoll-final.pdf</w:t>
        </w:r>
      </w:hyperlink>
      <w:hyperlink r:id="rId22">
        <w:r w:rsidRPr="007B25AE">
          <w:rPr>
            <w:rFonts w:ascii="Baskerville" w:eastAsia="MS PMincho" w:hAnsi="Baskerville" w:cs="Arabic Typesetting"/>
          </w:rPr>
          <w:t>.</w:t>
        </w:r>
      </w:hyperlink>
      <w:r w:rsidRPr="007B25AE">
        <w:rPr>
          <w:rFonts w:ascii="Baskerville" w:eastAsia="MS PMincho" w:hAnsi="Baskerville" w:cs="Arabic Typesetting"/>
        </w:rPr>
        <w:t xml:space="preserve">  </w:t>
      </w:r>
    </w:p>
    <w:p w14:paraId="7A77F64B" w14:textId="36A6B526" w:rsidR="000B4B04" w:rsidRPr="007B25AE" w:rsidRDefault="00F743A2" w:rsidP="00423239">
      <w:pPr>
        <w:pStyle w:val="NormalWeb"/>
        <w:rPr>
          <w:rFonts w:ascii="Baskerville" w:eastAsia="MS PMincho" w:hAnsi="Baskerville" w:cs="Arabic Typesetting"/>
        </w:rPr>
      </w:pPr>
      <w:r w:rsidRPr="007B25AE">
        <w:rPr>
          <w:rFonts w:ascii="Baskerville" w:eastAsia="MS PMincho" w:hAnsi="Baskerville" w:cs="Arabic Typesetting"/>
        </w:rPr>
        <w:t xml:space="preserve">Interview with Dr. Kenneth Clarke as part of Eyes on the Prize: America’s Civil Rights </w:t>
      </w:r>
      <w:proofErr w:type="spellStart"/>
      <w:r w:rsidRPr="007B25AE">
        <w:rPr>
          <w:rFonts w:ascii="Baskerville" w:eastAsia="MS PMincho" w:hAnsi="Baskerville" w:cs="Arabic Typesetting"/>
        </w:rPr>
        <w:t>eYear</w:t>
      </w:r>
      <w:proofErr w:type="spellEnd"/>
      <w:r w:rsidRPr="007B25AE">
        <w:rPr>
          <w:rFonts w:ascii="Baskerville" w:eastAsia="MS PMincho" w:hAnsi="Baskerville" w:cs="Arabic Typesetting"/>
        </w:rPr>
        <w:t xml:space="preserve">            </w:t>
      </w:r>
      <w:r w:rsidRPr="007B25AE">
        <w:rPr>
          <w:rFonts w:ascii="Baskerville" w:eastAsia="MS PMincho" w:hAnsi="Baskerville" w:cs="Arabic Typesetting"/>
        </w:rPr>
        <w:tab/>
        <w:t xml:space="preserve">(1954-1965). </w:t>
      </w:r>
      <w:r w:rsidR="00423239" w:rsidRPr="007B25AE">
        <w:rPr>
          <w:rFonts w:ascii="Baskerville" w:eastAsia="MS PMincho" w:hAnsi="Baskerville" w:cs="Arabic Typesetting"/>
        </w:rPr>
        <w:t>“</w:t>
      </w:r>
      <w:r w:rsidRPr="007B25AE">
        <w:rPr>
          <w:rFonts w:ascii="Baskerville" w:eastAsia="MS PMincho" w:hAnsi="Baskerville" w:cs="Arabic Typesetting"/>
        </w:rPr>
        <w:t>The Doll Test.</w:t>
      </w:r>
      <w:r w:rsidR="00423239" w:rsidRPr="007B25AE">
        <w:rPr>
          <w:rFonts w:ascii="Baskerville" w:eastAsia="MS PMincho" w:hAnsi="Baskerville" w:cs="Arabic Typesetting"/>
        </w:rPr>
        <w:t>”</w:t>
      </w:r>
    </w:p>
    <w:p w14:paraId="67309E12" w14:textId="0B992BE8" w:rsidR="000B4B04"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Jackson, C. Kirabo. (2009). Student demographics, teacher sorting, and teacher quality: </w:t>
      </w:r>
    </w:p>
    <w:p w14:paraId="13832ACF" w14:textId="6E6A506E" w:rsidR="000B4B04" w:rsidRPr="007B25AE" w:rsidRDefault="000B4B04" w:rsidP="007A7410">
      <w:pPr>
        <w:ind w:left="720"/>
        <w:rPr>
          <w:rFonts w:ascii="Baskerville" w:eastAsia="MS PMincho" w:hAnsi="Baskerville" w:cs="Arabic Typesetting"/>
        </w:rPr>
      </w:pPr>
      <w:r w:rsidRPr="007B25AE">
        <w:rPr>
          <w:rFonts w:ascii="Baskerville" w:eastAsia="MS PMincho" w:hAnsi="Baskerville" w:cs="Arabic Typesetting"/>
        </w:rPr>
        <w:t>Evidence from the end of school desegregation, Journal of Labor Economics, 27 (2), 213-256</w:t>
      </w:r>
      <w:r w:rsidR="00F763AA" w:rsidRPr="007B25AE">
        <w:rPr>
          <w:rFonts w:ascii="Baskerville" w:eastAsia="MS PMincho" w:hAnsi="Baskerville" w:cs="Arabic Typesetting"/>
        </w:rPr>
        <w:t>.</w:t>
      </w:r>
    </w:p>
    <w:p w14:paraId="3A53B8BE" w14:textId="77777777" w:rsidR="000D439F" w:rsidRPr="007B25AE" w:rsidRDefault="000D439F" w:rsidP="007A7410">
      <w:pPr>
        <w:ind w:left="720"/>
        <w:rPr>
          <w:rFonts w:ascii="Baskerville" w:eastAsia="MS PMincho" w:hAnsi="Baskerville" w:cs="Arabic Typesetting"/>
        </w:rPr>
      </w:pPr>
    </w:p>
    <w:p w14:paraId="2D1C7FEA" w14:textId="77777777" w:rsidR="008D04C2" w:rsidRPr="007B25AE" w:rsidRDefault="000B4B04" w:rsidP="000B4B04">
      <w:pPr>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Jacobs, Donald M. ed. (1993). Courage and conscience: Black and White Abolitionist in </w:t>
      </w:r>
    </w:p>
    <w:p w14:paraId="78E8A764" w14:textId="15886878" w:rsidR="000B4B04" w:rsidRPr="007B25AE" w:rsidRDefault="000B4B04" w:rsidP="008D04C2">
      <w:pPr>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Boston. Bloomington: Indiana University Press for the Boston </w:t>
      </w:r>
      <w:proofErr w:type="spellStart"/>
      <w:r w:rsidRPr="007B25AE">
        <w:rPr>
          <w:rFonts w:ascii="Baskerville" w:eastAsia="MS PMincho" w:hAnsi="Baskerville" w:cs="Arabic Typesetting"/>
          <w:color w:val="000000" w:themeColor="text1"/>
        </w:rPr>
        <w:t>Anthenaeum</w:t>
      </w:r>
      <w:proofErr w:type="spellEnd"/>
      <w:r w:rsidRPr="007B25AE">
        <w:rPr>
          <w:rFonts w:ascii="Baskerville" w:eastAsia="MS PMincho" w:hAnsi="Baskerville" w:cs="Arabic Typesetting"/>
          <w:color w:val="000000" w:themeColor="text1"/>
        </w:rPr>
        <w:t xml:space="preserve">. </w:t>
      </w:r>
    </w:p>
    <w:p w14:paraId="77389DA0" w14:textId="77777777" w:rsidR="00DA3AF4" w:rsidRPr="007B25AE" w:rsidRDefault="00DA3AF4" w:rsidP="008D04C2">
      <w:pPr>
        <w:ind w:firstLine="720"/>
        <w:rPr>
          <w:rFonts w:ascii="Baskerville" w:eastAsia="MS PMincho" w:hAnsi="Baskerville" w:cs="Arabic Typesetting"/>
          <w:color w:val="000000" w:themeColor="text1"/>
        </w:rPr>
      </w:pPr>
    </w:p>
    <w:p w14:paraId="7B6E6862" w14:textId="0EA19330" w:rsidR="00DA3AF4" w:rsidRPr="007B25AE" w:rsidRDefault="00DA3AF4" w:rsidP="00DA3AF4">
      <w:pPr>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James, William (1975). Pragmatism. Fredson Bowers (Ed). Harvard University Press</w:t>
      </w:r>
    </w:p>
    <w:p w14:paraId="106AA0F1" w14:textId="77777777" w:rsidR="000B4B04" w:rsidRPr="007B25AE" w:rsidRDefault="000B4B04" w:rsidP="000B4B04">
      <w:pPr>
        <w:rPr>
          <w:rFonts w:ascii="Baskerville" w:eastAsia="MS PMincho" w:hAnsi="Baskerville" w:cs="Arabic Typesetting"/>
          <w:color w:val="000000" w:themeColor="text1"/>
        </w:rPr>
      </w:pPr>
    </w:p>
    <w:p w14:paraId="65ACE988" w14:textId="77777777" w:rsidR="000B4B04"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Johnson, R.C. (2011). Long term impact on school desegregation &amp; school quality on adult </w:t>
      </w:r>
    </w:p>
    <w:p w14:paraId="2138299A" w14:textId="6454DEA0" w:rsidR="007D5455" w:rsidRPr="007B25AE" w:rsidRDefault="000B4B04" w:rsidP="00A17FCC">
      <w:pPr>
        <w:ind w:firstLine="720"/>
        <w:rPr>
          <w:rFonts w:ascii="Baskerville" w:eastAsia="MS PMincho" w:hAnsi="Baskerville" w:cs="Arabic Typesetting"/>
        </w:rPr>
      </w:pPr>
      <w:r w:rsidRPr="007B25AE">
        <w:rPr>
          <w:rFonts w:ascii="Baskerville" w:eastAsia="MS PMincho" w:hAnsi="Baskerville" w:cs="Arabic Typesetting"/>
        </w:rPr>
        <w:t>attainment. National Bureau of Economic Research.</w:t>
      </w:r>
    </w:p>
    <w:p w14:paraId="0418949B" w14:textId="77777777" w:rsidR="00A17FCC" w:rsidRPr="007B25AE" w:rsidRDefault="00A17FCC" w:rsidP="00A17FCC">
      <w:pPr>
        <w:ind w:firstLine="720"/>
        <w:rPr>
          <w:rFonts w:ascii="Baskerville" w:eastAsia="MS PMincho" w:hAnsi="Baskerville" w:cs="Arabic Typesetting"/>
        </w:rPr>
      </w:pPr>
    </w:p>
    <w:p w14:paraId="354E48FD" w14:textId="788C1CA8" w:rsidR="007D5455" w:rsidRPr="007B25AE" w:rsidRDefault="007D5455" w:rsidP="007D5455">
      <w:pPr>
        <w:ind w:left="705" w:right="298" w:hanging="720"/>
        <w:rPr>
          <w:rFonts w:ascii="Baskerville" w:eastAsia="MS PMincho" w:hAnsi="Baskerville" w:cs="Arabic Typesetting"/>
        </w:rPr>
      </w:pPr>
      <w:r w:rsidRPr="007B25AE">
        <w:rPr>
          <w:rFonts w:ascii="Baskerville" w:eastAsia="MS PMincho" w:hAnsi="Baskerville" w:cs="Arabic Typesetting"/>
        </w:rPr>
        <w:t xml:space="preserve">Jordan, H.R., </w:t>
      </w:r>
      <w:proofErr w:type="spellStart"/>
      <w:r w:rsidRPr="007B25AE">
        <w:rPr>
          <w:rFonts w:ascii="Baskerville" w:eastAsia="MS PMincho" w:hAnsi="Baskerville" w:cs="Arabic Typesetting"/>
        </w:rPr>
        <w:t>Mendro</w:t>
      </w:r>
      <w:proofErr w:type="spellEnd"/>
      <w:r w:rsidRPr="007B25AE">
        <w:rPr>
          <w:rFonts w:ascii="Baskerville" w:eastAsia="MS PMincho" w:hAnsi="Baskerville" w:cs="Arabic Typesetting"/>
        </w:rPr>
        <w:t xml:space="preserve">, R., &amp; Weerasinghe, D. (1997).  Teacher effects on longitudinal student achievement:  A preliminary report on research on teacher effectiveness.  Paper  presented at the National Evaluation Institute, Indianapolis, IN.  Retrieved February 20,  </w:t>
      </w:r>
    </w:p>
    <w:p w14:paraId="1752D75F" w14:textId="77777777" w:rsidR="007D5455" w:rsidRPr="007B25AE" w:rsidRDefault="007D5455" w:rsidP="007D5455">
      <w:pPr>
        <w:spacing w:after="11"/>
        <w:ind w:left="715" w:right="230"/>
        <w:rPr>
          <w:rFonts w:ascii="Baskerville" w:eastAsia="MS PMincho" w:hAnsi="Baskerville" w:cs="Arabic Typesetting"/>
        </w:rPr>
      </w:pPr>
      <w:r w:rsidRPr="007B25AE">
        <w:rPr>
          <w:rFonts w:ascii="Baskerville" w:eastAsia="MS PMincho" w:hAnsi="Baskerville" w:cs="Arabic Typesetting"/>
        </w:rPr>
        <w:t xml:space="preserve">2010, from, </w:t>
      </w:r>
      <w:hyperlink r:id="rId23">
        <w:r w:rsidRPr="007B25AE">
          <w:rPr>
            <w:rFonts w:ascii="Baskerville" w:eastAsia="MS PMincho" w:hAnsi="Baskerville" w:cs="Arabic Typesetting"/>
            <w:color w:val="0000FF"/>
            <w:u w:val="single" w:color="0000FF"/>
          </w:rPr>
          <w:t>http://www.dallasisd.org/eval/research/articles/Jordan-Teacher-Effects-on</w:t>
        </w:r>
      </w:hyperlink>
      <w:hyperlink r:id="rId24">
        <w:r w:rsidRPr="007B25AE">
          <w:rPr>
            <w:rFonts w:ascii="Baskerville" w:eastAsia="MS PMincho" w:hAnsi="Baskerville" w:cs="Arabic Typesetting"/>
            <w:color w:val="0000FF"/>
            <w:u w:val="single" w:color="0000FF"/>
          </w:rPr>
          <w:t>Longitudinal-Student-Achievement-1997.pdf</w:t>
        </w:r>
      </w:hyperlink>
      <w:r w:rsidRPr="007B25AE">
        <w:rPr>
          <w:rFonts w:ascii="Baskerville" w:eastAsia="MS PMincho" w:hAnsi="Baskerville" w:cs="Arabic Typesetting"/>
          <w:color w:val="0000FF"/>
          <w:u w:val="single" w:color="0000FF"/>
        </w:rPr>
        <w:t>.</w:t>
      </w:r>
      <w:hyperlink r:id="rId25">
        <w:r w:rsidRPr="007B25AE">
          <w:rPr>
            <w:rFonts w:ascii="Baskerville" w:eastAsia="MS PMincho" w:hAnsi="Baskerville" w:cs="Arabic Typesetting"/>
          </w:rPr>
          <w:t xml:space="preserve"> </w:t>
        </w:r>
      </w:hyperlink>
    </w:p>
    <w:p w14:paraId="5018F86D" w14:textId="77777777" w:rsidR="00276777" w:rsidRPr="007B25AE" w:rsidRDefault="00276777" w:rsidP="00276777">
      <w:pPr>
        <w:spacing w:after="11"/>
        <w:ind w:right="230"/>
        <w:rPr>
          <w:rFonts w:ascii="Baskerville" w:eastAsia="MS PMincho" w:hAnsi="Baskerville" w:cs="Arabic Typesetting"/>
        </w:rPr>
      </w:pPr>
    </w:p>
    <w:p w14:paraId="29F6FFF3" w14:textId="3D087591" w:rsidR="00276777" w:rsidRPr="007B25AE" w:rsidRDefault="00276777" w:rsidP="00276777">
      <w:pPr>
        <w:spacing w:after="11"/>
        <w:ind w:right="230"/>
        <w:rPr>
          <w:rFonts w:ascii="Baskerville" w:eastAsia="MS PMincho" w:hAnsi="Baskerville" w:cs="Arabic Typesetting"/>
        </w:rPr>
      </w:pPr>
      <w:r w:rsidRPr="007B25AE">
        <w:rPr>
          <w:rFonts w:ascii="Baskerville" w:eastAsia="MS PMincho" w:hAnsi="Baskerville" w:cs="Arabic Typesetting"/>
        </w:rPr>
        <w:t>King, Jr., John (2016, March 8). Speaking at Howard University.</w:t>
      </w:r>
    </w:p>
    <w:p w14:paraId="514819D7" w14:textId="46DF1DEE" w:rsidR="000B4B04" w:rsidRPr="007B25AE" w:rsidRDefault="000B4B04" w:rsidP="00F763AA">
      <w:pPr>
        <w:rPr>
          <w:rFonts w:ascii="Baskerville" w:eastAsia="MS PMincho" w:hAnsi="Baskerville" w:cs="Arabic Typesetting"/>
        </w:rPr>
      </w:pPr>
      <w:r w:rsidRPr="007B25AE">
        <w:rPr>
          <w:rFonts w:ascii="Baskerville" w:eastAsia="MS PMincho" w:hAnsi="Baskerville" w:cs="Arabic Typesetting"/>
        </w:rPr>
        <w:t xml:space="preserve"> </w:t>
      </w:r>
    </w:p>
    <w:p w14:paraId="68856910" w14:textId="77777777" w:rsidR="008D04C2"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Kofoed, Michael S. et al. (2019). The effects of same gender or same race on role models </w:t>
      </w:r>
    </w:p>
    <w:p w14:paraId="4B304308" w14:textId="77777777" w:rsidR="008D04C2" w:rsidRPr="007B25AE" w:rsidRDefault="000B4B04" w:rsidP="008D04C2">
      <w:pPr>
        <w:ind w:firstLine="720"/>
        <w:rPr>
          <w:rFonts w:ascii="Baskerville" w:eastAsia="MS PMincho" w:hAnsi="Baskerville" w:cs="Arabic Typesetting"/>
        </w:rPr>
      </w:pPr>
      <w:r w:rsidRPr="007B25AE">
        <w:rPr>
          <w:rFonts w:ascii="Baskerville" w:eastAsia="MS PMincho" w:hAnsi="Baskerville" w:cs="Arabic Typesetting"/>
        </w:rPr>
        <w:t xml:space="preserve">on occupation choice evidenced from randomly assigned mentors at West Point, </w:t>
      </w:r>
    </w:p>
    <w:p w14:paraId="1BB71402" w14:textId="0D964E12" w:rsidR="009773F2" w:rsidRPr="007B25AE" w:rsidRDefault="000B4B04" w:rsidP="00D00641">
      <w:pPr>
        <w:ind w:firstLine="720"/>
        <w:rPr>
          <w:rFonts w:ascii="Baskerville" w:eastAsia="MS PMincho" w:hAnsi="Baskerville" w:cs="Arabic Typesetting"/>
        </w:rPr>
      </w:pPr>
      <w:r w:rsidRPr="007B25AE">
        <w:rPr>
          <w:rFonts w:ascii="Baskerville" w:eastAsia="MS PMincho" w:hAnsi="Baskerville" w:cs="Arabic Typesetting"/>
        </w:rPr>
        <w:t>Journal of Human resources, 54 (2), 430-467.</w:t>
      </w:r>
    </w:p>
    <w:p w14:paraId="07707DA6" w14:textId="5F5040EB" w:rsidR="00D00641" w:rsidRPr="007B25AE" w:rsidRDefault="009773F2" w:rsidP="00D00641">
      <w:pPr>
        <w:pStyle w:val="NormalWeb"/>
        <w:rPr>
          <w:rFonts w:ascii="Baskerville" w:eastAsia="MS PMincho" w:hAnsi="Baskerville" w:cs="Arabic Typesetting"/>
        </w:rPr>
      </w:pPr>
      <w:r w:rsidRPr="007B25AE">
        <w:rPr>
          <w:rFonts w:ascii="Baskerville" w:eastAsia="MS PMincho" w:hAnsi="Baskerville" w:cs="Arabic Typesetting"/>
        </w:rPr>
        <w:t xml:space="preserve">Kluger, Richard (1976). The history of Brown v. Board of education and Black </w:t>
      </w:r>
      <w:r w:rsidR="00D00641" w:rsidRPr="007B25AE">
        <w:rPr>
          <w:rFonts w:ascii="Baskerville" w:eastAsia="MS PMincho" w:hAnsi="Baskerville" w:cs="Arabic Typesetting"/>
        </w:rPr>
        <w:t>American</w:t>
      </w:r>
      <w:r w:rsidRPr="007B25AE">
        <w:rPr>
          <w:rFonts w:ascii="Baskerville" w:eastAsia="MS PMincho" w:hAnsi="Baskerville" w:cs="Arabic Typesetting"/>
        </w:rPr>
        <w:t xml:space="preserve">               </w:t>
      </w:r>
      <w:r w:rsidR="00D00641" w:rsidRPr="007B25AE">
        <w:rPr>
          <w:rFonts w:ascii="Baskerville" w:eastAsia="MS PMincho" w:hAnsi="Baskerville" w:cs="Arabic Typesetting"/>
        </w:rPr>
        <w:t xml:space="preserve">      </w:t>
      </w:r>
    </w:p>
    <w:p w14:paraId="72CF4F35" w14:textId="1FEFC315" w:rsidR="000B4B04" w:rsidRPr="007B25AE" w:rsidRDefault="00D00641" w:rsidP="00D00641">
      <w:pPr>
        <w:pStyle w:val="NormalWeb"/>
        <w:rPr>
          <w:rFonts w:ascii="Baskerville" w:eastAsia="MS PMincho" w:hAnsi="Baskerville" w:cs="Arabic Typesetting"/>
        </w:rPr>
      </w:pPr>
      <w:r w:rsidRPr="007B25AE">
        <w:rPr>
          <w:rFonts w:ascii="Baskerville" w:eastAsia="MS PMincho" w:hAnsi="Baskerville" w:cs="Arabic Typesetting"/>
        </w:rPr>
        <w:t xml:space="preserve"> </w:t>
      </w:r>
      <w:r w:rsidRPr="007B25AE">
        <w:rPr>
          <w:rFonts w:ascii="Baskerville" w:eastAsia="MS PMincho" w:hAnsi="Baskerville" w:cs="Arabic Typesetting"/>
        </w:rPr>
        <w:tab/>
        <w:t>struggle for equality. Simple Justice.</w:t>
      </w:r>
    </w:p>
    <w:p w14:paraId="161E9D6A" w14:textId="77777777" w:rsidR="000B4B04"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Ladson-Billings, gloria (1995). Toward a theory of culturally relevant pedagogue. American </w:t>
      </w:r>
    </w:p>
    <w:p w14:paraId="2F89BA69" w14:textId="77777777" w:rsidR="000B4B04" w:rsidRPr="007B25AE" w:rsidRDefault="000B4B04" w:rsidP="000B4B04">
      <w:pPr>
        <w:ind w:firstLine="720"/>
        <w:rPr>
          <w:rFonts w:ascii="Baskerville" w:eastAsia="MS PMincho" w:hAnsi="Baskerville" w:cs="Arabic Typesetting"/>
        </w:rPr>
      </w:pPr>
      <w:r w:rsidRPr="007B25AE">
        <w:rPr>
          <w:rFonts w:ascii="Baskerville" w:eastAsia="MS PMincho" w:hAnsi="Baskerville" w:cs="Arabic Typesetting"/>
        </w:rPr>
        <w:t>Educational Research Journal, 32 (3), 809-835.</w:t>
      </w:r>
    </w:p>
    <w:p w14:paraId="5E93DB2B" w14:textId="605D12E3" w:rsidR="000B4B04" w:rsidRPr="007B25AE" w:rsidRDefault="000B4B04" w:rsidP="006F0246">
      <w:pPr>
        <w:spacing w:after="18"/>
        <w:ind w:right="38"/>
        <w:rPr>
          <w:rFonts w:ascii="Baskerville" w:eastAsia="MS PMincho" w:hAnsi="Baskerville" w:cs="Arabic Typesetting"/>
          <w:color w:val="000000" w:themeColor="text1"/>
        </w:rPr>
      </w:pPr>
    </w:p>
    <w:p w14:paraId="4378A00C" w14:textId="47E1D1DA" w:rsidR="008D04C2" w:rsidRPr="007B25AE" w:rsidRDefault="000B4B04" w:rsidP="008D04C2">
      <w:pPr>
        <w:spacing w:after="18"/>
        <w:ind w:right="38"/>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Lareau, A., (2002). Invisible inequality: Social class and childbearing I Black families and </w:t>
      </w:r>
    </w:p>
    <w:p w14:paraId="1D6D7986" w14:textId="38577C71" w:rsidR="000B4B04" w:rsidRPr="007B25AE" w:rsidRDefault="000B4B04" w:rsidP="008D04C2">
      <w:pPr>
        <w:spacing w:after="18"/>
        <w:ind w:right="38"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White families. American Sociological review, </w:t>
      </w:r>
      <w:r w:rsidR="007C32F9" w:rsidRPr="007B25AE">
        <w:rPr>
          <w:rFonts w:ascii="Baskerville" w:eastAsia="MS PMincho" w:hAnsi="Baskerville" w:cs="Arabic Typesetting"/>
          <w:color w:val="000000" w:themeColor="text1"/>
        </w:rPr>
        <w:t>6</w:t>
      </w:r>
      <w:r w:rsidRPr="007B25AE">
        <w:rPr>
          <w:rFonts w:ascii="Baskerville" w:eastAsia="MS PMincho" w:hAnsi="Baskerville" w:cs="Arabic Typesetting"/>
          <w:color w:val="000000" w:themeColor="text1"/>
        </w:rPr>
        <w:t xml:space="preserve"> (5), 747-776.</w:t>
      </w:r>
    </w:p>
    <w:p w14:paraId="0BDBDB6E" w14:textId="77777777" w:rsidR="000B4B04" w:rsidRPr="007B25AE" w:rsidRDefault="000B4B04" w:rsidP="000B4B04">
      <w:pPr>
        <w:spacing w:after="18"/>
        <w:ind w:right="38"/>
        <w:rPr>
          <w:rFonts w:ascii="Baskerville" w:eastAsia="MS PMincho" w:hAnsi="Baskerville" w:cs="Arabic Typesetting"/>
          <w:color w:val="000000" w:themeColor="text1"/>
        </w:rPr>
      </w:pPr>
    </w:p>
    <w:p w14:paraId="31B0968C" w14:textId="77777777" w:rsidR="008D04C2" w:rsidRPr="007B25AE" w:rsidRDefault="000B4B04" w:rsidP="000B4B04">
      <w:pPr>
        <w:spacing w:after="18"/>
        <w:ind w:right="38"/>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Levy, Frank (1971). Northern schools and civil rights: The racial imbalance act of </w:t>
      </w:r>
    </w:p>
    <w:p w14:paraId="4FF9B51B" w14:textId="5E8C467C" w:rsidR="000B4B04" w:rsidRPr="007B25AE" w:rsidRDefault="000B4B04" w:rsidP="008D04C2">
      <w:pPr>
        <w:spacing w:after="18"/>
        <w:ind w:right="38"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Massachusetts. Chicago: Markham Publisher, p. 1.</w:t>
      </w:r>
    </w:p>
    <w:p w14:paraId="39A5BF4D" w14:textId="77777777" w:rsidR="000B4B04" w:rsidRPr="007B25AE" w:rsidRDefault="000B4B04" w:rsidP="000B4B04">
      <w:pPr>
        <w:spacing w:after="18"/>
        <w:ind w:right="38"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 </w:t>
      </w:r>
    </w:p>
    <w:p w14:paraId="08FB8E07" w14:textId="77777777" w:rsidR="008D04C2"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Lindsay, Constance A. and Hart Cassandra M.D. (2017). Exposure to same race teachers </w:t>
      </w:r>
    </w:p>
    <w:p w14:paraId="40803F8E" w14:textId="3046B69A" w:rsidR="000B4B04" w:rsidRPr="007B25AE" w:rsidRDefault="000B4B04" w:rsidP="008D04C2">
      <w:pPr>
        <w:ind w:left="720"/>
        <w:rPr>
          <w:rFonts w:ascii="Baskerville" w:eastAsia="MS PMincho" w:hAnsi="Baskerville" w:cs="Arabic Typesetting"/>
        </w:rPr>
      </w:pPr>
      <w:r w:rsidRPr="007B25AE">
        <w:rPr>
          <w:rFonts w:ascii="Baskerville" w:eastAsia="MS PMincho" w:hAnsi="Baskerville" w:cs="Arabic Typesetting"/>
        </w:rPr>
        <w:t>and student discipline outcomes for Black students in North Carolina, Educational Evaluation and Policy Analysis, 39 (3), 485-510.</w:t>
      </w:r>
    </w:p>
    <w:p w14:paraId="6A899B92" w14:textId="77777777" w:rsidR="00497FF3" w:rsidRPr="007B25AE" w:rsidRDefault="00497FF3" w:rsidP="008D04C2">
      <w:pPr>
        <w:ind w:left="720"/>
        <w:rPr>
          <w:rFonts w:ascii="Baskerville" w:eastAsia="MS PMincho" w:hAnsi="Baskerville" w:cs="Arabic Typesetting"/>
        </w:rPr>
      </w:pPr>
    </w:p>
    <w:p w14:paraId="06652EEA" w14:textId="6E20D53E" w:rsidR="00497FF3" w:rsidRPr="007B25AE" w:rsidRDefault="00497FF3" w:rsidP="00497FF3">
      <w:pPr>
        <w:rPr>
          <w:rFonts w:ascii="Baskerville" w:eastAsia="MS PMincho" w:hAnsi="Baskerville" w:cs="Arabic Typesetting"/>
        </w:rPr>
      </w:pPr>
      <w:r w:rsidRPr="007B25AE">
        <w:rPr>
          <w:rFonts w:ascii="Baskerville" w:eastAsia="MS PMincho" w:hAnsi="Baskerville" w:cs="Arabic Typesetting"/>
        </w:rPr>
        <w:t>*Lieke (2006)</w:t>
      </w:r>
    </w:p>
    <w:p w14:paraId="4452A874" w14:textId="77777777" w:rsidR="007F4D69" w:rsidRPr="007B25AE" w:rsidRDefault="007F4D69" w:rsidP="006F0246">
      <w:pPr>
        <w:rPr>
          <w:rFonts w:ascii="Baskerville" w:eastAsia="MS PMincho" w:hAnsi="Baskerville" w:cs="Arabic Typesetting"/>
          <w:color w:val="000000" w:themeColor="text1"/>
          <w:shd w:val="clear" w:color="auto" w:fill="FFFFFF"/>
        </w:rPr>
      </w:pPr>
    </w:p>
    <w:p w14:paraId="43C97873" w14:textId="77777777" w:rsidR="007F4D69" w:rsidRPr="007B25AE" w:rsidRDefault="007F4D69" w:rsidP="007F4D69">
      <w:pPr>
        <w:ind w:left="-5" w:right="298"/>
        <w:rPr>
          <w:rFonts w:ascii="Baskerville" w:eastAsia="MS PMincho" w:hAnsi="Baskerville" w:cs="Arabic Typesetting"/>
        </w:rPr>
      </w:pPr>
      <w:r w:rsidRPr="007B25AE">
        <w:rPr>
          <w:rFonts w:ascii="Baskerville" w:eastAsia="MS PMincho" w:hAnsi="Baskerville" w:cs="Arabic Typesetting"/>
        </w:rPr>
        <w:t xml:space="preserve">Lortie, D.C. (1975).  Schoolteacher:  A sociological study.  Chicago:  University of </w:t>
      </w:r>
    </w:p>
    <w:p w14:paraId="231EAE11" w14:textId="77777777" w:rsidR="007F4D69" w:rsidRPr="007B25AE" w:rsidRDefault="007F4D69" w:rsidP="007F4D69">
      <w:pPr>
        <w:ind w:left="-5" w:right="298" w:firstLine="725"/>
        <w:rPr>
          <w:rFonts w:ascii="Baskerville" w:eastAsia="MS PMincho" w:hAnsi="Baskerville" w:cs="Arabic Typesetting"/>
        </w:rPr>
      </w:pPr>
      <w:r w:rsidRPr="007B25AE">
        <w:rPr>
          <w:rFonts w:ascii="Baskerville" w:eastAsia="MS PMincho" w:hAnsi="Baskerville" w:cs="Arabic Typesetting"/>
        </w:rPr>
        <w:t>Chicago  Press.</w:t>
      </w:r>
    </w:p>
    <w:p w14:paraId="6011EC02" w14:textId="77777777" w:rsidR="000B4B04" w:rsidRPr="007B25AE" w:rsidRDefault="000B4B04" w:rsidP="006F0246">
      <w:pPr>
        <w:rPr>
          <w:rFonts w:ascii="Baskerville" w:eastAsia="MS PMincho" w:hAnsi="Baskerville" w:cs="Arabic Typesetting"/>
        </w:rPr>
      </w:pPr>
    </w:p>
    <w:p w14:paraId="2A9803D6" w14:textId="77777777" w:rsidR="000B4B04"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Lutz, Mallory (2017). The hidden cost of Brown v. Board: African American educators’ </w:t>
      </w:r>
    </w:p>
    <w:p w14:paraId="24D7ECEE" w14:textId="77777777" w:rsidR="000B4B04" w:rsidRPr="007B25AE" w:rsidRDefault="000B4B04" w:rsidP="000B4B04">
      <w:pPr>
        <w:ind w:left="720"/>
        <w:rPr>
          <w:rFonts w:ascii="Baskerville" w:eastAsia="MS PMincho" w:hAnsi="Baskerville" w:cs="Arabic Typesetting"/>
        </w:rPr>
      </w:pPr>
      <w:r w:rsidRPr="007B25AE">
        <w:rPr>
          <w:rFonts w:ascii="Baskerville" w:eastAsia="MS PMincho" w:hAnsi="Baskerville" w:cs="Arabic Typesetting"/>
        </w:rPr>
        <w:t xml:space="preserve">Resistance to desegregating schools,” Online Journal of Rural Research &amp; Policy, 12 (4), </w:t>
      </w:r>
      <w:proofErr w:type="spellStart"/>
      <w:r w:rsidRPr="007B25AE">
        <w:rPr>
          <w:rFonts w:ascii="Baskerville" w:eastAsia="MS PMincho" w:hAnsi="Baskerville" w:cs="Arabic Typesetting"/>
        </w:rPr>
        <w:t>npn</w:t>
      </w:r>
      <w:proofErr w:type="spellEnd"/>
      <w:r w:rsidRPr="007B25AE">
        <w:rPr>
          <w:rFonts w:ascii="Baskerville" w:eastAsia="MS PMincho" w:hAnsi="Baskerville" w:cs="Arabic Typesetting"/>
        </w:rPr>
        <w:t>. hppts://doi.org/10.3102/0091732x1668949.</w:t>
      </w:r>
    </w:p>
    <w:p w14:paraId="0AA9252E" w14:textId="77777777" w:rsidR="000B4B04" w:rsidRPr="007B25AE" w:rsidRDefault="000B4B04" w:rsidP="000B4B04">
      <w:pPr>
        <w:ind w:left="720"/>
        <w:rPr>
          <w:rFonts w:ascii="Baskerville" w:eastAsia="MS PMincho" w:hAnsi="Baskerville" w:cs="Arabic Typesetting"/>
        </w:rPr>
      </w:pPr>
    </w:p>
    <w:p w14:paraId="5075C61B" w14:textId="77777777" w:rsidR="008D04C2"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MacEachern, Elaine (1970). Emancipation of slavery in Massachusetts: A re-examination </w:t>
      </w:r>
    </w:p>
    <w:p w14:paraId="734227D9" w14:textId="349222ED" w:rsidR="000B4B04" w:rsidRPr="007B25AE" w:rsidRDefault="000B4B04" w:rsidP="006F0246">
      <w:pPr>
        <w:ind w:firstLine="720"/>
        <w:rPr>
          <w:rFonts w:ascii="Baskerville" w:eastAsia="MS PMincho" w:hAnsi="Baskerville" w:cs="Arabic Typesetting"/>
        </w:rPr>
      </w:pPr>
      <w:r w:rsidRPr="007B25AE">
        <w:rPr>
          <w:rFonts w:ascii="Baskerville" w:eastAsia="MS PMincho" w:hAnsi="Baskerville" w:cs="Arabic Typesetting"/>
        </w:rPr>
        <w:t xml:space="preserve">1770-1790. The Journal of Negro History, 55 (289), 103-105. </w:t>
      </w:r>
    </w:p>
    <w:p w14:paraId="37BE24AD" w14:textId="77777777" w:rsidR="007C32F9" w:rsidRPr="007B25AE" w:rsidRDefault="007C32F9" w:rsidP="006F0246">
      <w:pPr>
        <w:ind w:firstLine="720"/>
        <w:rPr>
          <w:rFonts w:ascii="Baskerville" w:eastAsia="MS PMincho" w:hAnsi="Baskerville" w:cs="Arabic Typesetting"/>
        </w:rPr>
      </w:pPr>
    </w:p>
    <w:p w14:paraId="1B82A9A5" w14:textId="5D949878" w:rsidR="007C32F9" w:rsidRPr="007B25AE" w:rsidRDefault="007C32F9" w:rsidP="007C32F9">
      <w:pPr>
        <w:rPr>
          <w:rFonts w:ascii="Baskerville" w:eastAsia="MS PMincho" w:hAnsi="Baskerville" w:cs="Arabic Typesetting"/>
        </w:rPr>
      </w:pPr>
      <w:r w:rsidRPr="007B25AE">
        <w:rPr>
          <w:rFonts w:ascii="Baskerville" w:eastAsia="MS PMincho" w:hAnsi="Baskerville" w:cs="Arabic Typesetting"/>
        </w:rPr>
        <w:t>Massachusetts Supreme Judicial Court Records</w:t>
      </w:r>
      <w:r w:rsidR="00C143B9" w:rsidRPr="007B25AE">
        <w:rPr>
          <w:rFonts w:ascii="Baskerville" w:eastAsia="MS PMincho" w:hAnsi="Baskerville" w:cs="Arabic Typesetting"/>
        </w:rPr>
        <w:t xml:space="preserve"> </w:t>
      </w:r>
      <w:r w:rsidRPr="007B25AE">
        <w:rPr>
          <w:rFonts w:ascii="Baskerville" w:eastAsia="MS PMincho" w:hAnsi="Baskerville" w:cs="Arabic Typesetting"/>
        </w:rPr>
        <w:t>1849.</w:t>
      </w:r>
    </w:p>
    <w:p w14:paraId="65B9EFFA" w14:textId="77777777" w:rsidR="005767BF" w:rsidRPr="007B25AE" w:rsidRDefault="005767BF" w:rsidP="007C32F9">
      <w:pPr>
        <w:rPr>
          <w:rFonts w:ascii="Baskerville" w:eastAsia="MS PMincho" w:hAnsi="Baskerville" w:cs="Arabic Typesetting"/>
        </w:rPr>
      </w:pPr>
    </w:p>
    <w:p w14:paraId="251B4813" w14:textId="77777777" w:rsidR="005767BF" w:rsidRPr="007B25AE" w:rsidRDefault="005767BF" w:rsidP="007C32F9">
      <w:pPr>
        <w:rPr>
          <w:rFonts w:ascii="Baskerville" w:eastAsia="MS PMincho" w:hAnsi="Baskerville" w:cs="Arabic Typesetting"/>
        </w:rPr>
      </w:pPr>
      <w:r w:rsidRPr="007B25AE">
        <w:rPr>
          <w:rFonts w:ascii="Baskerville" w:eastAsia="MS PMincho" w:hAnsi="Baskerville" w:cs="Arabic Typesetting"/>
        </w:rPr>
        <w:t xml:space="preserve">McDonald, Amaya (2023, March 8, 5:13pm EST). Why are So Few Black Men teachers in New </w:t>
      </w:r>
    </w:p>
    <w:p w14:paraId="6A7D7366" w14:textId="41866C16" w:rsidR="005767BF" w:rsidRPr="007B25AE" w:rsidRDefault="005767BF" w:rsidP="005767BF">
      <w:pPr>
        <w:ind w:firstLine="720"/>
        <w:rPr>
          <w:rFonts w:ascii="Baskerville" w:eastAsia="MS PMincho" w:hAnsi="Baskerville" w:cs="Arabic Typesetting"/>
        </w:rPr>
      </w:pPr>
      <w:r w:rsidRPr="007B25AE">
        <w:rPr>
          <w:rFonts w:ascii="Baskerville" w:eastAsia="MS PMincho" w:hAnsi="Baskerville" w:cs="Arabic Typesetting"/>
        </w:rPr>
        <w:t xml:space="preserve">York City. Chalkbeat New York. </w:t>
      </w:r>
    </w:p>
    <w:p w14:paraId="01307443" w14:textId="77777777" w:rsidR="000B4B04" w:rsidRPr="007B25AE" w:rsidRDefault="000B4B04" w:rsidP="000B4B04">
      <w:pPr>
        <w:rPr>
          <w:rFonts w:ascii="Baskerville" w:eastAsia="MS PMincho" w:hAnsi="Baskerville" w:cs="Arabic Typesetting"/>
        </w:rPr>
      </w:pPr>
    </w:p>
    <w:p w14:paraId="3AE8D7ED" w14:textId="77777777" w:rsidR="000B4B04"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Melish, Joanne Pope (2000). Disowning slavery: Gradual emancipation and race in New </w:t>
      </w:r>
    </w:p>
    <w:p w14:paraId="11B071AC" w14:textId="77777777" w:rsidR="000B4B04" w:rsidRPr="007B25AE" w:rsidRDefault="000B4B04" w:rsidP="000B4B04">
      <w:pPr>
        <w:ind w:firstLine="720"/>
        <w:rPr>
          <w:rFonts w:ascii="Baskerville" w:eastAsia="MS PMincho" w:hAnsi="Baskerville" w:cs="Arabic Typesetting"/>
        </w:rPr>
      </w:pPr>
      <w:r w:rsidRPr="007B25AE">
        <w:rPr>
          <w:rFonts w:ascii="Baskerville" w:eastAsia="MS PMincho" w:hAnsi="Baskerville" w:cs="Arabic Typesetting"/>
        </w:rPr>
        <w:t xml:space="preserve">England (1780-1860), pp. 56-57 </w:t>
      </w:r>
    </w:p>
    <w:p w14:paraId="256DE7FF" w14:textId="03C2A032" w:rsidR="00C11906" w:rsidRPr="007B25AE" w:rsidRDefault="000B4B04" w:rsidP="00C11906">
      <w:pPr>
        <w:spacing w:after="4" w:line="252" w:lineRule="auto"/>
        <w:rPr>
          <w:rFonts w:ascii="Baskerville" w:eastAsia="MS PMincho" w:hAnsi="Baskerville" w:cs="Arabic Typesetting"/>
        </w:rPr>
      </w:pPr>
      <w:r w:rsidRPr="007B25AE">
        <w:rPr>
          <w:rFonts w:ascii="Baskerville" w:eastAsia="MS PMincho" w:hAnsi="Baskerville" w:cs="Arabic Typesetting"/>
        </w:rPr>
        <w:t xml:space="preserve"> </w:t>
      </w:r>
    </w:p>
    <w:p w14:paraId="2F647BD8" w14:textId="77777777" w:rsidR="00C11906" w:rsidRPr="007B25AE" w:rsidRDefault="00C11906" w:rsidP="00C11906">
      <w:pPr>
        <w:rPr>
          <w:rFonts w:ascii="Baskerville" w:eastAsia="MS PMincho" w:hAnsi="Baskerville" w:cs="Arabic Typesetting"/>
        </w:rPr>
      </w:pPr>
      <w:r w:rsidRPr="007B25AE">
        <w:rPr>
          <w:rFonts w:ascii="Baskerville" w:eastAsia="MS PMincho" w:hAnsi="Baskerville" w:cs="Arabic Typesetting"/>
        </w:rPr>
        <w:t xml:space="preserve">Morgan, G. A. (2000). Quasi-Experimental Designs. Journal of the American Academy of </w:t>
      </w:r>
    </w:p>
    <w:p w14:paraId="3CEFDA1F" w14:textId="09ABD365" w:rsidR="00C11906" w:rsidRPr="007B25AE" w:rsidRDefault="00C11906" w:rsidP="00C11906">
      <w:pPr>
        <w:ind w:firstLine="720"/>
        <w:rPr>
          <w:rFonts w:ascii="Baskerville" w:eastAsia="MS PMincho" w:hAnsi="Baskerville" w:cs="Arabic Typesetting"/>
        </w:rPr>
      </w:pPr>
      <w:r w:rsidRPr="007B25AE">
        <w:rPr>
          <w:rFonts w:ascii="Baskerville" w:eastAsia="MS PMincho" w:hAnsi="Baskerville" w:cs="Arabic Typesetting"/>
        </w:rPr>
        <w:t>Child &amp;</w:t>
      </w:r>
      <w:r w:rsidR="007D5455" w:rsidRPr="007B25AE">
        <w:rPr>
          <w:rFonts w:ascii="Baskerville" w:eastAsia="MS PMincho" w:hAnsi="Baskerville" w:cs="Arabic Typesetting"/>
        </w:rPr>
        <w:t xml:space="preserve"> </w:t>
      </w:r>
      <w:r w:rsidRPr="007B25AE">
        <w:rPr>
          <w:rFonts w:ascii="Baskerville" w:eastAsia="MS PMincho" w:hAnsi="Baskerville" w:cs="Arabic Typesetting"/>
        </w:rPr>
        <w:t xml:space="preserve">Adolescent  Psychiatry, 39(6) 794-796. </w:t>
      </w:r>
    </w:p>
    <w:p w14:paraId="6A5F6AE6" w14:textId="77777777" w:rsidR="000B4B04" w:rsidRPr="007B25AE" w:rsidRDefault="000B4B04" w:rsidP="00C11906">
      <w:pPr>
        <w:rPr>
          <w:rFonts w:ascii="Baskerville" w:eastAsia="MS PMincho" w:hAnsi="Baskerville" w:cs="Arabic Typesetting"/>
        </w:rPr>
      </w:pPr>
    </w:p>
    <w:p w14:paraId="5591419C" w14:textId="77777777" w:rsidR="008D04C2"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Nasella, Melisa (2002). Desegregating Boston’s schools: Episode I. Thesis submitted to </w:t>
      </w:r>
    </w:p>
    <w:p w14:paraId="0FEB7F6F" w14:textId="408ED20B" w:rsidR="000B4B04" w:rsidRPr="007B25AE" w:rsidRDefault="000B4B04" w:rsidP="008D04C2">
      <w:pPr>
        <w:ind w:firstLine="720"/>
        <w:rPr>
          <w:rFonts w:ascii="Baskerville" w:eastAsia="MS PMincho" w:hAnsi="Baskerville" w:cs="Arabic Typesetting"/>
        </w:rPr>
      </w:pPr>
      <w:r w:rsidRPr="007B25AE">
        <w:rPr>
          <w:rFonts w:ascii="Baskerville" w:eastAsia="MS PMincho" w:hAnsi="Baskerville" w:cs="Arabic Typesetting"/>
        </w:rPr>
        <w:t xml:space="preserve">College of William and Mary in Virginia. </w:t>
      </w:r>
    </w:p>
    <w:p w14:paraId="5884708F" w14:textId="77777777" w:rsidR="000B4B04" w:rsidRPr="007B25AE" w:rsidRDefault="000B4B04" w:rsidP="000B4B04">
      <w:pPr>
        <w:ind w:firstLine="720"/>
        <w:rPr>
          <w:rFonts w:ascii="Baskerville" w:eastAsia="MS PMincho" w:hAnsi="Baskerville" w:cs="Arabic Typesetting"/>
        </w:rPr>
      </w:pPr>
    </w:p>
    <w:p w14:paraId="6BDEF05E" w14:textId="77777777" w:rsidR="000B4B04"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National Archives. Biographies of Key Figure in Brown v. Board of Education (5 cases </w:t>
      </w:r>
    </w:p>
    <w:p w14:paraId="62B83EDB" w14:textId="77777777" w:rsidR="000B4B04" w:rsidRPr="007B25AE" w:rsidRDefault="000B4B04" w:rsidP="000B4B04">
      <w:pPr>
        <w:ind w:firstLine="720"/>
        <w:rPr>
          <w:rFonts w:ascii="Baskerville" w:eastAsia="MS PMincho" w:hAnsi="Baskerville" w:cs="Arabic Typesetting"/>
        </w:rPr>
      </w:pPr>
      <w:r w:rsidRPr="007B25AE">
        <w:rPr>
          <w:rFonts w:ascii="Baskerville" w:eastAsia="MS PMincho" w:hAnsi="Baskerville" w:cs="Arabic Typesetting"/>
        </w:rPr>
        <w:t xml:space="preserve">consolidated under Brown v. Board </w:t>
      </w:r>
    </w:p>
    <w:p w14:paraId="51504960" w14:textId="77777777" w:rsidR="000B4B04" w:rsidRPr="007B25AE" w:rsidRDefault="000B4B04" w:rsidP="000B4B04">
      <w:pPr>
        <w:rPr>
          <w:rFonts w:ascii="Baskerville" w:eastAsia="MS PMincho" w:hAnsi="Baskerville" w:cs="Arabic Typesetting"/>
        </w:rPr>
      </w:pPr>
    </w:p>
    <w:p w14:paraId="682D1D4D" w14:textId="7FC7F1BF" w:rsidR="008D04C2" w:rsidRPr="007B25AE" w:rsidRDefault="000B4B04" w:rsidP="000B2624">
      <w:pPr>
        <w:rPr>
          <w:rFonts w:ascii="Baskerville" w:eastAsia="MS PMincho" w:hAnsi="Baskerville" w:cs="Arabic Typesetting"/>
        </w:rPr>
      </w:pPr>
      <w:r w:rsidRPr="007B25AE">
        <w:rPr>
          <w:rFonts w:ascii="Baskerville" w:eastAsia="MS PMincho" w:hAnsi="Baskerville" w:cs="Arabic Typesetting"/>
        </w:rPr>
        <w:t xml:space="preserve">Neal, Anthony W., Thompson, A.C., Waldron, Lucas; Mathias, Christopher (2018, March </w:t>
      </w:r>
    </w:p>
    <w:p w14:paraId="31CC237B" w14:textId="25CA0CBC" w:rsidR="000B4B04" w:rsidRPr="007B25AE" w:rsidRDefault="000B4B04" w:rsidP="008D04C2">
      <w:pPr>
        <w:ind w:left="720"/>
        <w:rPr>
          <w:rFonts w:ascii="Baskerville" w:eastAsia="MS PMincho" w:hAnsi="Baskerville" w:cs="Arabic Typesetting"/>
        </w:rPr>
      </w:pPr>
      <w:r w:rsidRPr="007B25AE">
        <w:rPr>
          <w:rFonts w:ascii="Baskerville" w:eastAsia="MS PMincho" w:hAnsi="Baskerville" w:cs="Arabic Typesetting"/>
        </w:rPr>
        <w:t>1). Pioneering Black teachers led the way in 1800s: Black women educated generations of students while leading charitable lives. ProPublica and Huffington Post. pp. 4-5.</w:t>
      </w:r>
    </w:p>
    <w:p w14:paraId="258209F4" w14:textId="77777777" w:rsidR="00D00641" w:rsidRPr="007B25AE" w:rsidRDefault="00D00641" w:rsidP="008D04C2">
      <w:pPr>
        <w:ind w:left="720"/>
        <w:rPr>
          <w:rFonts w:ascii="Baskerville" w:eastAsia="MS PMincho" w:hAnsi="Baskerville" w:cs="Arabic Typesetting"/>
        </w:rPr>
      </w:pPr>
    </w:p>
    <w:p w14:paraId="5428854E" w14:textId="77777777" w:rsidR="00D00641" w:rsidRPr="007B25AE" w:rsidRDefault="00D00641" w:rsidP="00D00641">
      <w:pPr>
        <w:ind w:left="-5" w:right="298"/>
        <w:rPr>
          <w:rFonts w:ascii="Baskerville" w:eastAsia="MS PMincho" w:hAnsi="Baskerville" w:cs="Arabic Typesetting"/>
        </w:rPr>
      </w:pPr>
      <w:r w:rsidRPr="007B25AE">
        <w:rPr>
          <w:rFonts w:ascii="Baskerville" w:eastAsia="MS PMincho" w:hAnsi="Baskerville" w:cs="Arabic Typesetting"/>
        </w:rPr>
        <w:t xml:space="preserve">Nye, B., Konstantopoulos, S., &amp; Hedges, L.V. (2004).  How large are teacher effects?    </w:t>
      </w:r>
    </w:p>
    <w:p w14:paraId="318EE49E" w14:textId="77777777" w:rsidR="00D00641" w:rsidRPr="007B25AE" w:rsidRDefault="00D00641" w:rsidP="00D00641">
      <w:pPr>
        <w:ind w:left="-5" w:right="298"/>
        <w:rPr>
          <w:rFonts w:ascii="Baskerville" w:eastAsia="MS PMincho" w:hAnsi="Baskerville" w:cs="Arabic Typesetting"/>
        </w:rPr>
      </w:pPr>
      <w:r w:rsidRPr="007B25AE">
        <w:rPr>
          <w:rFonts w:ascii="Baskerville" w:eastAsia="MS PMincho" w:hAnsi="Baskerville" w:cs="Arabic Typesetting"/>
        </w:rPr>
        <w:tab/>
      </w:r>
      <w:r w:rsidRPr="007B25AE">
        <w:rPr>
          <w:rFonts w:ascii="Baskerville" w:eastAsia="MS PMincho" w:hAnsi="Baskerville" w:cs="Arabic Typesetting"/>
        </w:rPr>
        <w:tab/>
        <w:t xml:space="preserve">Educational Evaluation and Policy Analysis, 26(3), 237-257. </w:t>
      </w:r>
    </w:p>
    <w:p w14:paraId="7F79E30C" w14:textId="77777777" w:rsidR="000B4B04" w:rsidRPr="007B25AE" w:rsidRDefault="000B4B04" w:rsidP="00D00641">
      <w:pPr>
        <w:rPr>
          <w:rFonts w:ascii="Baskerville" w:eastAsia="MS PMincho" w:hAnsi="Baskerville" w:cs="Arabic Typesetting"/>
        </w:rPr>
      </w:pPr>
    </w:p>
    <w:p w14:paraId="1102CCDD" w14:textId="77777777" w:rsidR="008D04C2"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Ogletree, Jr., Charles, J. (2004, April 12). All deliberate speed. Center for American </w:t>
      </w:r>
    </w:p>
    <w:p w14:paraId="02083A80" w14:textId="7E4AA758" w:rsidR="000B4B04" w:rsidRPr="007B25AE" w:rsidRDefault="000B4B04" w:rsidP="008D04C2">
      <w:pPr>
        <w:ind w:firstLine="720"/>
        <w:rPr>
          <w:rFonts w:ascii="Baskerville" w:eastAsia="MS PMincho" w:hAnsi="Baskerville" w:cs="Arabic Typesetting"/>
        </w:rPr>
      </w:pPr>
      <w:r w:rsidRPr="007B25AE">
        <w:rPr>
          <w:rFonts w:ascii="Baskerville" w:eastAsia="MS PMincho" w:hAnsi="Baskerville" w:cs="Arabic Typesetting"/>
        </w:rPr>
        <w:t>Progress.</w:t>
      </w:r>
    </w:p>
    <w:p w14:paraId="51365015" w14:textId="77777777" w:rsidR="00C11906" w:rsidRPr="007B25AE" w:rsidRDefault="00C11906" w:rsidP="00C11906">
      <w:pPr>
        <w:rPr>
          <w:rFonts w:ascii="Baskerville" w:eastAsia="MS PMincho" w:hAnsi="Baskerville" w:cs="Arabic Typesetting"/>
        </w:rPr>
      </w:pPr>
    </w:p>
    <w:p w14:paraId="0F380831" w14:textId="3A343452" w:rsidR="0090724C" w:rsidRPr="007B25AE" w:rsidRDefault="0090724C" w:rsidP="0090724C">
      <w:pPr>
        <w:rPr>
          <w:rFonts w:ascii="Baskerville" w:eastAsia="MS PMincho" w:hAnsi="Baskerville" w:cs="Arabic Typesetting"/>
        </w:rPr>
      </w:pPr>
      <w:proofErr w:type="spellStart"/>
      <w:r w:rsidRPr="007B25AE">
        <w:rPr>
          <w:rFonts w:ascii="Baskerville" w:eastAsia="MS PMincho" w:hAnsi="Baskerville" w:cs="Arabic Typesetting"/>
        </w:rPr>
        <w:t>Ogundimu</w:t>
      </w:r>
      <w:proofErr w:type="spellEnd"/>
      <w:r w:rsidRPr="007B25AE">
        <w:rPr>
          <w:rFonts w:ascii="Baskerville" w:eastAsia="MS PMincho" w:hAnsi="Baskerville" w:cs="Arabic Typesetting"/>
        </w:rPr>
        <w:t xml:space="preserve">, Charles O. (2014). Does the mode of entry into teaching matter in teacher </w:t>
      </w:r>
    </w:p>
    <w:p w14:paraId="0A5057F6" w14:textId="7181EDA4" w:rsidR="0090724C" w:rsidRPr="007B25AE" w:rsidRDefault="0090724C" w:rsidP="0090724C">
      <w:pPr>
        <w:ind w:left="720"/>
        <w:rPr>
          <w:rFonts w:ascii="Baskerville" w:eastAsia="MS PMincho" w:hAnsi="Baskerville" w:cs="Arabic Typesetting"/>
        </w:rPr>
      </w:pPr>
      <w:r w:rsidRPr="007B25AE">
        <w:rPr>
          <w:rFonts w:ascii="Baskerville" w:eastAsia="MS PMincho" w:hAnsi="Baskerville" w:cs="Arabic Typesetting"/>
        </w:rPr>
        <w:t>retention? A discrete-time survival analysis modeling of New York City public school teachers</w:t>
      </w:r>
      <w:r w:rsidR="00E658A1" w:rsidRPr="007B25AE">
        <w:rPr>
          <w:rFonts w:ascii="Baskerville" w:eastAsia="MS PMincho" w:hAnsi="Baskerville" w:cs="Arabic Typesetting"/>
        </w:rPr>
        <w:t xml:space="preserve"> (Publication No. 3619174) [</w:t>
      </w:r>
      <w:r w:rsidRPr="007B25AE">
        <w:rPr>
          <w:rFonts w:ascii="Baskerville" w:eastAsia="MS PMincho" w:hAnsi="Baskerville" w:cs="Arabic Typesetting"/>
        </w:rPr>
        <w:t>D</w:t>
      </w:r>
      <w:r w:rsidR="00E658A1" w:rsidRPr="007B25AE">
        <w:rPr>
          <w:rFonts w:ascii="Baskerville" w:eastAsia="MS PMincho" w:hAnsi="Baskerville" w:cs="Arabic Typesetting"/>
        </w:rPr>
        <w:t>octoral d</w:t>
      </w:r>
      <w:r w:rsidRPr="007B25AE">
        <w:rPr>
          <w:rFonts w:ascii="Baskerville" w:eastAsia="MS PMincho" w:hAnsi="Baskerville" w:cs="Arabic Typesetting"/>
        </w:rPr>
        <w:t>issertation</w:t>
      </w:r>
      <w:r w:rsidR="00E658A1" w:rsidRPr="007B25AE">
        <w:rPr>
          <w:rFonts w:ascii="Baskerville" w:eastAsia="MS PMincho" w:hAnsi="Baskerville" w:cs="Arabic Typesetting"/>
        </w:rPr>
        <w:t>, Columbia University]. ProQuest Dissertations and Theses Global.</w:t>
      </w:r>
      <w:r w:rsidRPr="007B25AE">
        <w:rPr>
          <w:rFonts w:ascii="Baskerville" w:eastAsia="MS PMincho" w:hAnsi="Baskerville" w:cs="Arabic Typesetting"/>
        </w:rPr>
        <w:t xml:space="preserve"> </w:t>
      </w:r>
    </w:p>
    <w:p w14:paraId="10B8ECC9" w14:textId="77777777" w:rsidR="000B4B04" w:rsidRPr="007B25AE" w:rsidRDefault="000B4B04" w:rsidP="000B4B04">
      <w:pPr>
        <w:rPr>
          <w:rFonts w:ascii="Baskerville" w:eastAsia="MS PMincho" w:hAnsi="Baskerville" w:cs="Arabic Typesetting"/>
        </w:rPr>
      </w:pPr>
    </w:p>
    <w:p w14:paraId="21609BE9" w14:textId="77777777" w:rsidR="000B4B04" w:rsidRPr="007B25AE" w:rsidRDefault="000B4B04" w:rsidP="000B4B04">
      <w:pPr>
        <w:pStyle w:val="NoSpacing"/>
        <w:rPr>
          <w:rFonts w:ascii="Baskerville" w:eastAsia="MS PMincho" w:hAnsi="Baskerville" w:cs="Arabic Typesetting"/>
        </w:rPr>
      </w:pPr>
      <w:r w:rsidRPr="007B25AE">
        <w:rPr>
          <w:rFonts w:ascii="Baskerville" w:eastAsia="MS PMincho" w:hAnsi="Baskerville" w:cs="Arabic Typesetting"/>
        </w:rPr>
        <w:t xml:space="preserve">Omori, </w:t>
      </w:r>
      <w:proofErr w:type="spellStart"/>
      <w:r w:rsidRPr="007B25AE">
        <w:rPr>
          <w:rFonts w:ascii="Baskerville" w:eastAsia="MS PMincho" w:hAnsi="Baskerville" w:cs="Arabic Typesetting"/>
        </w:rPr>
        <w:t>Kazuteru</w:t>
      </w:r>
      <w:proofErr w:type="spellEnd"/>
      <w:r w:rsidRPr="007B25AE">
        <w:rPr>
          <w:rFonts w:ascii="Baskerville" w:eastAsia="MS PMincho" w:hAnsi="Baskerville" w:cs="Arabic Typesetting"/>
        </w:rPr>
        <w:t xml:space="preserve">. (2002, Fall). Race-neutral individualism and resurgence of the color </w:t>
      </w:r>
    </w:p>
    <w:p w14:paraId="124A0FAA" w14:textId="77777777" w:rsidR="000B4B04" w:rsidRPr="007B25AE" w:rsidRDefault="000B4B04" w:rsidP="000B4B04">
      <w:pPr>
        <w:pStyle w:val="NoSpacing"/>
        <w:ind w:left="720"/>
        <w:rPr>
          <w:rFonts w:ascii="Baskerville" w:eastAsia="MS PMincho" w:hAnsi="Baskerville" w:cs="Arabic Typesetting"/>
        </w:rPr>
      </w:pPr>
      <w:r w:rsidRPr="007B25AE">
        <w:rPr>
          <w:rFonts w:ascii="Baskerville" w:eastAsia="MS PMincho" w:hAnsi="Baskerville" w:cs="Arabic Typesetting"/>
        </w:rPr>
        <w:t xml:space="preserve">line: Massachusetts civil rights legislation, 1855-1895. Journal of American Ethnic History, 22 (1), pp. 32-58. University of Illinois Press.   </w:t>
      </w:r>
    </w:p>
    <w:p w14:paraId="3E47B451" w14:textId="3C1E24E1" w:rsidR="000B4B04" w:rsidRPr="007B25AE" w:rsidRDefault="00C11906" w:rsidP="000B4B04">
      <w:pPr>
        <w:pStyle w:val="NoSpacing"/>
        <w:ind w:firstLine="720"/>
        <w:rPr>
          <w:rFonts w:ascii="Baskerville" w:eastAsia="MS PMincho" w:hAnsi="Baskerville" w:cs="Arabic Typesetting"/>
        </w:rPr>
      </w:pPr>
      <w:hyperlink r:id="rId26" w:history="1">
        <w:r w:rsidRPr="007B25AE">
          <w:rPr>
            <w:rStyle w:val="Hyperlink"/>
            <w:rFonts w:ascii="Baskerville" w:eastAsia="MS PMincho" w:hAnsi="Baskerville" w:cs="Arabic Typesetting"/>
          </w:rPr>
          <w:t>https://www.jostor.org/stable/27501240</w:t>
        </w:r>
      </w:hyperlink>
      <w:r w:rsidRPr="007B25AE">
        <w:rPr>
          <w:rFonts w:ascii="Baskerville" w:eastAsia="MS PMincho" w:hAnsi="Baskerville" w:cs="Arabic Typesetting"/>
        </w:rPr>
        <w:t>.</w:t>
      </w:r>
    </w:p>
    <w:p w14:paraId="420FD53F" w14:textId="77777777" w:rsidR="00C11906" w:rsidRPr="007B25AE" w:rsidRDefault="00C11906" w:rsidP="000B4B04">
      <w:pPr>
        <w:pStyle w:val="NoSpacing"/>
        <w:ind w:firstLine="720"/>
        <w:rPr>
          <w:rFonts w:ascii="Baskerville" w:eastAsia="MS PMincho" w:hAnsi="Baskerville" w:cs="Arabic Typesetting"/>
        </w:rPr>
      </w:pPr>
    </w:p>
    <w:p w14:paraId="517FBF77" w14:textId="77777777" w:rsidR="00C11906" w:rsidRPr="007B25AE" w:rsidRDefault="00C11906" w:rsidP="00C11906">
      <w:pPr>
        <w:rPr>
          <w:rFonts w:ascii="Baskerville" w:eastAsia="MS PMincho" w:hAnsi="Baskerville" w:cs="Arabic Typesetting"/>
        </w:rPr>
      </w:pPr>
      <w:r w:rsidRPr="007B25AE">
        <w:rPr>
          <w:rFonts w:ascii="Baskerville" w:eastAsia="MS PMincho" w:hAnsi="Baskerville" w:cs="Arabic Typesetting"/>
        </w:rPr>
        <w:t xml:space="preserve">Onions, Amanda; Sullivan, Missy; Mullen, Matt; Zapata, Christian (Eds.). (2023, Jan 11). </w:t>
      </w:r>
    </w:p>
    <w:p w14:paraId="0F2D677B" w14:textId="1A1549A8" w:rsidR="000B4B04" w:rsidRPr="007B25AE" w:rsidRDefault="00C11906" w:rsidP="00B67C86">
      <w:pPr>
        <w:ind w:firstLine="720"/>
        <w:rPr>
          <w:rFonts w:ascii="Baskerville" w:eastAsia="MS PMincho" w:hAnsi="Baskerville" w:cs="Arabic Typesetting"/>
        </w:rPr>
      </w:pPr>
      <w:r w:rsidRPr="007B25AE">
        <w:rPr>
          <w:rFonts w:ascii="Baskerville" w:eastAsia="MS PMincho" w:hAnsi="Baskerville" w:cs="Arabic Typesetting"/>
        </w:rPr>
        <w:t>History Brown v. Board of Education (original): Oct 27, 2009</w:t>
      </w:r>
      <w:r w:rsidR="00B67C86" w:rsidRPr="007B25AE">
        <w:rPr>
          <w:rFonts w:ascii="Baskerville" w:eastAsia="MS PMincho" w:hAnsi="Baskerville" w:cs="Arabic Typesetting"/>
        </w:rPr>
        <w:t>.</w:t>
      </w:r>
    </w:p>
    <w:p w14:paraId="433BF5AE" w14:textId="77777777" w:rsidR="00B67C86" w:rsidRPr="007B25AE" w:rsidRDefault="00B67C86" w:rsidP="00B67C86">
      <w:pPr>
        <w:ind w:firstLine="720"/>
        <w:rPr>
          <w:rFonts w:ascii="Baskerville" w:eastAsia="MS PMincho" w:hAnsi="Baskerville" w:cs="Arabic Typesetting"/>
        </w:rPr>
      </w:pPr>
    </w:p>
    <w:p w14:paraId="51842A90" w14:textId="77777777" w:rsidR="008D04C2"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Penney, Jeffery (2017). Racial interaction effect and student achievement, Education </w:t>
      </w:r>
    </w:p>
    <w:p w14:paraId="5EABEC16" w14:textId="5661BADD" w:rsidR="000B4B04" w:rsidRPr="007B25AE" w:rsidRDefault="000B4B04" w:rsidP="008D04C2">
      <w:pPr>
        <w:ind w:firstLine="720"/>
        <w:rPr>
          <w:rFonts w:ascii="Baskerville" w:eastAsia="MS PMincho" w:hAnsi="Baskerville" w:cs="Arabic Typesetting"/>
        </w:rPr>
      </w:pPr>
      <w:r w:rsidRPr="007B25AE">
        <w:rPr>
          <w:rFonts w:ascii="Baskerville" w:eastAsia="MS PMincho" w:hAnsi="Baskerville" w:cs="Arabic Typesetting"/>
        </w:rPr>
        <w:t>Finance and Policy, 12 (4), 447-467.</w:t>
      </w:r>
    </w:p>
    <w:p w14:paraId="0826BF77" w14:textId="77777777" w:rsidR="00CA67C4" w:rsidRPr="007B25AE" w:rsidRDefault="00CA67C4" w:rsidP="008D04C2">
      <w:pPr>
        <w:ind w:firstLine="720"/>
        <w:rPr>
          <w:rFonts w:ascii="Baskerville" w:eastAsia="MS PMincho" w:hAnsi="Baskerville" w:cs="Arabic Typesetting"/>
        </w:rPr>
      </w:pPr>
    </w:p>
    <w:p w14:paraId="74CF8716" w14:textId="77777777" w:rsidR="00CA67C4" w:rsidRPr="007B25AE" w:rsidRDefault="00CA67C4" w:rsidP="00CA67C4">
      <w:pPr>
        <w:rPr>
          <w:rFonts w:ascii="Baskerville" w:eastAsia="MS PMincho" w:hAnsi="Baskerville" w:cs="Arabic Typesetting"/>
        </w:rPr>
      </w:pPr>
      <w:r w:rsidRPr="007B25AE">
        <w:rPr>
          <w:rFonts w:ascii="Baskerville" w:eastAsia="MS PMincho" w:hAnsi="Baskerville" w:cs="Arabic Typesetting"/>
        </w:rPr>
        <w:t xml:space="preserve">Philippi, Christian </w:t>
      </w:r>
      <w:proofErr w:type="spellStart"/>
      <w:r w:rsidRPr="007B25AE">
        <w:rPr>
          <w:rFonts w:ascii="Baskerville" w:eastAsia="MS PMincho" w:hAnsi="Baskerville" w:cs="Arabic Typesetting"/>
        </w:rPr>
        <w:t>Larroulet</w:t>
      </w:r>
      <w:proofErr w:type="spellEnd"/>
      <w:r w:rsidRPr="007B25AE">
        <w:rPr>
          <w:rFonts w:ascii="Baskerville" w:eastAsia="MS PMincho" w:hAnsi="Baskerville" w:cs="Arabic Typesetting"/>
        </w:rPr>
        <w:t xml:space="preserve"> (2020, Nov 16). Valid for what? On the very idea of </w:t>
      </w:r>
    </w:p>
    <w:p w14:paraId="587E430A" w14:textId="77777777" w:rsidR="00CA67C4" w:rsidRPr="007B25AE" w:rsidRDefault="00CA67C4" w:rsidP="00CA67C4">
      <w:pPr>
        <w:ind w:firstLine="720"/>
        <w:rPr>
          <w:rFonts w:ascii="Baskerville" w:eastAsia="MS PMincho" w:hAnsi="Baskerville" w:cs="Arabic Typesetting"/>
        </w:rPr>
      </w:pPr>
      <w:r w:rsidRPr="007B25AE">
        <w:rPr>
          <w:rFonts w:ascii="Baskerville" w:eastAsia="MS PMincho" w:hAnsi="Baskerville" w:cs="Arabic Typesetting"/>
        </w:rPr>
        <w:t xml:space="preserve">Unconditional validity. Sage Journals, 51(2).Department of History and Philosophy </w:t>
      </w:r>
    </w:p>
    <w:p w14:paraId="01E978E4" w14:textId="5E67FF50" w:rsidR="00CA67C4" w:rsidRPr="007B25AE" w:rsidRDefault="00CA67C4" w:rsidP="00CA67C4">
      <w:pPr>
        <w:ind w:firstLine="720"/>
        <w:rPr>
          <w:rFonts w:ascii="Baskerville" w:eastAsia="MS PMincho" w:hAnsi="Baskerville" w:cs="Arabic Typesetting"/>
        </w:rPr>
      </w:pPr>
      <w:r w:rsidRPr="007B25AE">
        <w:rPr>
          <w:rFonts w:ascii="Baskerville" w:eastAsia="MS PMincho" w:hAnsi="Baskerville" w:cs="Arabic Typesetting"/>
        </w:rPr>
        <w:t xml:space="preserve">of Science, </w:t>
      </w:r>
      <w:proofErr w:type="spellStart"/>
      <w:r w:rsidRPr="007B25AE">
        <w:rPr>
          <w:rFonts w:ascii="Baskerville" w:eastAsia="MS PMincho" w:hAnsi="Baskerville" w:cs="Arabic Typesetting"/>
        </w:rPr>
        <w:t>Unicersity</w:t>
      </w:r>
      <w:proofErr w:type="spellEnd"/>
      <w:r w:rsidRPr="007B25AE">
        <w:rPr>
          <w:rFonts w:ascii="Baskerville" w:eastAsia="MS PMincho" w:hAnsi="Baskerville" w:cs="Arabic Typesetting"/>
        </w:rPr>
        <w:t xml:space="preserve"> of </w:t>
      </w:r>
      <w:proofErr w:type="spellStart"/>
      <w:r w:rsidRPr="007B25AE">
        <w:rPr>
          <w:rFonts w:ascii="Baskerville" w:eastAsia="MS PMincho" w:hAnsi="Baskerville" w:cs="Arabic Typesetting"/>
        </w:rPr>
        <w:t>Cambridge.</w:t>
      </w:r>
      <w:hyperlink r:id="rId27" w:history="1">
        <w:r w:rsidRPr="007B25AE">
          <w:rPr>
            <w:rStyle w:val="Hyperlink"/>
            <w:rFonts w:ascii="Baskerville" w:eastAsia="MS PMincho" w:hAnsi="Baskerville" w:cs="Arabic Typesetting"/>
          </w:rPr>
          <w:t>https</w:t>
        </w:r>
        <w:proofErr w:type="spellEnd"/>
        <w:r w:rsidRPr="007B25AE">
          <w:rPr>
            <w:rStyle w:val="Hyperlink"/>
            <w:rFonts w:ascii="Baskerville" w:eastAsia="MS PMincho" w:hAnsi="Baskerville" w:cs="Arabic Typesetting"/>
          </w:rPr>
          <w:t>://doi.org/10.1177/0048393120971169</w:t>
        </w:r>
      </w:hyperlink>
      <w:r w:rsidRPr="007B25AE">
        <w:rPr>
          <w:rStyle w:val="Hyperlink"/>
          <w:rFonts w:ascii="Baskerville" w:eastAsia="MS PMincho" w:hAnsi="Baskerville" w:cs="Arabic Typesetting"/>
          <w:color w:val="auto"/>
          <w:u w:val="none"/>
        </w:rPr>
        <w:t>.</w:t>
      </w:r>
    </w:p>
    <w:p w14:paraId="4A59B3BD" w14:textId="77777777" w:rsidR="00423239" w:rsidRPr="007B25AE" w:rsidRDefault="00423239" w:rsidP="008D04C2">
      <w:pPr>
        <w:ind w:firstLine="720"/>
        <w:rPr>
          <w:rFonts w:ascii="Baskerville" w:eastAsia="MS PMincho" w:hAnsi="Baskerville" w:cs="Arabic Typesetting"/>
        </w:rPr>
      </w:pPr>
    </w:p>
    <w:p w14:paraId="6B1B37B0" w14:textId="77777777" w:rsidR="00423239" w:rsidRPr="007B25AE" w:rsidRDefault="00423239" w:rsidP="00423239">
      <w:pPr>
        <w:ind w:left="-5" w:right="298"/>
        <w:rPr>
          <w:rFonts w:ascii="Baskerville" w:eastAsia="MS PMincho" w:hAnsi="Baskerville" w:cs="Arabic Typesetting"/>
        </w:rPr>
      </w:pPr>
      <w:r w:rsidRPr="007B25AE">
        <w:rPr>
          <w:rFonts w:ascii="Baskerville" w:eastAsia="MS PMincho" w:hAnsi="Baskerville" w:cs="Arabic Typesetting"/>
        </w:rPr>
        <w:t xml:space="preserve">Prelude to Brown v. Board of Education (n.d.). </w:t>
      </w:r>
    </w:p>
    <w:p w14:paraId="0E345274" w14:textId="77777777" w:rsidR="00423239" w:rsidRPr="007B25AE" w:rsidRDefault="00423239" w:rsidP="00423239">
      <w:pPr>
        <w:spacing w:line="259" w:lineRule="auto"/>
        <w:rPr>
          <w:rFonts w:ascii="Baskerville" w:eastAsia="MS PMincho" w:hAnsi="Baskerville" w:cs="Arabic Typesetting"/>
        </w:rPr>
      </w:pPr>
    </w:p>
    <w:p w14:paraId="084BD4D5" w14:textId="77777777" w:rsidR="00423239" w:rsidRPr="007B25AE" w:rsidRDefault="00423239" w:rsidP="00423239">
      <w:pPr>
        <w:spacing w:line="249" w:lineRule="auto"/>
        <w:ind w:left="705" w:right="235" w:hanging="720"/>
        <w:rPr>
          <w:rFonts w:ascii="Baskerville" w:eastAsia="MS PMincho" w:hAnsi="Baskerville" w:cs="Arabic Typesetting"/>
        </w:rPr>
      </w:pPr>
      <w:r w:rsidRPr="007B25AE">
        <w:rPr>
          <w:rFonts w:ascii="Baskerville" w:eastAsia="MS PMincho" w:hAnsi="Baskerville" w:cs="Arabic Typesetting"/>
        </w:rPr>
        <w:t xml:space="preserve">Prince, C.D., </w:t>
      </w:r>
      <w:proofErr w:type="spellStart"/>
      <w:r w:rsidRPr="007B25AE">
        <w:rPr>
          <w:rFonts w:ascii="Baskerville" w:eastAsia="MS PMincho" w:hAnsi="Baskerville" w:cs="Arabic Typesetting"/>
        </w:rPr>
        <w:t>Koppich</w:t>
      </w:r>
      <w:proofErr w:type="spellEnd"/>
      <w:r w:rsidRPr="007B25AE">
        <w:rPr>
          <w:rFonts w:ascii="Baskerville" w:eastAsia="MS PMincho" w:hAnsi="Baskerville" w:cs="Arabic Typesetting"/>
        </w:rPr>
        <w:t xml:space="preserve">, J., Azar, T.M., Bhatt, M., &amp; Witham, P.J. (2007).  Does evidence suggest that some teachers are significantly more effective than others at improving student  achievement?  Retrieved February 17, 2010, from, </w:t>
      </w:r>
      <w:hyperlink r:id="rId28">
        <w:r w:rsidRPr="007B25AE">
          <w:rPr>
            <w:rFonts w:ascii="Baskerville" w:eastAsia="MS PMincho" w:hAnsi="Baskerville" w:cs="Arabic Typesetting"/>
            <w:color w:val="0000FF"/>
            <w:u w:val="single" w:color="0000FF"/>
          </w:rPr>
          <w:t>http://www.cecr.ed.gov/guides/researchSyntheses/Research Synthesis_QA1.pdf</w:t>
        </w:r>
      </w:hyperlink>
      <w:hyperlink r:id="rId29">
        <w:r w:rsidRPr="007B25AE">
          <w:rPr>
            <w:rFonts w:ascii="Baskerville" w:eastAsia="MS PMincho" w:hAnsi="Baskerville" w:cs="Arabic Typesetting"/>
          </w:rPr>
          <w:t xml:space="preserve"> </w:t>
        </w:r>
      </w:hyperlink>
    </w:p>
    <w:p w14:paraId="603094B1" w14:textId="77777777" w:rsidR="00423239" w:rsidRPr="007B25AE" w:rsidRDefault="00423239" w:rsidP="00423239">
      <w:pPr>
        <w:spacing w:line="259" w:lineRule="auto"/>
        <w:rPr>
          <w:rFonts w:ascii="Baskerville" w:eastAsia="MS PMincho" w:hAnsi="Baskerville" w:cs="Arabic Typesetting"/>
        </w:rPr>
      </w:pPr>
    </w:p>
    <w:p w14:paraId="42C535AC" w14:textId="77777777" w:rsidR="00423239" w:rsidRPr="007B25AE" w:rsidRDefault="00423239" w:rsidP="00423239">
      <w:pPr>
        <w:ind w:left="-5" w:right="298"/>
        <w:rPr>
          <w:rFonts w:ascii="Baskerville" w:eastAsia="MS PMincho" w:hAnsi="Baskerville" w:cs="Arabic Typesetting"/>
        </w:rPr>
      </w:pPr>
      <w:r w:rsidRPr="007B25AE">
        <w:rPr>
          <w:rFonts w:ascii="Baskerville" w:eastAsia="MS PMincho" w:hAnsi="Baskerville" w:cs="Arabic Typesetting"/>
        </w:rPr>
        <w:t xml:space="preserve">Public Agenda (2000).  A sense of calling:  Who teaches and why.  New York:  Public </w:t>
      </w:r>
    </w:p>
    <w:p w14:paraId="3DDCF95B" w14:textId="007A5257" w:rsidR="000B4B04" w:rsidRPr="007B25AE" w:rsidRDefault="00423239" w:rsidP="00A17FCC">
      <w:pPr>
        <w:ind w:left="-5" w:right="298" w:firstLine="710"/>
        <w:rPr>
          <w:rFonts w:ascii="Baskerville" w:eastAsia="MS PMincho" w:hAnsi="Baskerville" w:cs="Arabic Typesetting"/>
        </w:rPr>
      </w:pPr>
      <w:r w:rsidRPr="007B25AE">
        <w:rPr>
          <w:rFonts w:ascii="Baskerville" w:eastAsia="MS PMincho" w:hAnsi="Baskerville" w:cs="Arabic Typesetting"/>
        </w:rPr>
        <w:t xml:space="preserve">Agenda. </w:t>
      </w:r>
    </w:p>
    <w:p w14:paraId="74FED63D" w14:textId="77777777" w:rsidR="00A17FCC" w:rsidRPr="007B25AE" w:rsidRDefault="00A17FCC" w:rsidP="00A17FCC">
      <w:pPr>
        <w:ind w:left="-5" w:right="298" w:firstLine="710"/>
        <w:rPr>
          <w:rFonts w:ascii="Baskerville" w:eastAsia="MS PMincho" w:hAnsi="Baskerville" w:cs="Arabic Typesetting"/>
        </w:rPr>
      </w:pPr>
    </w:p>
    <w:p w14:paraId="34997DA7" w14:textId="77777777" w:rsidR="008D04C2" w:rsidRPr="007B25AE" w:rsidRDefault="000B4B04" w:rsidP="000B4B04">
      <w:pPr>
        <w:rPr>
          <w:rFonts w:ascii="Baskerville" w:eastAsia="MS PMincho" w:hAnsi="Baskerville" w:cs="Arabic Typesetting"/>
        </w:rPr>
      </w:pPr>
      <w:r w:rsidRPr="007B25AE">
        <w:rPr>
          <w:rFonts w:ascii="Baskerville" w:eastAsia="MS PMincho" w:hAnsi="Baskerville" w:cs="Arabic Typesetting"/>
        </w:rPr>
        <w:t xml:space="preserve">Rich, P., </w:t>
      </w:r>
      <w:proofErr w:type="spellStart"/>
      <w:r w:rsidRPr="007B25AE">
        <w:rPr>
          <w:rFonts w:ascii="Baskerville" w:eastAsia="MS PMincho" w:hAnsi="Baskerville" w:cs="Arabic Typesetting"/>
        </w:rPr>
        <w:t>Candipan</w:t>
      </w:r>
      <w:proofErr w:type="spellEnd"/>
      <w:r w:rsidRPr="007B25AE">
        <w:rPr>
          <w:rFonts w:ascii="Baskerville" w:eastAsia="MS PMincho" w:hAnsi="Baskerville" w:cs="Arabic Typesetting"/>
        </w:rPr>
        <w:t xml:space="preserve">, J., &amp; Owens, A. (2021). Segregated neighborhood, segregated schools: </w:t>
      </w:r>
    </w:p>
    <w:p w14:paraId="18089989" w14:textId="36E07BF3" w:rsidR="000B4B04" w:rsidRPr="007B25AE" w:rsidRDefault="000B4B04" w:rsidP="008D04C2">
      <w:pPr>
        <w:ind w:firstLine="720"/>
        <w:rPr>
          <w:rFonts w:ascii="Baskerville" w:eastAsia="MS PMincho" w:hAnsi="Baskerville" w:cs="Arabic Typesetting"/>
        </w:rPr>
      </w:pPr>
      <w:r w:rsidRPr="007B25AE">
        <w:rPr>
          <w:rFonts w:ascii="Baskerville" w:eastAsia="MS PMincho" w:hAnsi="Baskerville" w:cs="Arabic Typesetting"/>
        </w:rPr>
        <w:t>Do charters break a stubborn link ? Demography, 58 (2), 471-498.</w:t>
      </w:r>
      <w:r w:rsidR="00AD654E" w:rsidRPr="007B25AE">
        <w:rPr>
          <w:rFonts w:ascii="Baskerville" w:eastAsia="MS PMincho" w:hAnsi="Baskerville" w:cs="Arabic Typesetting"/>
        </w:rPr>
        <w:t xml:space="preserve"> </w:t>
      </w:r>
    </w:p>
    <w:p w14:paraId="6554B343" w14:textId="77777777" w:rsidR="007A7410" w:rsidRPr="007B25AE" w:rsidRDefault="007A7410" w:rsidP="008D04C2">
      <w:pPr>
        <w:ind w:firstLine="720"/>
        <w:rPr>
          <w:rFonts w:ascii="Baskerville" w:eastAsia="MS PMincho" w:hAnsi="Baskerville" w:cs="Arabic Typesetting"/>
        </w:rPr>
      </w:pPr>
    </w:p>
    <w:p w14:paraId="35E6146D" w14:textId="77777777" w:rsidR="007A7410" w:rsidRPr="007B25AE" w:rsidRDefault="007A7410" w:rsidP="007A7410">
      <w:pPr>
        <w:ind w:left="705" w:right="298" w:hanging="720"/>
        <w:rPr>
          <w:rFonts w:ascii="Baskerville" w:eastAsia="MS PMincho" w:hAnsi="Baskerville" w:cs="Arabic Typesetting"/>
        </w:rPr>
      </w:pPr>
      <w:r w:rsidRPr="007B25AE">
        <w:rPr>
          <w:rFonts w:ascii="Baskerville" w:eastAsia="MS PMincho" w:hAnsi="Baskerville" w:cs="Arabic Typesetting"/>
        </w:rPr>
        <w:t xml:space="preserve">Rowan, B., Correnti, R., &amp; Miller, R.J. (2002).  What large-scale survey research tells us about teacher effects on student achievement:  Insights from the prospectus study of elementary schools.  Teachers College Record, 104(8), 1525-1567. </w:t>
      </w:r>
    </w:p>
    <w:p w14:paraId="4E3370EF" w14:textId="77777777" w:rsidR="002E0B49" w:rsidRPr="007B25AE" w:rsidRDefault="002E0B49" w:rsidP="007A7410">
      <w:pPr>
        <w:ind w:left="705" w:right="298" w:hanging="720"/>
        <w:rPr>
          <w:rFonts w:ascii="Baskerville" w:eastAsia="MS PMincho" w:hAnsi="Baskerville" w:cs="Arabic Typesetting"/>
        </w:rPr>
      </w:pPr>
    </w:p>
    <w:p w14:paraId="26A42C1A" w14:textId="79491398" w:rsidR="002E0B49" w:rsidRPr="007B25AE" w:rsidRDefault="002E0B49" w:rsidP="007A7410">
      <w:pPr>
        <w:ind w:left="705" w:right="298" w:hanging="720"/>
        <w:rPr>
          <w:rFonts w:ascii="Baskerville" w:eastAsia="MS PMincho" w:hAnsi="Baskerville" w:cs="Arabic Typesetting"/>
        </w:rPr>
      </w:pPr>
      <w:r w:rsidRPr="007B25AE">
        <w:rPr>
          <w:rFonts w:ascii="Baskerville" w:eastAsia="MS PMincho" w:hAnsi="Baskerville" w:cs="Arabic Typesetting"/>
        </w:rPr>
        <w:t>“See one Truth” (2017).</w:t>
      </w:r>
    </w:p>
    <w:p w14:paraId="2FF2A6EA" w14:textId="77777777" w:rsidR="007D5455" w:rsidRPr="007B25AE" w:rsidRDefault="007D5455" w:rsidP="00AD654E">
      <w:pPr>
        <w:rPr>
          <w:rFonts w:ascii="Baskerville" w:eastAsia="MS PMincho" w:hAnsi="Baskerville" w:cs="Arabic Typesetting"/>
        </w:rPr>
      </w:pPr>
    </w:p>
    <w:p w14:paraId="09E5B1A7" w14:textId="0DE58BE3" w:rsidR="000B4B04" w:rsidRPr="007B25AE" w:rsidRDefault="007D5455" w:rsidP="00AD654E">
      <w:pPr>
        <w:ind w:left="705" w:right="298" w:hanging="720"/>
        <w:rPr>
          <w:rFonts w:ascii="Baskerville" w:eastAsia="MS PMincho" w:hAnsi="Baskerville" w:cs="Arabic Typesetting"/>
        </w:rPr>
      </w:pPr>
      <w:r w:rsidRPr="007B25AE">
        <w:rPr>
          <w:rFonts w:ascii="Baskerville" w:eastAsia="MS PMincho" w:hAnsi="Baskerville" w:cs="Arabic Typesetting"/>
        </w:rPr>
        <w:t xml:space="preserve">Stein, J. (2002).  Evaluation of the NYCTF program as an alternative certification program.  Retrieved from:  </w:t>
      </w:r>
      <w:hyperlink r:id="rId30">
        <w:r w:rsidRPr="007B25AE">
          <w:rPr>
            <w:rFonts w:ascii="Baskerville" w:eastAsia="MS PMincho" w:hAnsi="Baskerville" w:cs="Arabic Typesetting"/>
            <w:color w:val="0000FF"/>
            <w:u w:val="single" w:color="0000FF"/>
          </w:rPr>
          <w:t>http://www.eric.ed.gov.:80/PDFS/ED467756.pdf</w:t>
        </w:r>
      </w:hyperlink>
      <w:r w:rsidRPr="007B25AE">
        <w:rPr>
          <w:rFonts w:ascii="Baskerville" w:eastAsia="MS PMincho" w:hAnsi="Baskerville" w:cs="Arabic Typesetting"/>
          <w:color w:val="0000FF"/>
          <w:u w:val="single" w:color="0000FF"/>
        </w:rPr>
        <w:t>.</w:t>
      </w:r>
      <w:hyperlink r:id="rId31">
        <w:r w:rsidRPr="007B25AE">
          <w:rPr>
            <w:rFonts w:ascii="Baskerville" w:eastAsia="MS PMincho" w:hAnsi="Baskerville" w:cs="Arabic Typesetting"/>
          </w:rPr>
          <w:t xml:space="preserve"> </w:t>
        </w:r>
      </w:hyperlink>
    </w:p>
    <w:p w14:paraId="4279AA17" w14:textId="77777777" w:rsidR="00AD654E" w:rsidRPr="007B25AE" w:rsidRDefault="00AD654E" w:rsidP="00AD654E">
      <w:pPr>
        <w:rPr>
          <w:rFonts w:ascii="Baskerville" w:eastAsia="MS PMincho" w:hAnsi="Baskerville" w:cs="Arabic Typesetting"/>
        </w:rPr>
      </w:pPr>
    </w:p>
    <w:p w14:paraId="4BDD0E69" w14:textId="77777777" w:rsidR="000B4B04" w:rsidRPr="007B25AE" w:rsidRDefault="000B4B04" w:rsidP="000B4B04">
      <w:pPr>
        <w:spacing w:line="360" w:lineRule="auto"/>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Supreme Court of the United States. (1896, May 18). Judgement in Plessy v. Ferguson. </w:t>
      </w:r>
    </w:p>
    <w:p w14:paraId="2A936D02" w14:textId="0381B611" w:rsidR="0023423A" w:rsidRPr="007B25AE" w:rsidRDefault="000B4B04" w:rsidP="009773F2">
      <w:pPr>
        <w:spacing w:line="360" w:lineRule="auto"/>
        <w:ind w:firstLine="720"/>
        <w:rPr>
          <w:rFonts w:ascii="Baskerville" w:eastAsia="MS PMincho" w:hAnsi="Baskerville" w:cs="Arabic Typesetting"/>
          <w:color w:val="000000" w:themeColor="text1"/>
        </w:rPr>
      </w:pPr>
      <w:r w:rsidRPr="007B25AE">
        <w:rPr>
          <w:rFonts w:ascii="Baskerville" w:eastAsia="MS PMincho" w:hAnsi="Baskerville" w:cs="Arabic Typesetting"/>
          <w:color w:val="000000" w:themeColor="text1"/>
        </w:rPr>
        <w:t xml:space="preserve">NAID: 1685178. Chief Justice Brown.    </w:t>
      </w:r>
      <w:r w:rsidRPr="007B25AE">
        <w:rPr>
          <w:rFonts w:ascii="Baskerville" w:eastAsia="MS PMincho" w:hAnsi="Baskerville" w:cs="Arabic Typesetting"/>
        </w:rPr>
        <w:t xml:space="preserve"> </w:t>
      </w:r>
    </w:p>
    <w:p w14:paraId="7AAD1082" w14:textId="62B0C0C7" w:rsidR="0023423A" w:rsidRPr="007B25AE" w:rsidRDefault="0023423A" w:rsidP="0023423A">
      <w:pPr>
        <w:ind w:left="705" w:right="298" w:hanging="720"/>
        <w:rPr>
          <w:rFonts w:ascii="Baskerville" w:eastAsia="MS PMincho" w:hAnsi="Baskerville" w:cs="Arabic Typesetting"/>
        </w:rPr>
      </w:pPr>
      <w:r w:rsidRPr="007B25AE">
        <w:rPr>
          <w:rFonts w:ascii="Baskerville" w:eastAsia="MS PMincho" w:hAnsi="Baskerville" w:cs="Arabic Typesetting"/>
        </w:rPr>
        <w:t xml:space="preserve">The National Commission on Excellence in Education. (1983, April ).  A nation at risk:  The imperative for educational reform.  Washington, DC:  Government Printing Office.  Retrieved Tuesday, April 27, 2010, from:  </w:t>
      </w:r>
      <w:hyperlink r:id="rId32">
        <w:r w:rsidRPr="007B25AE">
          <w:rPr>
            <w:rFonts w:ascii="Baskerville" w:eastAsia="MS PMincho" w:hAnsi="Baskerville" w:cs="Arabic Typesetting"/>
            <w:color w:val="0000FF"/>
            <w:u w:val="single" w:color="0000FF"/>
          </w:rPr>
          <w:t>http://datacenter.spps.org/sites/2259653e-ffb3-45ba-8fd6</w:t>
        </w:r>
      </w:hyperlink>
      <w:hyperlink r:id="rId33">
        <w:r w:rsidRPr="007B25AE">
          <w:rPr>
            <w:rFonts w:ascii="Baskerville" w:eastAsia="MS PMincho" w:hAnsi="Baskerville" w:cs="Arabic Typesetting"/>
            <w:color w:val="0000FF"/>
            <w:u w:val="single" w:color="0000FF"/>
          </w:rPr>
          <w:t>04a024ecf7a4/uploads/SOTW_A_Nation_at_Risk_1983.pdf</w:t>
        </w:r>
      </w:hyperlink>
      <w:r w:rsidRPr="007B25AE">
        <w:rPr>
          <w:rFonts w:ascii="Baskerville" w:eastAsia="MS PMincho" w:hAnsi="Baskerville" w:cs="Arabic Typesetting"/>
          <w:color w:val="0000FF"/>
          <w:u w:val="single" w:color="0000FF"/>
        </w:rPr>
        <w:t>.</w:t>
      </w:r>
      <w:hyperlink r:id="rId34">
        <w:r w:rsidRPr="007B25AE">
          <w:rPr>
            <w:rFonts w:ascii="Baskerville" w:eastAsia="MS PMincho" w:hAnsi="Baskerville" w:cs="Arabic Typesetting"/>
          </w:rPr>
          <w:t xml:space="preserve"> </w:t>
        </w:r>
      </w:hyperlink>
    </w:p>
    <w:p w14:paraId="4B578E7A" w14:textId="77777777" w:rsidR="009A2866" w:rsidRPr="007B25AE" w:rsidRDefault="009A2866" w:rsidP="0023423A">
      <w:pPr>
        <w:ind w:left="705" w:right="298" w:hanging="720"/>
        <w:rPr>
          <w:rFonts w:ascii="Baskerville" w:eastAsia="MS PMincho" w:hAnsi="Baskerville" w:cs="Arabic Typesetting"/>
        </w:rPr>
      </w:pPr>
    </w:p>
    <w:p w14:paraId="544D342F" w14:textId="7A0828FB" w:rsidR="009A2866" w:rsidRPr="007B25AE" w:rsidRDefault="009A2866" w:rsidP="0023423A">
      <w:pPr>
        <w:ind w:left="705" w:right="298" w:hanging="720"/>
        <w:rPr>
          <w:rFonts w:ascii="Baskerville" w:eastAsia="MS PMincho" w:hAnsi="Baskerville" w:cs="Arabic Typesetting"/>
        </w:rPr>
      </w:pPr>
      <w:r w:rsidRPr="007B25AE">
        <w:rPr>
          <w:rFonts w:ascii="Baskerville" w:eastAsia="MS PMincho" w:hAnsi="Baskerville" w:cs="Arabic Typesetting"/>
        </w:rPr>
        <w:t>Title VII of the Civil Rights Act of 1964. Amendment in Volume 42, US Code Sec 200e-2 [Section 703].</w:t>
      </w:r>
    </w:p>
    <w:p w14:paraId="09D48297" w14:textId="77777777" w:rsidR="009773F2" w:rsidRPr="007B25AE" w:rsidRDefault="009773F2" w:rsidP="0023423A">
      <w:pPr>
        <w:ind w:left="705" w:right="298" w:hanging="720"/>
        <w:rPr>
          <w:rFonts w:ascii="Baskerville" w:eastAsia="MS PMincho" w:hAnsi="Baskerville" w:cs="Arabic Typesetting"/>
        </w:rPr>
      </w:pPr>
    </w:p>
    <w:p w14:paraId="32CFD915" w14:textId="77777777" w:rsidR="009773F2" w:rsidRPr="007B25AE" w:rsidRDefault="009773F2" w:rsidP="009773F2">
      <w:pPr>
        <w:rPr>
          <w:rFonts w:ascii="Baskerville" w:eastAsia="MS PMincho" w:hAnsi="Baskerville" w:cs="Arabic Typesetting"/>
        </w:rPr>
      </w:pPr>
      <w:r w:rsidRPr="007B25AE">
        <w:rPr>
          <w:rFonts w:ascii="Baskerville" w:eastAsia="MS PMincho" w:hAnsi="Baskerville" w:cs="Arabic Typesetting"/>
        </w:rPr>
        <w:t xml:space="preserve">Thompson, Owen. (2021). School desegregation and Black teacher’s employment, The </w:t>
      </w:r>
    </w:p>
    <w:p w14:paraId="6AC7CE19" w14:textId="77777777" w:rsidR="009773F2" w:rsidRPr="007B25AE" w:rsidRDefault="009773F2" w:rsidP="009773F2">
      <w:pPr>
        <w:ind w:firstLine="720"/>
        <w:rPr>
          <w:rFonts w:ascii="Baskerville" w:eastAsia="MS PMincho" w:hAnsi="Baskerville" w:cs="Arabic Typesetting"/>
        </w:rPr>
      </w:pPr>
      <w:r w:rsidRPr="007B25AE">
        <w:rPr>
          <w:rFonts w:ascii="Baskerville" w:eastAsia="MS PMincho" w:hAnsi="Baskerville" w:cs="Arabic Typesetting"/>
        </w:rPr>
        <w:t>Review of Economics and Statistics.</w:t>
      </w:r>
    </w:p>
    <w:p w14:paraId="0E3A7C43" w14:textId="77777777" w:rsidR="009773F2" w:rsidRPr="007B25AE" w:rsidRDefault="009773F2" w:rsidP="009773F2">
      <w:pPr>
        <w:ind w:firstLine="720"/>
        <w:rPr>
          <w:rFonts w:ascii="Baskerville" w:eastAsia="MS PMincho" w:hAnsi="Baskerville" w:cs="Arabic Typesetting"/>
        </w:rPr>
      </w:pPr>
    </w:p>
    <w:p w14:paraId="74BDCE75" w14:textId="77777777" w:rsidR="009773F2" w:rsidRPr="007B25AE" w:rsidRDefault="009773F2" w:rsidP="009773F2">
      <w:pPr>
        <w:rPr>
          <w:rFonts w:ascii="Baskerville" w:eastAsia="MS PMincho" w:hAnsi="Baskerville" w:cs="Arabic Typesetting"/>
        </w:rPr>
      </w:pPr>
      <w:r w:rsidRPr="007B25AE">
        <w:rPr>
          <w:rFonts w:ascii="Baskerville" w:eastAsia="MS PMincho" w:hAnsi="Baskerville" w:cs="Arabic Typesetting"/>
        </w:rPr>
        <w:t xml:space="preserve">Thompson, Cecil (1999). College transition of Black and Hispanic high school graduates </w:t>
      </w:r>
    </w:p>
    <w:p w14:paraId="30A66095" w14:textId="77777777" w:rsidR="009773F2" w:rsidRPr="007B25AE" w:rsidRDefault="009773F2" w:rsidP="009773F2">
      <w:pPr>
        <w:ind w:left="705"/>
        <w:rPr>
          <w:rFonts w:ascii="Baskerville" w:eastAsia="MS PMincho" w:hAnsi="Baskerville" w:cs="Arabic Typesetting"/>
        </w:rPr>
      </w:pPr>
      <w:r w:rsidRPr="007B25AE">
        <w:rPr>
          <w:rFonts w:ascii="Baskerville" w:eastAsia="MS PMincho" w:hAnsi="Baskerville" w:cs="Arabic Typesetting"/>
        </w:rPr>
        <w:t>as a function of college fit and academic preparedness under the influence of ethnicity [Unpublished master’s thesis]. City College of New York (CUNY).</w:t>
      </w:r>
    </w:p>
    <w:p w14:paraId="7ED807E5" w14:textId="77777777" w:rsidR="00573D9F" w:rsidRPr="007B25AE" w:rsidRDefault="00573D9F" w:rsidP="009773F2">
      <w:pPr>
        <w:ind w:left="705"/>
        <w:rPr>
          <w:rFonts w:ascii="Baskerville" w:eastAsia="MS PMincho" w:hAnsi="Baskerville" w:cs="Arabic Typesetting"/>
        </w:rPr>
      </w:pPr>
    </w:p>
    <w:p w14:paraId="494A72BD" w14:textId="77777777" w:rsidR="000B4B04" w:rsidRPr="007B25AE" w:rsidRDefault="000B4B04" w:rsidP="000B4B04">
      <w:pPr>
        <w:rPr>
          <w:rFonts w:ascii="Baskerville" w:eastAsia="MS PMincho" w:hAnsi="Baskerville" w:cs="Arabic Typesetting"/>
        </w:rPr>
      </w:pPr>
    </w:p>
    <w:p w14:paraId="3BFA8A2F" w14:textId="77777777" w:rsidR="006A03FF" w:rsidRDefault="002A6F00" w:rsidP="000B4B04">
      <w:pPr>
        <w:rPr>
          <w:rFonts w:ascii="Baskerville" w:eastAsia="MS PMincho" w:hAnsi="Baskerville" w:cs="Arabic Typesetting"/>
        </w:rPr>
      </w:pPr>
      <w:r w:rsidRPr="007B25AE">
        <w:rPr>
          <w:rFonts w:ascii="Baskerville" w:eastAsia="MS PMincho" w:hAnsi="Baskerville" w:cs="Arabic Typesetting"/>
        </w:rPr>
        <w:t>Turney, S. (2024, Jan. 29)</w:t>
      </w:r>
      <w:r w:rsidR="00573D9F" w:rsidRPr="007B25AE">
        <w:rPr>
          <w:rFonts w:ascii="Baskerville" w:eastAsia="MS PMincho" w:hAnsi="Baskerville" w:cs="Arabic Typesetting"/>
        </w:rPr>
        <w:t xml:space="preserve">. What is Kurtosis? Definition, Examples &amp;Formula. </w:t>
      </w:r>
      <w:proofErr w:type="spellStart"/>
      <w:r w:rsidR="00573D9F" w:rsidRPr="007B25AE">
        <w:rPr>
          <w:rFonts w:ascii="Baskerville" w:eastAsia="MS PMincho" w:hAnsi="Baskerville" w:cs="Arabic Typesetting"/>
        </w:rPr>
        <w:t>Scribbr</w:t>
      </w:r>
      <w:proofErr w:type="spellEnd"/>
      <w:r w:rsidR="00573D9F" w:rsidRPr="007B25AE">
        <w:rPr>
          <w:rFonts w:ascii="Baskerville" w:eastAsia="MS PMincho" w:hAnsi="Baskerville" w:cs="Arabic Typesetting"/>
        </w:rPr>
        <w:t xml:space="preserve">. </w:t>
      </w:r>
    </w:p>
    <w:p w14:paraId="29D2B14C" w14:textId="159406EB" w:rsidR="002A6F00" w:rsidRPr="007B25AE" w:rsidRDefault="00573D9F" w:rsidP="006A03FF">
      <w:pPr>
        <w:ind w:firstLine="720"/>
        <w:rPr>
          <w:rFonts w:ascii="Baskerville" w:eastAsia="MS PMincho" w:hAnsi="Baskerville" w:cs="Arabic Typesetting"/>
        </w:rPr>
      </w:pPr>
      <w:r w:rsidRPr="007B25AE">
        <w:rPr>
          <w:rFonts w:ascii="Baskerville" w:eastAsia="MS PMincho" w:hAnsi="Baskerville" w:cs="Arabic Typesetting"/>
        </w:rPr>
        <w:t xml:space="preserve">Retrieved June 3, </w:t>
      </w:r>
      <w:proofErr w:type="gramStart"/>
      <w:r w:rsidRPr="007B25AE">
        <w:rPr>
          <w:rFonts w:ascii="Baskerville" w:eastAsia="MS PMincho" w:hAnsi="Baskerville" w:cs="Arabic Typesetting"/>
        </w:rPr>
        <w:t>2024</w:t>
      </w:r>
      <w:proofErr w:type="gramEnd"/>
      <w:r w:rsidRPr="007B25AE">
        <w:rPr>
          <w:rFonts w:ascii="Baskerville" w:eastAsia="MS PMincho" w:hAnsi="Baskerville" w:cs="Arabic Typesetting"/>
        </w:rPr>
        <w:t xml:space="preserve"> from</w:t>
      </w:r>
    </w:p>
    <w:p w14:paraId="07358DC8" w14:textId="646CF2F2" w:rsidR="00573D9F" w:rsidRPr="007B25AE" w:rsidRDefault="00573D9F" w:rsidP="00573D9F">
      <w:pPr>
        <w:ind w:firstLine="720"/>
        <w:rPr>
          <w:rFonts w:ascii="Baskerville" w:eastAsia="MS PMincho" w:hAnsi="Baskerville" w:cs="Arabic Typesetting"/>
        </w:rPr>
      </w:pPr>
      <w:r w:rsidRPr="007B25AE">
        <w:rPr>
          <w:rFonts w:ascii="Baskerville" w:eastAsia="MS PMincho" w:hAnsi="Baskerville" w:cs="Arabic Typesetting"/>
        </w:rPr>
        <w:t>https://www.scribbr. Com/statistics/kurtosis/</w:t>
      </w:r>
    </w:p>
    <w:p w14:paraId="21AD8D4C" w14:textId="77777777" w:rsidR="00573D9F" w:rsidRPr="007B25AE" w:rsidRDefault="00573D9F" w:rsidP="00573D9F">
      <w:pPr>
        <w:ind w:firstLine="720"/>
        <w:rPr>
          <w:rFonts w:ascii="Baskerville" w:eastAsia="MS PMincho" w:hAnsi="Baskerville" w:cs="Arabic Typesetting"/>
        </w:rPr>
      </w:pPr>
    </w:p>
    <w:p w14:paraId="0184A216" w14:textId="77777777" w:rsidR="006579AB" w:rsidRPr="007B25AE" w:rsidRDefault="000B4B04" w:rsidP="000B2624">
      <w:pPr>
        <w:rPr>
          <w:rFonts w:ascii="Baskerville" w:eastAsia="MS PMincho" w:hAnsi="Baskerville" w:cs="Arabic Typesetting"/>
        </w:rPr>
      </w:pPr>
      <w:r w:rsidRPr="007B25AE">
        <w:rPr>
          <w:rFonts w:ascii="Baskerville" w:eastAsia="MS PMincho" w:hAnsi="Baskerville" w:cs="Arabic Typesetting"/>
        </w:rPr>
        <w:t xml:space="preserve">Tyson, Karolyn (2003). Notes from the back of the room. Problems and paradoxes in </w:t>
      </w:r>
    </w:p>
    <w:p w14:paraId="657BAE6E" w14:textId="03FC8E05" w:rsidR="002E0B49" w:rsidRPr="007B25AE" w:rsidRDefault="000B4B04" w:rsidP="00C342D7">
      <w:pPr>
        <w:ind w:firstLine="720"/>
        <w:rPr>
          <w:rFonts w:ascii="Baskerville" w:eastAsia="MS PMincho" w:hAnsi="Baskerville" w:cs="Arabic Typesetting"/>
        </w:rPr>
      </w:pPr>
      <w:r w:rsidRPr="007B25AE">
        <w:rPr>
          <w:rFonts w:ascii="Baskerville" w:eastAsia="MS PMincho" w:hAnsi="Baskerville" w:cs="Arabic Typesetting"/>
        </w:rPr>
        <w:t>schooling young Black students, Sociology of Education, 76(4), 326-343.</w:t>
      </w:r>
    </w:p>
    <w:p w14:paraId="3A005191" w14:textId="77777777" w:rsidR="002E0B49" w:rsidRPr="007B25AE" w:rsidRDefault="002E0B49" w:rsidP="00D00641">
      <w:pPr>
        <w:rPr>
          <w:rFonts w:ascii="Baskerville" w:eastAsia="MS PMincho" w:hAnsi="Baskerville" w:cs="Arabic Typesetting"/>
        </w:rPr>
      </w:pPr>
    </w:p>
    <w:p w14:paraId="1B457F91" w14:textId="77777777" w:rsidR="0008725A" w:rsidRPr="007B25AE" w:rsidRDefault="0008725A" w:rsidP="0008725A">
      <w:pPr>
        <w:rPr>
          <w:rFonts w:ascii="Baskerville" w:eastAsia="MS PMincho" w:hAnsi="Baskerville" w:cs="Arabic Typesetting"/>
        </w:rPr>
      </w:pPr>
      <w:r w:rsidRPr="007B25AE">
        <w:rPr>
          <w:rFonts w:ascii="Baskerville" w:eastAsia="MS PMincho" w:hAnsi="Baskerville" w:cs="Arabic Typesetting"/>
        </w:rPr>
        <w:t xml:space="preserve">Vile, John R. (2009). Commonwealth v. Cooke (Mass) (1859) [electronic resource]. The </w:t>
      </w:r>
    </w:p>
    <w:p w14:paraId="543B9BDE" w14:textId="77777777" w:rsidR="0008725A" w:rsidRPr="007B25AE" w:rsidRDefault="0008725A" w:rsidP="0008725A">
      <w:pPr>
        <w:ind w:firstLine="720"/>
        <w:rPr>
          <w:rFonts w:ascii="Baskerville" w:eastAsia="MS PMincho" w:hAnsi="Baskerville" w:cs="Arabic Typesetting"/>
        </w:rPr>
      </w:pPr>
      <w:r w:rsidRPr="007B25AE">
        <w:rPr>
          <w:rFonts w:ascii="Baskerville" w:eastAsia="MS PMincho" w:hAnsi="Baskerville" w:cs="Arabic Typesetting"/>
        </w:rPr>
        <w:t>First Amendment Encyclopedia. (accessed Jan 23, 2023).</w:t>
      </w:r>
    </w:p>
    <w:p w14:paraId="0DD76459" w14:textId="77777777" w:rsidR="0008725A" w:rsidRPr="007B25AE" w:rsidRDefault="0008725A" w:rsidP="0008725A">
      <w:pPr>
        <w:ind w:firstLine="720"/>
        <w:rPr>
          <w:rFonts w:ascii="Baskerville" w:eastAsia="MS PMincho" w:hAnsi="Baskerville" w:cs="Arabic Typesetting"/>
        </w:rPr>
      </w:pPr>
      <w:hyperlink r:id="rId35" w:history="1">
        <w:r w:rsidRPr="007B25AE">
          <w:rPr>
            <w:rStyle w:val="Hyperlink"/>
            <w:rFonts w:ascii="Baskerville" w:eastAsia="MS PMincho" w:hAnsi="Baskerville" w:cs="Arabic Typesetting"/>
          </w:rPr>
          <w:t>https://www.mtsu.edu:8443/first-amendment/article/615/commonwealth-vcooke-</w:t>
        </w:r>
      </w:hyperlink>
    </w:p>
    <w:p w14:paraId="24B0346D" w14:textId="6734B52B" w:rsidR="0008725A" w:rsidRPr="007B25AE" w:rsidRDefault="0008725A" w:rsidP="00B762B4">
      <w:pPr>
        <w:ind w:firstLine="720"/>
        <w:rPr>
          <w:rFonts w:ascii="Baskerville" w:eastAsia="MS PMincho" w:hAnsi="Baskerville" w:cs="Arabic Typesetting"/>
        </w:rPr>
      </w:pPr>
      <w:r w:rsidRPr="007B25AE">
        <w:rPr>
          <w:rFonts w:ascii="Baskerville" w:eastAsia="MS PMincho" w:hAnsi="Baskerville" w:cs="Arabic Typesetting"/>
        </w:rPr>
        <w:t>mas</w:t>
      </w:r>
      <w:r w:rsidR="00B762B4" w:rsidRPr="007B25AE">
        <w:rPr>
          <w:rFonts w:ascii="Baskerville" w:eastAsia="MS PMincho" w:hAnsi="Baskerville" w:cs="Arabic Typesetting"/>
        </w:rPr>
        <w:t>s.</w:t>
      </w:r>
    </w:p>
    <w:p w14:paraId="2F92EE2F" w14:textId="77777777" w:rsidR="00D00641" w:rsidRPr="007B25AE" w:rsidRDefault="00D00641" w:rsidP="00B762B4">
      <w:pPr>
        <w:ind w:firstLine="720"/>
        <w:rPr>
          <w:rFonts w:ascii="Baskerville" w:eastAsia="MS PMincho" w:hAnsi="Baskerville" w:cs="Arabic Typesetting"/>
        </w:rPr>
      </w:pPr>
    </w:p>
    <w:p w14:paraId="452EAE40" w14:textId="77777777" w:rsidR="00D00641" w:rsidRPr="007B25AE" w:rsidRDefault="00D00641" w:rsidP="00D00641">
      <w:pPr>
        <w:spacing w:line="360" w:lineRule="auto"/>
        <w:rPr>
          <w:rFonts w:ascii="Baskerville" w:eastAsia="MS PMincho" w:hAnsi="Baskerville" w:cs="Arabic Typesetting"/>
        </w:rPr>
      </w:pPr>
      <w:r w:rsidRPr="007B25AE">
        <w:rPr>
          <w:rFonts w:ascii="Baskerville" w:eastAsia="MS PMincho" w:hAnsi="Baskerville" w:cs="Arabic Typesetting"/>
        </w:rPr>
        <w:t xml:space="preserve">Wikipedia List of the largest school districts in the US </w:t>
      </w:r>
      <w:proofErr w:type="spellStart"/>
      <w:r w:rsidRPr="007B25AE">
        <w:rPr>
          <w:rFonts w:ascii="Baskerville" w:eastAsia="MS PMincho" w:hAnsi="Baskerville" w:cs="Arabic Typesetting"/>
        </w:rPr>
        <w:t>bt</w:t>
      </w:r>
      <w:proofErr w:type="spellEnd"/>
      <w:r w:rsidRPr="007B25AE">
        <w:rPr>
          <w:rFonts w:ascii="Baskerville" w:eastAsia="MS PMincho" w:hAnsi="Baskerville" w:cs="Arabic Typesetting"/>
        </w:rPr>
        <w:t xml:space="preserve"> enrollment.   </w:t>
      </w:r>
    </w:p>
    <w:p w14:paraId="2ADFB58D" w14:textId="77777777" w:rsidR="00D00641" w:rsidRPr="007B25AE" w:rsidRDefault="00D00641" w:rsidP="00D00641">
      <w:pPr>
        <w:spacing w:line="360" w:lineRule="auto"/>
        <w:ind w:firstLine="720"/>
        <w:rPr>
          <w:rFonts w:ascii="Baskerville" w:eastAsia="MS PMincho" w:hAnsi="Baskerville" w:cs="Arabic Typesetting"/>
        </w:rPr>
      </w:pPr>
      <w:hyperlink r:id="rId36" w:history="1">
        <w:r w:rsidRPr="007B25AE">
          <w:rPr>
            <w:rStyle w:val="Hyperlink"/>
            <w:rFonts w:ascii="Baskerville" w:eastAsia="MS PMincho" w:hAnsi="Baskerville" w:cs="Arabic Typesetting"/>
          </w:rPr>
          <w:t>https://creativecommons.org/licenses/by-sa/4.0/</w:t>
        </w:r>
      </w:hyperlink>
      <w:r w:rsidRPr="007B25AE">
        <w:rPr>
          <w:rFonts w:ascii="Baskerville" w:eastAsia="MS PMincho" w:hAnsi="Baskerville" w:cs="Arabic Typesetting"/>
        </w:rPr>
        <w:t xml:space="preserve"> Wikimedia. Curious</w:t>
      </w:r>
    </w:p>
    <w:p w14:paraId="6344B611" w14:textId="77777777" w:rsidR="00D00641" w:rsidRPr="007B25AE" w:rsidRDefault="00D00641" w:rsidP="00D00641">
      <w:pPr>
        <w:ind w:firstLine="720"/>
        <w:rPr>
          <w:rFonts w:ascii="Baskerville" w:eastAsia="MS PMincho" w:hAnsi="Baskerville" w:cs="Arabic Typesetting"/>
        </w:rPr>
      </w:pPr>
      <w:r w:rsidRPr="007B25AE">
        <w:rPr>
          <w:rFonts w:ascii="Baskerville" w:eastAsia="MS PMincho" w:hAnsi="Baskerville" w:cs="Arabic Typesetting"/>
        </w:rPr>
        <w:t>Meta.m.wikimedia.org.</w:t>
      </w:r>
    </w:p>
    <w:p w14:paraId="0163E4E9" w14:textId="77777777" w:rsidR="0008725A" w:rsidRPr="007B25AE" w:rsidRDefault="0008725A" w:rsidP="0008725A">
      <w:pPr>
        <w:rPr>
          <w:rFonts w:ascii="Baskerville" w:eastAsia="MS PMincho" w:hAnsi="Baskerville" w:cs="Arabic Typesetting"/>
        </w:rPr>
      </w:pPr>
    </w:p>
    <w:p w14:paraId="70516814" w14:textId="77777777" w:rsidR="0008725A" w:rsidRPr="007B25AE" w:rsidRDefault="0008725A" w:rsidP="0008725A">
      <w:pPr>
        <w:rPr>
          <w:rFonts w:ascii="Baskerville" w:eastAsia="MS PMincho" w:hAnsi="Baskerville" w:cs="Arabic Typesetting"/>
        </w:rPr>
      </w:pPr>
      <w:r w:rsidRPr="007B25AE">
        <w:rPr>
          <w:rFonts w:ascii="Baskerville" w:eastAsia="MS PMincho" w:hAnsi="Baskerville" w:cs="Arabic Typesetting"/>
        </w:rPr>
        <w:t xml:space="preserve">Wolters, Raymond. (1984). The burden of Brown: The thirty years of school desegregation. </w:t>
      </w:r>
    </w:p>
    <w:p w14:paraId="7E12B243" w14:textId="77777777" w:rsidR="0008725A" w:rsidRPr="007B25AE" w:rsidRDefault="0008725A" w:rsidP="0008725A">
      <w:pPr>
        <w:ind w:firstLine="720"/>
        <w:rPr>
          <w:rFonts w:ascii="Baskerville" w:eastAsia="MS PMincho" w:hAnsi="Baskerville" w:cs="Arabic Typesetting"/>
        </w:rPr>
      </w:pPr>
      <w:r w:rsidRPr="007B25AE">
        <w:rPr>
          <w:rFonts w:ascii="Baskerville" w:eastAsia="MS PMincho" w:hAnsi="Baskerville" w:cs="Arabic Typesetting"/>
        </w:rPr>
        <w:t xml:space="preserve">Knoxville: University of Tennessee Press. </w:t>
      </w:r>
    </w:p>
    <w:p w14:paraId="71F76222" w14:textId="77777777" w:rsidR="0008725A" w:rsidRPr="007B25AE" w:rsidRDefault="0008725A" w:rsidP="0008725A">
      <w:pPr>
        <w:rPr>
          <w:rFonts w:ascii="Baskerville" w:eastAsia="MS PMincho" w:hAnsi="Baskerville" w:cs="Arabic Typesetting"/>
        </w:rPr>
      </w:pPr>
    </w:p>
    <w:p w14:paraId="56100C4E" w14:textId="77777777" w:rsidR="0008725A" w:rsidRPr="007B25AE" w:rsidRDefault="0008725A" w:rsidP="0008725A">
      <w:pPr>
        <w:rPr>
          <w:rFonts w:ascii="Baskerville" w:eastAsia="MS PMincho" w:hAnsi="Baskerville" w:cs="Arabic Typesetting"/>
        </w:rPr>
      </w:pPr>
      <w:proofErr w:type="spellStart"/>
      <w:r w:rsidRPr="007B25AE">
        <w:rPr>
          <w:rFonts w:ascii="Baskerville" w:eastAsia="MS PMincho" w:hAnsi="Baskerville" w:cs="Arabic Typesetting"/>
        </w:rPr>
        <w:t>Zilversmit</w:t>
      </w:r>
      <w:proofErr w:type="spellEnd"/>
      <w:r w:rsidRPr="007B25AE">
        <w:rPr>
          <w:rFonts w:ascii="Baskerville" w:eastAsia="MS PMincho" w:hAnsi="Baskerville" w:cs="Arabic Typesetting"/>
        </w:rPr>
        <w:t>, Arthur (1967). Emancipation: The abolition of slavery in the north. pp.103-105.</w:t>
      </w:r>
    </w:p>
    <w:p w14:paraId="58F55022" w14:textId="77777777" w:rsidR="0008725A" w:rsidRPr="00141356" w:rsidRDefault="0008725A" w:rsidP="0008725A">
      <w:pPr>
        <w:rPr>
          <w:rFonts w:ascii="Baskerville" w:eastAsia="MS PMincho" w:hAnsi="Baskerville" w:cs="Courier New"/>
        </w:rPr>
      </w:pPr>
    </w:p>
    <w:p w14:paraId="767002C6" w14:textId="77777777" w:rsidR="006579AB" w:rsidRPr="00D7148F" w:rsidRDefault="006579AB" w:rsidP="001C6A6C">
      <w:pPr>
        <w:ind w:left="705" w:right="298" w:hanging="720"/>
        <w:rPr>
          <w:rFonts w:ascii="Apple Symbols" w:hAnsi="Apple Symbols" w:cs="Apple Symbols"/>
        </w:rPr>
      </w:pPr>
    </w:p>
    <w:p w14:paraId="4CCA34D6" w14:textId="77777777" w:rsidR="007211A6" w:rsidRPr="00D7148F" w:rsidRDefault="007211A6" w:rsidP="007211A6">
      <w:pPr>
        <w:spacing w:line="259" w:lineRule="auto"/>
        <w:rPr>
          <w:rFonts w:ascii="Apple Symbols" w:hAnsi="Apple Symbols" w:cs="Apple Symbols"/>
        </w:rPr>
      </w:pPr>
      <w:r w:rsidRPr="00D7148F">
        <w:rPr>
          <w:rFonts w:ascii="Apple Symbols" w:hAnsi="Apple Symbols" w:cs="Apple Symbols" w:hint="cs"/>
        </w:rPr>
        <w:t xml:space="preserve"> </w:t>
      </w:r>
    </w:p>
    <w:p w14:paraId="4E179E44" w14:textId="77777777" w:rsidR="00053AAC" w:rsidRPr="00D7148F" w:rsidRDefault="00053AAC">
      <w:pPr>
        <w:rPr>
          <w:rFonts w:ascii="Apple Symbols" w:hAnsi="Apple Symbols" w:cs="Apple Symbols"/>
        </w:rPr>
      </w:pPr>
    </w:p>
    <w:p w14:paraId="4A8DF194" w14:textId="77777777" w:rsidR="00053AAC" w:rsidRPr="00D7148F" w:rsidRDefault="00053AAC">
      <w:pPr>
        <w:rPr>
          <w:rFonts w:ascii="Apple Symbols" w:hAnsi="Apple Symbols" w:cs="Apple Symbols"/>
        </w:rPr>
      </w:pPr>
    </w:p>
    <w:p w14:paraId="65457E70" w14:textId="77777777" w:rsidR="007211A6" w:rsidRPr="00D7148F" w:rsidRDefault="007211A6" w:rsidP="00C700C6">
      <w:pPr>
        <w:ind w:left="705" w:right="298" w:hanging="720"/>
        <w:rPr>
          <w:rFonts w:ascii="Apple Symbols" w:hAnsi="Apple Symbols" w:cs="Apple Symbols"/>
        </w:rPr>
      </w:pPr>
    </w:p>
    <w:p w14:paraId="22DF2A3F" w14:textId="77777777" w:rsidR="00C700C6" w:rsidRPr="00D7148F" w:rsidRDefault="00C700C6" w:rsidP="00A764B1">
      <w:pPr>
        <w:ind w:left="705" w:right="298" w:hanging="720"/>
        <w:rPr>
          <w:rFonts w:ascii="Apple Symbols" w:hAnsi="Apple Symbols" w:cs="Apple Symbols"/>
        </w:rPr>
      </w:pPr>
    </w:p>
    <w:p w14:paraId="69EF6973" w14:textId="77777777" w:rsidR="00A764B1" w:rsidRPr="00D7148F" w:rsidRDefault="00A764B1" w:rsidP="00A764B1">
      <w:pPr>
        <w:spacing w:line="259" w:lineRule="auto"/>
        <w:rPr>
          <w:rFonts w:ascii="Apple Symbols" w:hAnsi="Apple Symbols" w:cs="Apple Symbols"/>
        </w:rPr>
      </w:pPr>
    </w:p>
    <w:p w14:paraId="36ED3A88" w14:textId="77777777" w:rsidR="00BB56AC" w:rsidRPr="00D7148F" w:rsidRDefault="00BB56AC">
      <w:pPr>
        <w:rPr>
          <w:rFonts w:ascii="Apple Symbols" w:hAnsi="Apple Symbols" w:cs="Apple Symbols"/>
        </w:rPr>
      </w:pPr>
    </w:p>
    <w:p w14:paraId="6D784D25" w14:textId="77777777" w:rsidR="00BB56AC" w:rsidRPr="00D7148F" w:rsidRDefault="00BB56AC">
      <w:pPr>
        <w:rPr>
          <w:rFonts w:ascii="Apple Symbols" w:hAnsi="Apple Symbols" w:cs="Apple Symbols"/>
        </w:rPr>
      </w:pPr>
    </w:p>
    <w:p w14:paraId="15D7B7A9" w14:textId="77777777" w:rsidR="00B4755E" w:rsidRPr="00D7148F" w:rsidRDefault="00B4755E">
      <w:pPr>
        <w:rPr>
          <w:rFonts w:ascii="Apple Symbols" w:hAnsi="Apple Symbols" w:cs="Apple Symbols"/>
        </w:rPr>
      </w:pPr>
    </w:p>
    <w:p w14:paraId="0D5F2511" w14:textId="77777777" w:rsidR="00B4755E" w:rsidRPr="00D7148F" w:rsidRDefault="00B4755E">
      <w:pPr>
        <w:rPr>
          <w:rFonts w:ascii="Apple Symbols" w:hAnsi="Apple Symbols" w:cs="Apple Symbols"/>
        </w:rPr>
      </w:pPr>
    </w:p>
    <w:p w14:paraId="0E986B1E" w14:textId="77777777" w:rsidR="00B4755E" w:rsidRPr="00D7148F" w:rsidRDefault="00B4755E">
      <w:pPr>
        <w:rPr>
          <w:rFonts w:ascii="Apple Symbols" w:hAnsi="Apple Symbols" w:cs="Apple Symbols"/>
        </w:rPr>
      </w:pPr>
    </w:p>
    <w:p w14:paraId="4DC7F4B0" w14:textId="77777777" w:rsidR="00B4755E" w:rsidRPr="00D7148F" w:rsidRDefault="00B4755E">
      <w:pPr>
        <w:rPr>
          <w:rFonts w:ascii="Apple Symbols" w:hAnsi="Apple Symbols" w:cs="Apple Symbols"/>
        </w:rPr>
      </w:pPr>
    </w:p>
    <w:p w14:paraId="075C3478" w14:textId="77777777" w:rsidR="00B4755E" w:rsidRPr="00D7148F" w:rsidRDefault="00B4755E">
      <w:pPr>
        <w:rPr>
          <w:rFonts w:ascii="Apple Symbols" w:hAnsi="Apple Symbols" w:cs="Apple Symbols"/>
        </w:rPr>
      </w:pPr>
    </w:p>
    <w:p w14:paraId="2A39DCBA" w14:textId="77777777" w:rsidR="00B4755E" w:rsidRPr="00D7148F" w:rsidRDefault="00B4755E">
      <w:pPr>
        <w:rPr>
          <w:rFonts w:ascii="Apple Symbols" w:hAnsi="Apple Symbols" w:cs="Apple Symbols"/>
        </w:rPr>
      </w:pPr>
    </w:p>
    <w:p w14:paraId="11B67C08" w14:textId="77777777" w:rsidR="007211A6" w:rsidRPr="00D7148F" w:rsidRDefault="007211A6">
      <w:pPr>
        <w:rPr>
          <w:rFonts w:ascii="Apple Symbols" w:hAnsi="Apple Symbols" w:cs="Apple Symbols"/>
        </w:rPr>
      </w:pPr>
    </w:p>
    <w:p w14:paraId="278C4F57" w14:textId="77777777" w:rsidR="007211A6" w:rsidRPr="00D7148F" w:rsidRDefault="007211A6">
      <w:pPr>
        <w:rPr>
          <w:rFonts w:ascii="Apple Symbols" w:hAnsi="Apple Symbols" w:cs="Apple Symbols"/>
        </w:rPr>
      </w:pPr>
    </w:p>
    <w:p w14:paraId="5E78334F" w14:textId="77777777" w:rsidR="007211A6" w:rsidRPr="00D7148F" w:rsidRDefault="007211A6">
      <w:pPr>
        <w:rPr>
          <w:rFonts w:ascii="Apple Symbols" w:hAnsi="Apple Symbols" w:cs="Apple Symbols"/>
        </w:rPr>
      </w:pPr>
    </w:p>
    <w:p w14:paraId="18E0C586" w14:textId="77777777" w:rsidR="007211A6" w:rsidRPr="00D7148F" w:rsidRDefault="007211A6">
      <w:pPr>
        <w:rPr>
          <w:rFonts w:ascii="Apple Symbols" w:hAnsi="Apple Symbols" w:cs="Apple Symbols"/>
        </w:rPr>
      </w:pPr>
    </w:p>
    <w:p w14:paraId="06FE0168" w14:textId="77777777" w:rsidR="00B4755E" w:rsidRPr="00D7148F" w:rsidRDefault="00B4755E">
      <w:pPr>
        <w:rPr>
          <w:rFonts w:ascii="Apple Symbols" w:hAnsi="Apple Symbols" w:cs="Apple Symbols"/>
        </w:rPr>
      </w:pPr>
    </w:p>
    <w:p w14:paraId="3485C66F" w14:textId="77777777" w:rsidR="006579AB" w:rsidRPr="00D7148F" w:rsidRDefault="006579AB">
      <w:pPr>
        <w:rPr>
          <w:rFonts w:ascii="Apple Symbols" w:hAnsi="Apple Symbols" w:cs="Apple Symbols"/>
        </w:rPr>
      </w:pPr>
    </w:p>
    <w:p w14:paraId="0F1A026D" w14:textId="77777777" w:rsidR="006579AB" w:rsidRPr="00D7148F" w:rsidRDefault="006579AB">
      <w:pPr>
        <w:rPr>
          <w:rFonts w:ascii="Apple Symbols" w:hAnsi="Apple Symbols" w:cs="Apple Symbols"/>
        </w:rPr>
      </w:pPr>
    </w:p>
    <w:p w14:paraId="5033A8F2" w14:textId="77777777" w:rsidR="006579AB" w:rsidRPr="00D7148F" w:rsidRDefault="006579AB">
      <w:pPr>
        <w:rPr>
          <w:rFonts w:ascii="Apple Symbols" w:hAnsi="Apple Symbols" w:cs="Apple Symbols"/>
        </w:rPr>
      </w:pPr>
    </w:p>
    <w:p w14:paraId="3A8CE749" w14:textId="77777777" w:rsidR="006579AB" w:rsidRPr="00D7148F" w:rsidRDefault="006579AB">
      <w:pPr>
        <w:rPr>
          <w:rFonts w:ascii="Apple Symbols" w:hAnsi="Apple Symbols" w:cs="Apple Symbols"/>
        </w:rPr>
      </w:pPr>
    </w:p>
    <w:p w14:paraId="5182EC21" w14:textId="77777777" w:rsidR="006579AB" w:rsidRPr="00D7148F" w:rsidRDefault="006579AB">
      <w:pPr>
        <w:rPr>
          <w:rFonts w:ascii="Apple Symbols" w:hAnsi="Apple Symbols" w:cs="Apple Symbols"/>
        </w:rPr>
      </w:pPr>
    </w:p>
    <w:p w14:paraId="6B283A98" w14:textId="77777777" w:rsidR="00B4755E" w:rsidRPr="00D7148F" w:rsidRDefault="00B4755E">
      <w:pPr>
        <w:rPr>
          <w:rFonts w:ascii="Apple Symbols" w:hAnsi="Apple Symbols" w:cs="Apple Symbols"/>
        </w:rPr>
      </w:pPr>
    </w:p>
    <w:p w14:paraId="5EFFF928" w14:textId="77777777" w:rsidR="00B4755E" w:rsidRPr="00D7148F" w:rsidRDefault="00B4755E">
      <w:pPr>
        <w:rPr>
          <w:rFonts w:ascii="Apple Symbols" w:hAnsi="Apple Symbols" w:cs="Apple Symbols"/>
        </w:rPr>
      </w:pPr>
    </w:p>
    <w:p w14:paraId="094D5196" w14:textId="77777777" w:rsidR="00B762B4" w:rsidRPr="00D7148F" w:rsidRDefault="00B762B4">
      <w:pPr>
        <w:rPr>
          <w:rFonts w:ascii="Apple Symbols" w:hAnsi="Apple Symbols" w:cs="Apple Symbols"/>
        </w:rPr>
      </w:pPr>
    </w:p>
    <w:p w14:paraId="0100AF95" w14:textId="77777777" w:rsidR="00B762B4" w:rsidRPr="00D7148F" w:rsidRDefault="00B762B4">
      <w:pPr>
        <w:rPr>
          <w:rFonts w:ascii="Apple Symbols" w:hAnsi="Apple Symbols" w:cs="Apple Symbols"/>
        </w:rPr>
      </w:pPr>
    </w:p>
    <w:p w14:paraId="02B89F9C" w14:textId="77777777" w:rsidR="00B762B4" w:rsidRPr="00D7148F" w:rsidRDefault="00B762B4">
      <w:pPr>
        <w:rPr>
          <w:rFonts w:ascii="Apple Symbols" w:hAnsi="Apple Symbols" w:cs="Apple Symbols"/>
        </w:rPr>
      </w:pPr>
    </w:p>
    <w:p w14:paraId="64BE200F" w14:textId="77777777" w:rsidR="00B762B4" w:rsidRPr="00D7148F" w:rsidRDefault="00B762B4">
      <w:pPr>
        <w:rPr>
          <w:rFonts w:ascii="Apple Symbols" w:hAnsi="Apple Symbols" w:cs="Apple Symbols"/>
        </w:rPr>
      </w:pPr>
    </w:p>
    <w:p w14:paraId="04D7D60F" w14:textId="77777777" w:rsidR="00B762B4" w:rsidRPr="00D7148F" w:rsidRDefault="00B762B4">
      <w:pPr>
        <w:rPr>
          <w:rFonts w:ascii="Apple Symbols" w:hAnsi="Apple Symbols" w:cs="Apple Symbols"/>
        </w:rPr>
      </w:pPr>
    </w:p>
    <w:p w14:paraId="769AD5CE" w14:textId="77777777" w:rsidR="00B762B4" w:rsidRPr="00D7148F" w:rsidRDefault="00B762B4">
      <w:pPr>
        <w:rPr>
          <w:rFonts w:ascii="Apple Symbols" w:hAnsi="Apple Symbols" w:cs="Apple Symbols"/>
        </w:rPr>
      </w:pPr>
    </w:p>
    <w:p w14:paraId="1D538606" w14:textId="77777777" w:rsidR="009773F2" w:rsidRPr="00D7148F" w:rsidRDefault="009773F2">
      <w:pPr>
        <w:rPr>
          <w:rFonts w:ascii="Apple Symbols" w:hAnsi="Apple Symbols" w:cs="Apple Symbols"/>
        </w:rPr>
      </w:pPr>
    </w:p>
    <w:p w14:paraId="205CD20A" w14:textId="77777777" w:rsidR="009773F2" w:rsidRPr="00D7148F" w:rsidRDefault="009773F2">
      <w:pPr>
        <w:rPr>
          <w:rFonts w:ascii="Apple Symbols" w:hAnsi="Apple Symbols" w:cs="Apple Symbols"/>
        </w:rPr>
      </w:pPr>
    </w:p>
    <w:p w14:paraId="2A9C36FD" w14:textId="77777777" w:rsidR="009773F2" w:rsidRPr="00D7148F" w:rsidRDefault="009773F2">
      <w:pPr>
        <w:rPr>
          <w:rFonts w:ascii="Apple Symbols" w:hAnsi="Apple Symbols" w:cs="Apple Symbols"/>
        </w:rPr>
      </w:pPr>
    </w:p>
    <w:p w14:paraId="171C7F6B" w14:textId="77777777" w:rsidR="009773F2" w:rsidRPr="00D7148F" w:rsidRDefault="009773F2">
      <w:pPr>
        <w:rPr>
          <w:rFonts w:ascii="Apple Symbols" w:hAnsi="Apple Symbols" w:cs="Apple Symbols"/>
        </w:rPr>
      </w:pPr>
    </w:p>
    <w:p w14:paraId="2944831E" w14:textId="77777777" w:rsidR="009773F2" w:rsidRPr="00D7148F" w:rsidRDefault="009773F2">
      <w:pPr>
        <w:rPr>
          <w:rFonts w:ascii="Apple Symbols" w:hAnsi="Apple Symbols" w:cs="Apple Symbols"/>
        </w:rPr>
      </w:pPr>
    </w:p>
    <w:p w14:paraId="38C93CB5" w14:textId="77777777" w:rsidR="009773F2" w:rsidRPr="00D7148F" w:rsidRDefault="009773F2">
      <w:pPr>
        <w:rPr>
          <w:rFonts w:ascii="Apple Symbols" w:hAnsi="Apple Symbols" w:cs="Apple Symbols"/>
        </w:rPr>
      </w:pPr>
    </w:p>
    <w:p w14:paraId="531C07B1" w14:textId="77777777" w:rsidR="009773F2" w:rsidRPr="00D7148F" w:rsidRDefault="009773F2">
      <w:pPr>
        <w:rPr>
          <w:rFonts w:ascii="Apple Symbols" w:hAnsi="Apple Symbols" w:cs="Apple Symbols"/>
        </w:rPr>
      </w:pPr>
    </w:p>
    <w:p w14:paraId="7CBB2B03" w14:textId="77777777" w:rsidR="009773F2" w:rsidRPr="00D7148F" w:rsidRDefault="009773F2">
      <w:pPr>
        <w:rPr>
          <w:rFonts w:ascii="Apple Symbols" w:hAnsi="Apple Symbols" w:cs="Apple Symbols"/>
        </w:rPr>
      </w:pPr>
    </w:p>
    <w:sectPr w:rsidR="009773F2" w:rsidRPr="00D7148F">
      <w:headerReference w:type="even" r:id="rId37"/>
      <w:headerReference w:type="default" r:id="rId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an Taladay" w:date="2024-09-23T11:48:00Z" w:initials="ST">
    <w:p w14:paraId="5E49845E" w14:textId="77777777" w:rsidR="007C73ED" w:rsidRDefault="007C73ED" w:rsidP="007C73ED">
      <w:pPr>
        <w:pStyle w:val="CommentText"/>
      </w:pPr>
      <w:r>
        <w:rPr>
          <w:rStyle w:val="CommentReference"/>
        </w:rPr>
        <w:annotationRef/>
      </w:r>
      <w:r>
        <w:t>This document is to be 7-9 pages in length. You have submitted 48 pages?</w:t>
      </w:r>
    </w:p>
  </w:comment>
  <w:comment w:id="1" w:author="Sean Taladay" w:date="2024-09-23T11:51:00Z" w:initials="ST">
    <w:p w14:paraId="0BF65519" w14:textId="77777777" w:rsidR="007C73ED" w:rsidRDefault="007C73ED" w:rsidP="007C73ED">
      <w:pPr>
        <w:pStyle w:val="CommentText"/>
      </w:pPr>
      <w:r>
        <w:rPr>
          <w:rStyle w:val="CommentReference"/>
        </w:rPr>
        <w:annotationRef/>
      </w:r>
      <w:r>
        <w:t>Please be sure to cite all sentences (thoughts) that are not your own. If you do not cite others work it is considered plagiarism.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49845E" w15:done="0"/>
  <w15:commentEx w15:paraId="0BF655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0CB09C" w16cex:dateUtc="2024-09-23T15:48:00Z"/>
  <w16cex:commentExtensible w16cex:durableId="31A2EE63" w16cex:dateUtc="2024-09-23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49845E" w16cid:durableId="150CB09C"/>
  <w16cid:commentId w16cid:paraId="0BF65519" w16cid:durableId="31A2E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2E7B3" w14:textId="77777777" w:rsidR="00FB0F80" w:rsidRDefault="00FB0F80" w:rsidP="006F0B5D">
      <w:r>
        <w:separator/>
      </w:r>
    </w:p>
  </w:endnote>
  <w:endnote w:type="continuationSeparator" w:id="0">
    <w:p w14:paraId="60C57D54" w14:textId="77777777" w:rsidR="00FB0F80" w:rsidRDefault="00FB0F80" w:rsidP="006F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w:altName w:val="Baskerville Old Face"/>
    <w:charset w:val="00"/>
    <w:family w:val="roman"/>
    <w:pitch w:val="variable"/>
    <w:sig w:usb0="80000067" w:usb1="02000000" w:usb2="00000000" w:usb3="00000000" w:csb0="0000019F" w:csb1="00000000"/>
  </w:font>
  <w:font w:name="MS PMincho">
    <w:charset w:val="80"/>
    <w:family w:val="roman"/>
    <w:pitch w:val="variable"/>
    <w:sig w:usb0="E00002FF" w:usb1="6AC7FDFB" w:usb2="08000012" w:usb3="00000000" w:csb0="0002009F" w:csb1="00000000"/>
  </w:font>
  <w:font w:name="Arabic Typesetting">
    <w:charset w:val="B2"/>
    <w:family w:val="script"/>
    <w:pitch w:val="variable"/>
    <w:sig w:usb0="80002007" w:usb1="80000000" w:usb2="00000008" w:usb3="00000000" w:csb0="000000D3" w:csb1="00000000"/>
  </w:font>
  <w:font w:name="Cambria Math">
    <w:panose1 w:val="02040503050406030204"/>
    <w:charset w:val="00"/>
    <w:family w:val="roman"/>
    <w:pitch w:val="variable"/>
    <w:sig w:usb0="E00006FF" w:usb1="420024FF" w:usb2="02000000" w:usb3="00000000" w:csb0="0000019F" w:csb1="00000000"/>
  </w:font>
  <w:font w:name="Apple Symbols">
    <w:altName w:val="Arial"/>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197BD" w14:textId="77777777" w:rsidR="00FB0F80" w:rsidRDefault="00FB0F80" w:rsidP="006F0B5D">
      <w:r>
        <w:separator/>
      </w:r>
    </w:p>
  </w:footnote>
  <w:footnote w:type="continuationSeparator" w:id="0">
    <w:p w14:paraId="023609BD" w14:textId="77777777" w:rsidR="00FB0F80" w:rsidRDefault="00FB0F80" w:rsidP="006F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1802765"/>
      <w:docPartObj>
        <w:docPartGallery w:val="Page Numbers (Top of Page)"/>
        <w:docPartUnique/>
      </w:docPartObj>
    </w:sdtPr>
    <w:sdtEndPr>
      <w:rPr>
        <w:rStyle w:val="PageNumber"/>
      </w:rPr>
    </w:sdtEndPr>
    <w:sdtContent>
      <w:p w14:paraId="38415919" w14:textId="3413D337" w:rsidR="00694E75" w:rsidRDefault="00694E75" w:rsidP="001D6A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BCD4EE" w14:textId="77777777" w:rsidR="00694E75" w:rsidRDefault="00694E75" w:rsidP="00694E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7052508"/>
      <w:docPartObj>
        <w:docPartGallery w:val="Page Numbers (Top of Page)"/>
        <w:docPartUnique/>
      </w:docPartObj>
    </w:sdtPr>
    <w:sdtEndPr>
      <w:rPr>
        <w:rStyle w:val="PageNumber"/>
      </w:rPr>
    </w:sdtEndPr>
    <w:sdtContent>
      <w:p w14:paraId="17CD094F" w14:textId="4AE78FC1" w:rsidR="00694E75" w:rsidRDefault="00694E75" w:rsidP="001D6A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sdtContent>
  </w:sdt>
  <w:p w14:paraId="7F770D1F" w14:textId="77777777" w:rsidR="00EE1424" w:rsidRDefault="009342BA" w:rsidP="00694E75">
    <w:pPr>
      <w:pStyle w:val="Header"/>
      <w:ind w:right="360"/>
    </w:pPr>
    <w:r>
      <w:t>Cecil Thompson SR 958-</w:t>
    </w:r>
    <w:r w:rsidR="00EE1424">
      <w:t>4</w:t>
    </w:r>
    <w:r>
      <w:t xml:space="preserve">2 </w:t>
    </w:r>
    <w:r w:rsidR="00694E75">
      <w:t>R</w:t>
    </w:r>
    <w:r>
      <w:t>esearch Design and Methodology II Ass</w:t>
    </w:r>
    <w:r w:rsidR="00EE1424">
      <w:t>i</w:t>
    </w:r>
    <w:r>
      <w:t>gn</w:t>
    </w:r>
    <w:r w:rsidR="00EE1424">
      <w:t xml:space="preserve">ment #3 </w:t>
    </w:r>
  </w:p>
  <w:p w14:paraId="6FF08B5D" w14:textId="597BCE19" w:rsidR="00EE1424" w:rsidRDefault="00EE1424" w:rsidP="00694E75">
    <w:pPr>
      <w:pStyle w:val="Header"/>
      <w:ind w:right="360"/>
    </w:pPr>
    <w:r>
      <w:t xml:space="preserve">                                                   Spring 2024. August 10, 2024    </w:t>
    </w:r>
  </w:p>
  <w:p w14:paraId="7A4DB187" w14:textId="0EB3CD55" w:rsidR="009342BA" w:rsidRDefault="00EE1424" w:rsidP="00694E75">
    <w:pPr>
      <w:pStyle w:val="Header"/>
      <w:ind w:right="3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191E"/>
    <w:multiLevelType w:val="hybridMultilevel"/>
    <w:tmpl w:val="436A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3B94"/>
    <w:multiLevelType w:val="hybridMultilevel"/>
    <w:tmpl w:val="B44EAC44"/>
    <w:lvl w:ilvl="0" w:tplc="16E22786">
      <w:start w:val="2003"/>
      <w:numFmt w:val="decimal"/>
      <w:lvlText w:val="%1"/>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4AD5CA">
      <w:start w:val="1"/>
      <w:numFmt w:val="lowerLetter"/>
      <w:lvlText w:val="%2"/>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741FF4">
      <w:start w:val="1"/>
      <w:numFmt w:val="lowerRoman"/>
      <w:lvlText w:val="%3"/>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6AB362">
      <w:start w:val="1"/>
      <w:numFmt w:val="decimal"/>
      <w:lvlText w:val="%4"/>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F6F100">
      <w:start w:val="1"/>
      <w:numFmt w:val="lowerLetter"/>
      <w:lvlText w:val="%5"/>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C232A2">
      <w:start w:val="1"/>
      <w:numFmt w:val="lowerRoman"/>
      <w:lvlText w:val="%6"/>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7AE4D2">
      <w:start w:val="1"/>
      <w:numFmt w:val="decimal"/>
      <w:lvlText w:val="%7"/>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68903E">
      <w:start w:val="1"/>
      <w:numFmt w:val="lowerLetter"/>
      <w:lvlText w:val="%8"/>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AE4DAA">
      <w:start w:val="1"/>
      <w:numFmt w:val="lowerRoman"/>
      <w:lvlText w:val="%9"/>
      <w:lvlJc w:val="left"/>
      <w:pPr>
        <w:ind w:left="6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6B043B"/>
    <w:multiLevelType w:val="hybridMultilevel"/>
    <w:tmpl w:val="D9FAD922"/>
    <w:lvl w:ilvl="0" w:tplc="A9386492">
      <w:start w:val="1"/>
      <w:numFmt w:val="lowerRoman"/>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E493A">
      <w:start w:val="1"/>
      <w:numFmt w:val="lowerLetter"/>
      <w:lvlText w:val="%2"/>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E393E">
      <w:start w:val="1"/>
      <w:numFmt w:val="lowerRoman"/>
      <w:lvlText w:val="%3"/>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84BD6">
      <w:start w:val="1"/>
      <w:numFmt w:val="decimal"/>
      <w:lvlText w:val="%4"/>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059A6">
      <w:start w:val="1"/>
      <w:numFmt w:val="lowerLetter"/>
      <w:lvlText w:val="%5"/>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0ED56">
      <w:start w:val="1"/>
      <w:numFmt w:val="lowerRoman"/>
      <w:lvlText w:val="%6"/>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A3FCE">
      <w:start w:val="1"/>
      <w:numFmt w:val="decimal"/>
      <w:lvlText w:val="%7"/>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627AA">
      <w:start w:val="1"/>
      <w:numFmt w:val="lowerLetter"/>
      <w:lvlText w:val="%8"/>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432FC">
      <w:start w:val="1"/>
      <w:numFmt w:val="lowerRoman"/>
      <w:lvlText w:val="%9"/>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1D0E71"/>
    <w:multiLevelType w:val="hybridMultilevel"/>
    <w:tmpl w:val="788874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B3F4F"/>
    <w:multiLevelType w:val="hybridMultilevel"/>
    <w:tmpl w:val="14FEABEE"/>
    <w:lvl w:ilvl="0" w:tplc="43B84A80">
      <w:start w:val="4"/>
      <w:numFmt w:val="decimal"/>
      <w:lvlText w:val="%1"/>
      <w:lvlJc w:val="left"/>
      <w:pPr>
        <w:ind w:left="1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5B0394A">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3383D84">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7ABA94DE">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9C0F52C">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52782416">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A0EE4B3A">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4689B7C">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5B1CD2EE">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5" w15:restartNumberingAfterBreak="0">
    <w:nsid w:val="0F974921"/>
    <w:multiLevelType w:val="hybridMultilevel"/>
    <w:tmpl w:val="949ED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A7738"/>
    <w:multiLevelType w:val="hybridMultilevel"/>
    <w:tmpl w:val="8242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26D7C"/>
    <w:multiLevelType w:val="hybridMultilevel"/>
    <w:tmpl w:val="0074C69A"/>
    <w:lvl w:ilvl="0" w:tplc="BC442C30">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58991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56E5B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80C7F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9A191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EC5A2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CAC4A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DA7D10">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AA1FF6">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2C58FA"/>
    <w:multiLevelType w:val="hybridMultilevel"/>
    <w:tmpl w:val="AB1E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02363"/>
    <w:multiLevelType w:val="hybridMultilevel"/>
    <w:tmpl w:val="8CC4E1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EC00BB"/>
    <w:multiLevelType w:val="hybridMultilevel"/>
    <w:tmpl w:val="BC441922"/>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264434C2"/>
    <w:multiLevelType w:val="hybridMultilevel"/>
    <w:tmpl w:val="57502E90"/>
    <w:lvl w:ilvl="0" w:tplc="CE04008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168167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DCDBD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F4288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CE3DC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429CB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B674A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C639F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7AEFD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565A46"/>
    <w:multiLevelType w:val="hybridMultilevel"/>
    <w:tmpl w:val="2EC0C60A"/>
    <w:lvl w:ilvl="0" w:tplc="7CF43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C233D"/>
    <w:multiLevelType w:val="hybridMultilevel"/>
    <w:tmpl w:val="09622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4D1763"/>
    <w:multiLevelType w:val="hybridMultilevel"/>
    <w:tmpl w:val="8616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A14BA"/>
    <w:multiLevelType w:val="hybridMultilevel"/>
    <w:tmpl w:val="C1C2D646"/>
    <w:lvl w:ilvl="0" w:tplc="BC3AA268">
      <w:start w:val="1978"/>
      <w:numFmt w:val="decimal"/>
      <w:lvlText w:val="%1"/>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90C0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B088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23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ED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BAF3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226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4F6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6BF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922ADA"/>
    <w:multiLevelType w:val="hybridMultilevel"/>
    <w:tmpl w:val="2F10F728"/>
    <w:lvl w:ilvl="0" w:tplc="6F987CDC">
      <w:start w:val="1973"/>
      <w:numFmt w:val="decimal"/>
      <w:lvlText w:val="%1"/>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867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E1D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ED4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837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48C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E6A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78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181952"/>
    <w:multiLevelType w:val="hybridMultilevel"/>
    <w:tmpl w:val="16F4DF52"/>
    <w:lvl w:ilvl="0" w:tplc="012C2FC4">
      <w:start w:val="1983"/>
      <w:numFmt w:val="decimal"/>
      <w:lvlText w:val="%1"/>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6E9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CB2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0CF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48D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6F8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8E6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EE0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1232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BE1C91"/>
    <w:multiLevelType w:val="hybridMultilevel"/>
    <w:tmpl w:val="979A77A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F3C0375"/>
    <w:multiLevelType w:val="hybridMultilevel"/>
    <w:tmpl w:val="7D0EF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FB09C6"/>
    <w:multiLevelType w:val="hybridMultilevel"/>
    <w:tmpl w:val="3E407394"/>
    <w:lvl w:ilvl="0" w:tplc="70AA8AF8">
      <w:start w:val="1988"/>
      <w:numFmt w:val="decimal"/>
      <w:lvlText w:val="%1"/>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AAE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6B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812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A42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A88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E25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8EF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21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8A46B2"/>
    <w:multiLevelType w:val="hybridMultilevel"/>
    <w:tmpl w:val="D6E0DB6E"/>
    <w:lvl w:ilvl="0" w:tplc="CC58F19E">
      <w:start w:val="1"/>
      <w:numFmt w:val="decimal"/>
      <w:lvlText w:val="%1"/>
      <w:lvlJc w:val="left"/>
      <w:pPr>
        <w:ind w:left="1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81E560E">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52289BA">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1BBE8F1A">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67FCCF20">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A992F0AE">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99A9D98">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9606584">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B5473F2">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2" w15:restartNumberingAfterBreak="0">
    <w:nsid w:val="5DB93E13"/>
    <w:multiLevelType w:val="hybridMultilevel"/>
    <w:tmpl w:val="55865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06384"/>
    <w:multiLevelType w:val="hybridMultilevel"/>
    <w:tmpl w:val="3532142C"/>
    <w:lvl w:ilvl="0" w:tplc="240AFD3E">
      <w:start w:val="1998"/>
      <w:numFmt w:val="decimal"/>
      <w:lvlText w:val="%1"/>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467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2A4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E71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632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CA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EAC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8BB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42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CD1468"/>
    <w:multiLevelType w:val="hybridMultilevel"/>
    <w:tmpl w:val="33E8C426"/>
    <w:lvl w:ilvl="0" w:tplc="8D3EF978">
      <w:start w:val="20"/>
      <w:numFmt w:val="decimal"/>
      <w:lvlText w:val="%1"/>
      <w:lvlJc w:val="left"/>
      <w:pPr>
        <w:ind w:left="16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1310938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61E27346">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B22E3B5E">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E5EAF888">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310AAC0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DFC427B8">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3956F154">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CF662B76">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5" w15:restartNumberingAfterBreak="0">
    <w:nsid w:val="6BF31B9E"/>
    <w:multiLevelType w:val="hybridMultilevel"/>
    <w:tmpl w:val="8B50DC16"/>
    <w:lvl w:ilvl="0" w:tplc="C41A91B0">
      <w:start w:val="1"/>
      <w:numFmt w:val="decimal"/>
      <w:lvlText w:val="%1"/>
      <w:lvlJc w:val="left"/>
      <w:pPr>
        <w:ind w:left="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745A0E9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69E46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2B0325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CADABE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B53C5F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CBE6BF0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8CC0AF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6E69B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6" w15:restartNumberingAfterBreak="0">
    <w:nsid w:val="6C6E11F3"/>
    <w:multiLevelType w:val="hybridMultilevel"/>
    <w:tmpl w:val="7D6ADD3A"/>
    <w:lvl w:ilvl="0" w:tplc="997A4320">
      <w:numFmt w:val="decimal"/>
      <w:lvlText w:val="(%1."/>
      <w:lvlJc w:val="left"/>
      <w:pPr>
        <w:ind w:left="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0A04C8">
      <w:start w:val="1"/>
      <w:numFmt w:val="lowerLetter"/>
      <w:lvlText w:val="%2"/>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BCA0EA">
      <w:start w:val="1"/>
      <w:numFmt w:val="lowerRoman"/>
      <w:lvlText w:val="%3"/>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D4383C">
      <w:start w:val="1"/>
      <w:numFmt w:val="decimal"/>
      <w:lvlText w:val="%4"/>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88AFEC">
      <w:start w:val="1"/>
      <w:numFmt w:val="lowerLetter"/>
      <w:lvlText w:val="%5"/>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942332">
      <w:start w:val="1"/>
      <w:numFmt w:val="lowerRoman"/>
      <w:lvlText w:val="%6"/>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ABB7E">
      <w:start w:val="1"/>
      <w:numFmt w:val="decimal"/>
      <w:lvlText w:val="%7"/>
      <w:lvlJc w:val="left"/>
      <w:pPr>
        <w:ind w:left="7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30B500">
      <w:start w:val="1"/>
      <w:numFmt w:val="lowerLetter"/>
      <w:lvlText w:val="%8"/>
      <w:lvlJc w:val="left"/>
      <w:pPr>
        <w:ind w:left="8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6C3CF4">
      <w:start w:val="1"/>
      <w:numFmt w:val="lowerRoman"/>
      <w:lvlText w:val="%9"/>
      <w:lvlJc w:val="left"/>
      <w:pPr>
        <w:ind w:left="9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EF03661"/>
    <w:multiLevelType w:val="hybridMultilevel"/>
    <w:tmpl w:val="DE8AEABC"/>
    <w:lvl w:ilvl="0" w:tplc="DF984AF4">
      <w:start w:val="1993"/>
      <w:numFmt w:val="decimal"/>
      <w:lvlText w:val="%1"/>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2EB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C2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62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E89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C93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42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25B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A61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637506"/>
    <w:multiLevelType w:val="hybridMultilevel"/>
    <w:tmpl w:val="B1B8699A"/>
    <w:lvl w:ilvl="0" w:tplc="854E7C86">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9" w15:restartNumberingAfterBreak="0">
    <w:nsid w:val="704C67BE"/>
    <w:multiLevelType w:val="hybridMultilevel"/>
    <w:tmpl w:val="C0D6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50A14"/>
    <w:multiLevelType w:val="hybridMultilevel"/>
    <w:tmpl w:val="9F18DC7C"/>
    <w:lvl w:ilvl="0" w:tplc="0C2C3C56">
      <w:start w:val="28"/>
      <w:numFmt w:val="decimal"/>
      <w:lvlText w:val="%1"/>
      <w:lvlJc w:val="left"/>
      <w:pPr>
        <w:ind w:left="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1" w:tplc="410E4278">
      <w:start w:val="1"/>
      <w:numFmt w:val="lowerLetter"/>
      <w:lvlText w:val="%2"/>
      <w:lvlJc w:val="left"/>
      <w:pPr>
        <w:ind w:left="108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2" w:tplc="459E1238">
      <w:start w:val="1"/>
      <w:numFmt w:val="lowerRoman"/>
      <w:lvlText w:val="%3"/>
      <w:lvlJc w:val="left"/>
      <w:pPr>
        <w:ind w:left="180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3" w:tplc="6E9CED4C">
      <w:start w:val="1"/>
      <w:numFmt w:val="decimal"/>
      <w:lvlText w:val="%4"/>
      <w:lvlJc w:val="left"/>
      <w:pPr>
        <w:ind w:left="252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4" w:tplc="0E3A2DA8">
      <w:start w:val="1"/>
      <w:numFmt w:val="lowerLetter"/>
      <w:lvlText w:val="%5"/>
      <w:lvlJc w:val="left"/>
      <w:pPr>
        <w:ind w:left="324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5" w:tplc="E93C5170">
      <w:start w:val="1"/>
      <w:numFmt w:val="lowerRoman"/>
      <w:lvlText w:val="%6"/>
      <w:lvlJc w:val="left"/>
      <w:pPr>
        <w:ind w:left="396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6" w:tplc="AD66A54A">
      <w:start w:val="1"/>
      <w:numFmt w:val="decimal"/>
      <w:lvlText w:val="%7"/>
      <w:lvlJc w:val="left"/>
      <w:pPr>
        <w:ind w:left="468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7" w:tplc="75246888">
      <w:start w:val="1"/>
      <w:numFmt w:val="lowerLetter"/>
      <w:lvlText w:val="%8"/>
      <w:lvlJc w:val="left"/>
      <w:pPr>
        <w:ind w:left="540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8" w:tplc="A21EE266">
      <w:start w:val="1"/>
      <w:numFmt w:val="lowerRoman"/>
      <w:lvlText w:val="%9"/>
      <w:lvlJc w:val="left"/>
      <w:pPr>
        <w:ind w:left="612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abstractNum>
  <w:abstractNum w:abstractNumId="31" w15:restartNumberingAfterBreak="0">
    <w:nsid w:val="7B4D0A1E"/>
    <w:multiLevelType w:val="hybridMultilevel"/>
    <w:tmpl w:val="9436563A"/>
    <w:lvl w:ilvl="0" w:tplc="76D8CA9C">
      <w:start w:val="1"/>
      <w:numFmt w:val="lowerRoman"/>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EF11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46D9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6A19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8FF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05D4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43D5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4AE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4EB0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F3A31BB"/>
    <w:multiLevelType w:val="hybridMultilevel"/>
    <w:tmpl w:val="FDB828BC"/>
    <w:lvl w:ilvl="0" w:tplc="45D6A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7328474">
    <w:abstractNumId w:val="5"/>
  </w:num>
  <w:num w:numId="2" w16cid:durableId="1807813707">
    <w:abstractNumId w:val="13"/>
  </w:num>
  <w:num w:numId="3" w16cid:durableId="1826781823">
    <w:abstractNumId w:val="0"/>
  </w:num>
  <w:num w:numId="4" w16cid:durableId="810557500">
    <w:abstractNumId w:val="28"/>
  </w:num>
  <w:num w:numId="5" w16cid:durableId="1995715862">
    <w:abstractNumId w:val="12"/>
  </w:num>
  <w:num w:numId="6" w16cid:durableId="1405568760">
    <w:abstractNumId w:val="19"/>
  </w:num>
  <w:num w:numId="7" w16cid:durableId="859125356">
    <w:abstractNumId w:val="9"/>
  </w:num>
  <w:num w:numId="8" w16cid:durableId="1225608328">
    <w:abstractNumId w:val="8"/>
  </w:num>
  <w:num w:numId="9" w16cid:durableId="666858515">
    <w:abstractNumId w:val="29"/>
  </w:num>
  <w:num w:numId="10" w16cid:durableId="1686250119">
    <w:abstractNumId w:val="10"/>
  </w:num>
  <w:num w:numId="11" w16cid:durableId="677736517">
    <w:abstractNumId w:val="18"/>
  </w:num>
  <w:num w:numId="12" w16cid:durableId="1141263041">
    <w:abstractNumId w:val="3"/>
  </w:num>
  <w:num w:numId="13" w16cid:durableId="344553167">
    <w:abstractNumId w:val="6"/>
  </w:num>
  <w:num w:numId="14" w16cid:durableId="1008141423">
    <w:abstractNumId w:val="14"/>
  </w:num>
  <w:num w:numId="15" w16cid:durableId="472210742">
    <w:abstractNumId w:val="22"/>
  </w:num>
  <w:num w:numId="16" w16cid:durableId="1442453891">
    <w:abstractNumId w:val="2"/>
  </w:num>
  <w:num w:numId="17" w16cid:durableId="965312378">
    <w:abstractNumId w:val="31"/>
  </w:num>
  <w:num w:numId="18" w16cid:durableId="1728645742">
    <w:abstractNumId w:val="24"/>
  </w:num>
  <w:num w:numId="19" w16cid:durableId="676270350">
    <w:abstractNumId w:val="30"/>
  </w:num>
  <w:num w:numId="20" w16cid:durableId="608241620">
    <w:abstractNumId w:val="11"/>
  </w:num>
  <w:num w:numId="21" w16cid:durableId="596905699">
    <w:abstractNumId w:val="7"/>
  </w:num>
  <w:num w:numId="22" w16cid:durableId="53286741">
    <w:abstractNumId w:val="21"/>
  </w:num>
  <w:num w:numId="23" w16cid:durableId="648704905">
    <w:abstractNumId w:val="4"/>
  </w:num>
  <w:num w:numId="24" w16cid:durableId="1795826512">
    <w:abstractNumId w:val="25"/>
  </w:num>
  <w:num w:numId="25" w16cid:durableId="133766463">
    <w:abstractNumId w:val="16"/>
  </w:num>
  <w:num w:numId="26" w16cid:durableId="643434015">
    <w:abstractNumId w:val="15"/>
  </w:num>
  <w:num w:numId="27" w16cid:durableId="707409569">
    <w:abstractNumId w:val="17"/>
  </w:num>
  <w:num w:numId="28" w16cid:durableId="1565338897">
    <w:abstractNumId w:val="20"/>
  </w:num>
  <w:num w:numId="29" w16cid:durableId="1127972739">
    <w:abstractNumId w:val="27"/>
  </w:num>
  <w:num w:numId="30" w16cid:durableId="728697995">
    <w:abstractNumId w:val="23"/>
  </w:num>
  <w:num w:numId="31" w16cid:durableId="574583933">
    <w:abstractNumId w:val="1"/>
  </w:num>
  <w:num w:numId="32" w16cid:durableId="1117142303">
    <w:abstractNumId w:val="26"/>
  </w:num>
  <w:num w:numId="33" w16cid:durableId="64771175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E6"/>
    <w:rsid w:val="0000199E"/>
    <w:rsid w:val="00003A8D"/>
    <w:rsid w:val="00003C91"/>
    <w:rsid w:val="00003C93"/>
    <w:rsid w:val="00003E01"/>
    <w:rsid w:val="00006241"/>
    <w:rsid w:val="00011CAE"/>
    <w:rsid w:val="00011EC3"/>
    <w:rsid w:val="00012ED8"/>
    <w:rsid w:val="00013CEB"/>
    <w:rsid w:val="00014878"/>
    <w:rsid w:val="000151BE"/>
    <w:rsid w:val="00017B11"/>
    <w:rsid w:val="00017DD0"/>
    <w:rsid w:val="000203DA"/>
    <w:rsid w:val="00020E9C"/>
    <w:rsid w:val="00021E5A"/>
    <w:rsid w:val="000235CC"/>
    <w:rsid w:val="00023AD4"/>
    <w:rsid w:val="00024D87"/>
    <w:rsid w:val="000250CB"/>
    <w:rsid w:val="00026F39"/>
    <w:rsid w:val="00027A6C"/>
    <w:rsid w:val="00027F55"/>
    <w:rsid w:val="00031006"/>
    <w:rsid w:val="000312A2"/>
    <w:rsid w:val="000314CC"/>
    <w:rsid w:val="00031F3F"/>
    <w:rsid w:val="00033CF7"/>
    <w:rsid w:val="00035887"/>
    <w:rsid w:val="00035AF9"/>
    <w:rsid w:val="00040E19"/>
    <w:rsid w:val="00041E0E"/>
    <w:rsid w:val="00041F67"/>
    <w:rsid w:val="00041F99"/>
    <w:rsid w:val="0004388E"/>
    <w:rsid w:val="000439B4"/>
    <w:rsid w:val="00045377"/>
    <w:rsid w:val="000462E8"/>
    <w:rsid w:val="000477CA"/>
    <w:rsid w:val="0004794E"/>
    <w:rsid w:val="00052889"/>
    <w:rsid w:val="00052ADA"/>
    <w:rsid w:val="000536E5"/>
    <w:rsid w:val="00053AAC"/>
    <w:rsid w:val="000540EE"/>
    <w:rsid w:val="00055391"/>
    <w:rsid w:val="00057F3E"/>
    <w:rsid w:val="00060AC3"/>
    <w:rsid w:val="000615F2"/>
    <w:rsid w:val="00061986"/>
    <w:rsid w:val="000644B0"/>
    <w:rsid w:val="000657A2"/>
    <w:rsid w:val="00066C61"/>
    <w:rsid w:val="0007149E"/>
    <w:rsid w:val="00071C33"/>
    <w:rsid w:val="00074322"/>
    <w:rsid w:val="00075CD2"/>
    <w:rsid w:val="00076997"/>
    <w:rsid w:val="00076B9A"/>
    <w:rsid w:val="00076DF6"/>
    <w:rsid w:val="00081323"/>
    <w:rsid w:val="000817F4"/>
    <w:rsid w:val="0008220D"/>
    <w:rsid w:val="00082D71"/>
    <w:rsid w:val="000849CD"/>
    <w:rsid w:val="0008725A"/>
    <w:rsid w:val="00090809"/>
    <w:rsid w:val="00091427"/>
    <w:rsid w:val="0009195D"/>
    <w:rsid w:val="00091CFF"/>
    <w:rsid w:val="00091DD6"/>
    <w:rsid w:val="00092988"/>
    <w:rsid w:val="00093158"/>
    <w:rsid w:val="000958D3"/>
    <w:rsid w:val="000A07A7"/>
    <w:rsid w:val="000A162A"/>
    <w:rsid w:val="000A1A93"/>
    <w:rsid w:val="000A2080"/>
    <w:rsid w:val="000A2392"/>
    <w:rsid w:val="000A2A4E"/>
    <w:rsid w:val="000A3F38"/>
    <w:rsid w:val="000A4C52"/>
    <w:rsid w:val="000A6581"/>
    <w:rsid w:val="000A6D18"/>
    <w:rsid w:val="000A6D47"/>
    <w:rsid w:val="000B06AF"/>
    <w:rsid w:val="000B2624"/>
    <w:rsid w:val="000B2E87"/>
    <w:rsid w:val="000B3C8A"/>
    <w:rsid w:val="000B3F3F"/>
    <w:rsid w:val="000B4B04"/>
    <w:rsid w:val="000B6329"/>
    <w:rsid w:val="000B6703"/>
    <w:rsid w:val="000C1B40"/>
    <w:rsid w:val="000C1E06"/>
    <w:rsid w:val="000C2D00"/>
    <w:rsid w:val="000C52DC"/>
    <w:rsid w:val="000C56D6"/>
    <w:rsid w:val="000C6FBD"/>
    <w:rsid w:val="000D01D3"/>
    <w:rsid w:val="000D0259"/>
    <w:rsid w:val="000D043D"/>
    <w:rsid w:val="000D1438"/>
    <w:rsid w:val="000D2ED5"/>
    <w:rsid w:val="000D439F"/>
    <w:rsid w:val="000D4AEC"/>
    <w:rsid w:val="000D59D4"/>
    <w:rsid w:val="000D5B8A"/>
    <w:rsid w:val="000D6946"/>
    <w:rsid w:val="000D7287"/>
    <w:rsid w:val="000D798F"/>
    <w:rsid w:val="000E190C"/>
    <w:rsid w:val="000E1C06"/>
    <w:rsid w:val="000E1CC6"/>
    <w:rsid w:val="000E30C5"/>
    <w:rsid w:val="000E398C"/>
    <w:rsid w:val="000E4AEF"/>
    <w:rsid w:val="000E4D01"/>
    <w:rsid w:val="000E4FCE"/>
    <w:rsid w:val="000E5176"/>
    <w:rsid w:val="000E5411"/>
    <w:rsid w:val="000E541C"/>
    <w:rsid w:val="000E6A17"/>
    <w:rsid w:val="000E7F37"/>
    <w:rsid w:val="000F010E"/>
    <w:rsid w:val="000F0D5F"/>
    <w:rsid w:val="000F0FBD"/>
    <w:rsid w:val="000F1609"/>
    <w:rsid w:val="000F2294"/>
    <w:rsid w:val="000F245F"/>
    <w:rsid w:val="000F31C4"/>
    <w:rsid w:val="000F3D35"/>
    <w:rsid w:val="000F4A20"/>
    <w:rsid w:val="000F62C0"/>
    <w:rsid w:val="0010099E"/>
    <w:rsid w:val="001014AC"/>
    <w:rsid w:val="00102737"/>
    <w:rsid w:val="00105626"/>
    <w:rsid w:val="00106A18"/>
    <w:rsid w:val="00106AD7"/>
    <w:rsid w:val="00106EA4"/>
    <w:rsid w:val="0010702C"/>
    <w:rsid w:val="001070BF"/>
    <w:rsid w:val="001105E9"/>
    <w:rsid w:val="001107BB"/>
    <w:rsid w:val="00110F53"/>
    <w:rsid w:val="0011275A"/>
    <w:rsid w:val="00113AEA"/>
    <w:rsid w:val="00113AFC"/>
    <w:rsid w:val="00113F38"/>
    <w:rsid w:val="001146D6"/>
    <w:rsid w:val="00115028"/>
    <w:rsid w:val="00116B45"/>
    <w:rsid w:val="00116C24"/>
    <w:rsid w:val="0011714C"/>
    <w:rsid w:val="00117BCB"/>
    <w:rsid w:val="00117D7E"/>
    <w:rsid w:val="00120231"/>
    <w:rsid w:val="0012097B"/>
    <w:rsid w:val="00120CC9"/>
    <w:rsid w:val="00120DDB"/>
    <w:rsid w:val="00121B02"/>
    <w:rsid w:val="00122AB2"/>
    <w:rsid w:val="00124138"/>
    <w:rsid w:val="00125235"/>
    <w:rsid w:val="0012561E"/>
    <w:rsid w:val="00125CC9"/>
    <w:rsid w:val="0012721C"/>
    <w:rsid w:val="001272AB"/>
    <w:rsid w:val="0013137A"/>
    <w:rsid w:val="0013257F"/>
    <w:rsid w:val="00136C23"/>
    <w:rsid w:val="00141356"/>
    <w:rsid w:val="00142A4F"/>
    <w:rsid w:val="00143930"/>
    <w:rsid w:val="00143DF7"/>
    <w:rsid w:val="0014422B"/>
    <w:rsid w:val="00145095"/>
    <w:rsid w:val="001456B4"/>
    <w:rsid w:val="0014632C"/>
    <w:rsid w:val="001501BA"/>
    <w:rsid w:val="00150BFC"/>
    <w:rsid w:val="001529B7"/>
    <w:rsid w:val="00152B0F"/>
    <w:rsid w:val="00152BBB"/>
    <w:rsid w:val="001531DF"/>
    <w:rsid w:val="001540D0"/>
    <w:rsid w:val="00154415"/>
    <w:rsid w:val="00154BD4"/>
    <w:rsid w:val="001550D7"/>
    <w:rsid w:val="00155C16"/>
    <w:rsid w:val="00155D63"/>
    <w:rsid w:val="001563C0"/>
    <w:rsid w:val="00157161"/>
    <w:rsid w:val="00157B0B"/>
    <w:rsid w:val="001609A8"/>
    <w:rsid w:val="001612A9"/>
    <w:rsid w:val="001613AD"/>
    <w:rsid w:val="00162A8B"/>
    <w:rsid w:val="00163D5F"/>
    <w:rsid w:val="00164A81"/>
    <w:rsid w:val="001652CE"/>
    <w:rsid w:val="001653DA"/>
    <w:rsid w:val="00165952"/>
    <w:rsid w:val="00165ACB"/>
    <w:rsid w:val="00165AF1"/>
    <w:rsid w:val="00167BC0"/>
    <w:rsid w:val="001701CC"/>
    <w:rsid w:val="001701EB"/>
    <w:rsid w:val="00170B33"/>
    <w:rsid w:val="00171212"/>
    <w:rsid w:val="00171BE5"/>
    <w:rsid w:val="00172E1D"/>
    <w:rsid w:val="00173002"/>
    <w:rsid w:val="0017425D"/>
    <w:rsid w:val="00174B09"/>
    <w:rsid w:val="00174D36"/>
    <w:rsid w:val="001772F3"/>
    <w:rsid w:val="001778FB"/>
    <w:rsid w:val="00177D47"/>
    <w:rsid w:val="0018058A"/>
    <w:rsid w:val="00182B0D"/>
    <w:rsid w:val="00183EC1"/>
    <w:rsid w:val="00187721"/>
    <w:rsid w:val="00187D85"/>
    <w:rsid w:val="00190A9A"/>
    <w:rsid w:val="0019140D"/>
    <w:rsid w:val="001925E2"/>
    <w:rsid w:val="00193A20"/>
    <w:rsid w:val="00193E8E"/>
    <w:rsid w:val="00195077"/>
    <w:rsid w:val="00195893"/>
    <w:rsid w:val="00196AD8"/>
    <w:rsid w:val="0019748B"/>
    <w:rsid w:val="001979AF"/>
    <w:rsid w:val="001A0482"/>
    <w:rsid w:val="001A2210"/>
    <w:rsid w:val="001A318B"/>
    <w:rsid w:val="001A336E"/>
    <w:rsid w:val="001A5629"/>
    <w:rsid w:val="001A6FA5"/>
    <w:rsid w:val="001A75D1"/>
    <w:rsid w:val="001B09A6"/>
    <w:rsid w:val="001B142B"/>
    <w:rsid w:val="001B3572"/>
    <w:rsid w:val="001B6EC7"/>
    <w:rsid w:val="001B730E"/>
    <w:rsid w:val="001B7F06"/>
    <w:rsid w:val="001C037C"/>
    <w:rsid w:val="001C0EEB"/>
    <w:rsid w:val="001C1D11"/>
    <w:rsid w:val="001C1D66"/>
    <w:rsid w:val="001C3503"/>
    <w:rsid w:val="001C3B31"/>
    <w:rsid w:val="001C6755"/>
    <w:rsid w:val="001C6A6C"/>
    <w:rsid w:val="001C775A"/>
    <w:rsid w:val="001D0DC9"/>
    <w:rsid w:val="001D12C7"/>
    <w:rsid w:val="001D1AA3"/>
    <w:rsid w:val="001D1C1A"/>
    <w:rsid w:val="001D26E5"/>
    <w:rsid w:val="001D55A6"/>
    <w:rsid w:val="001D589E"/>
    <w:rsid w:val="001D6E05"/>
    <w:rsid w:val="001E004C"/>
    <w:rsid w:val="001E026F"/>
    <w:rsid w:val="001E0846"/>
    <w:rsid w:val="001E1486"/>
    <w:rsid w:val="001E1577"/>
    <w:rsid w:val="001E23AD"/>
    <w:rsid w:val="001E2A22"/>
    <w:rsid w:val="001E4CF3"/>
    <w:rsid w:val="001E4F56"/>
    <w:rsid w:val="001E78A2"/>
    <w:rsid w:val="001F0701"/>
    <w:rsid w:val="001F093B"/>
    <w:rsid w:val="001F1709"/>
    <w:rsid w:val="001F1EF2"/>
    <w:rsid w:val="001F2159"/>
    <w:rsid w:val="001F45BF"/>
    <w:rsid w:val="001F4958"/>
    <w:rsid w:val="001F4CB2"/>
    <w:rsid w:val="001F5BBE"/>
    <w:rsid w:val="001F633D"/>
    <w:rsid w:val="001F6FB9"/>
    <w:rsid w:val="001F7158"/>
    <w:rsid w:val="001F761C"/>
    <w:rsid w:val="001F7A7B"/>
    <w:rsid w:val="0020378C"/>
    <w:rsid w:val="00204893"/>
    <w:rsid w:val="00204D3D"/>
    <w:rsid w:val="00205271"/>
    <w:rsid w:val="00205A92"/>
    <w:rsid w:val="002073FF"/>
    <w:rsid w:val="00207EDA"/>
    <w:rsid w:val="00210DA0"/>
    <w:rsid w:val="0021168A"/>
    <w:rsid w:val="00212841"/>
    <w:rsid w:val="00214861"/>
    <w:rsid w:val="0021660E"/>
    <w:rsid w:val="0022154E"/>
    <w:rsid w:val="00221842"/>
    <w:rsid w:val="00221884"/>
    <w:rsid w:val="00222C56"/>
    <w:rsid w:val="002230B5"/>
    <w:rsid w:val="0022313F"/>
    <w:rsid w:val="0022359F"/>
    <w:rsid w:val="00224097"/>
    <w:rsid w:val="0022423A"/>
    <w:rsid w:val="00224D2B"/>
    <w:rsid w:val="00225FD4"/>
    <w:rsid w:val="0022628B"/>
    <w:rsid w:val="002265FE"/>
    <w:rsid w:val="002272AB"/>
    <w:rsid w:val="002273C1"/>
    <w:rsid w:val="00227608"/>
    <w:rsid w:val="0023014E"/>
    <w:rsid w:val="00230873"/>
    <w:rsid w:val="002309AD"/>
    <w:rsid w:val="00232C05"/>
    <w:rsid w:val="00233455"/>
    <w:rsid w:val="0023423A"/>
    <w:rsid w:val="002342B2"/>
    <w:rsid w:val="00236435"/>
    <w:rsid w:val="00240C4E"/>
    <w:rsid w:val="002438C5"/>
    <w:rsid w:val="0024443A"/>
    <w:rsid w:val="0024685D"/>
    <w:rsid w:val="002468E0"/>
    <w:rsid w:val="002472A4"/>
    <w:rsid w:val="0024760B"/>
    <w:rsid w:val="00247B5A"/>
    <w:rsid w:val="002504C0"/>
    <w:rsid w:val="002517FC"/>
    <w:rsid w:val="00251823"/>
    <w:rsid w:val="00252BB7"/>
    <w:rsid w:val="00253D17"/>
    <w:rsid w:val="00255B4B"/>
    <w:rsid w:val="00256E62"/>
    <w:rsid w:val="002571E1"/>
    <w:rsid w:val="00260657"/>
    <w:rsid w:val="0026095D"/>
    <w:rsid w:val="002614AA"/>
    <w:rsid w:val="00261902"/>
    <w:rsid w:val="002644C0"/>
    <w:rsid w:val="00267125"/>
    <w:rsid w:val="002676CD"/>
    <w:rsid w:val="00270926"/>
    <w:rsid w:val="002722F9"/>
    <w:rsid w:val="00274074"/>
    <w:rsid w:val="00274771"/>
    <w:rsid w:val="00275305"/>
    <w:rsid w:val="00276777"/>
    <w:rsid w:val="002768E1"/>
    <w:rsid w:val="00276A69"/>
    <w:rsid w:val="00277393"/>
    <w:rsid w:val="002777A9"/>
    <w:rsid w:val="00280B44"/>
    <w:rsid w:val="00280B86"/>
    <w:rsid w:val="002829A7"/>
    <w:rsid w:val="002847C4"/>
    <w:rsid w:val="00284D7F"/>
    <w:rsid w:val="0028548B"/>
    <w:rsid w:val="00285C34"/>
    <w:rsid w:val="00286809"/>
    <w:rsid w:val="00287997"/>
    <w:rsid w:val="00290E61"/>
    <w:rsid w:val="0029144A"/>
    <w:rsid w:val="00291D4B"/>
    <w:rsid w:val="00293B57"/>
    <w:rsid w:val="00296C9D"/>
    <w:rsid w:val="00296D51"/>
    <w:rsid w:val="00297E39"/>
    <w:rsid w:val="002A1741"/>
    <w:rsid w:val="002A370A"/>
    <w:rsid w:val="002A5777"/>
    <w:rsid w:val="002A6F00"/>
    <w:rsid w:val="002A7278"/>
    <w:rsid w:val="002A74D7"/>
    <w:rsid w:val="002B11ED"/>
    <w:rsid w:val="002B1715"/>
    <w:rsid w:val="002B54E8"/>
    <w:rsid w:val="002B5646"/>
    <w:rsid w:val="002B597A"/>
    <w:rsid w:val="002B7DC0"/>
    <w:rsid w:val="002C0E8E"/>
    <w:rsid w:val="002C1238"/>
    <w:rsid w:val="002C2364"/>
    <w:rsid w:val="002C2E7A"/>
    <w:rsid w:val="002C30AD"/>
    <w:rsid w:val="002C3A9F"/>
    <w:rsid w:val="002C42BF"/>
    <w:rsid w:val="002C4DFC"/>
    <w:rsid w:val="002D0274"/>
    <w:rsid w:val="002D27EE"/>
    <w:rsid w:val="002D6ED4"/>
    <w:rsid w:val="002E0B49"/>
    <w:rsid w:val="002E1C00"/>
    <w:rsid w:val="002E211E"/>
    <w:rsid w:val="002E3953"/>
    <w:rsid w:val="002E4015"/>
    <w:rsid w:val="002E485F"/>
    <w:rsid w:val="002E6C4D"/>
    <w:rsid w:val="002E6EE3"/>
    <w:rsid w:val="002E76EE"/>
    <w:rsid w:val="002F0FE2"/>
    <w:rsid w:val="002F291E"/>
    <w:rsid w:val="002F32C4"/>
    <w:rsid w:val="002F54A0"/>
    <w:rsid w:val="002F7B50"/>
    <w:rsid w:val="00300206"/>
    <w:rsid w:val="00301F77"/>
    <w:rsid w:val="003020C2"/>
    <w:rsid w:val="00302426"/>
    <w:rsid w:val="00304FEC"/>
    <w:rsid w:val="00305A1F"/>
    <w:rsid w:val="00306804"/>
    <w:rsid w:val="0030687D"/>
    <w:rsid w:val="003100A2"/>
    <w:rsid w:val="003110E8"/>
    <w:rsid w:val="0031178B"/>
    <w:rsid w:val="0031196E"/>
    <w:rsid w:val="0031272C"/>
    <w:rsid w:val="0031301A"/>
    <w:rsid w:val="0031511A"/>
    <w:rsid w:val="00315385"/>
    <w:rsid w:val="0031547D"/>
    <w:rsid w:val="003159D8"/>
    <w:rsid w:val="00316ABF"/>
    <w:rsid w:val="00320E27"/>
    <w:rsid w:val="00321136"/>
    <w:rsid w:val="00321280"/>
    <w:rsid w:val="00324D6B"/>
    <w:rsid w:val="00326850"/>
    <w:rsid w:val="00326E56"/>
    <w:rsid w:val="0032789C"/>
    <w:rsid w:val="0033086D"/>
    <w:rsid w:val="00330BF4"/>
    <w:rsid w:val="00332896"/>
    <w:rsid w:val="00332ECD"/>
    <w:rsid w:val="003343CE"/>
    <w:rsid w:val="0033543C"/>
    <w:rsid w:val="00336915"/>
    <w:rsid w:val="0034186A"/>
    <w:rsid w:val="00342660"/>
    <w:rsid w:val="0034327E"/>
    <w:rsid w:val="00343A6B"/>
    <w:rsid w:val="00343F1C"/>
    <w:rsid w:val="003459E0"/>
    <w:rsid w:val="00345D96"/>
    <w:rsid w:val="00347D52"/>
    <w:rsid w:val="003504BF"/>
    <w:rsid w:val="00352A52"/>
    <w:rsid w:val="003536B5"/>
    <w:rsid w:val="0035526D"/>
    <w:rsid w:val="003555DA"/>
    <w:rsid w:val="00355E6A"/>
    <w:rsid w:val="00356D18"/>
    <w:rsid w:val="00362F24"/>
    <w:rsid w:val="00363D62"/>
    <w:rsid w:val="00364904"/>
    <w:rsid w:val="0036544C"/>
    <w:rsid w:val="00365AC2"/>
    <w:rsid w:val="00371524"/>
    <w:rsid w:val="00372E8A"/>
    <w:rsid w:val="00373A5D"/>
    <w:rsid w:val="00373E3C"/>
    <w:rsid w:val="003747BD"/>
    <w:rsid w:val="003759CA"/>
    <w:rsid w:val="00375EB0"/>
    <w:rsid w:val="00380173"/>
    <w:rsid w:val="003804E9"/>
    <w:rsid w:val="00381B5A"/>
    <w:rsid w:val="00382D42"/>
    <w:rsid w:val="00383B18"/>
    <w:rsid w:val="003852A0"/>
    <w:rsid w:val="00387C68"/>
    <w:rsid w:val="00390C17"/>
    <w:rsid w:val="00390DA6"/>
    <w:rsid w:val="0039109D"/>
    <w:rsid w:val="00391799"/>
    <w:rsid w:val="00392CAC"/>
    <w:rsid w:val="003960A4"/>
    <w:rsid w:val="00396402"/>
    <w:rsid w:val="00397285"/>
    <w:rsid w:val="003A06AF"/>
    <w:rsid w:val="003A0D59"/>
    <w:rsid w:val="003A16FD"/>
    <w:rsid w:val="003A2137"/>
    <w:rsid w:val="003A3A5F"/>
    <w:rsid w:val="003A3FD4"/>
    <w:rsid w:val="003A48A7"/>
    <w:rsid w:val="003A55E7"/>
    <w:rsid w:val="003A57CC"/>
    <w:rsid w:val="003A65FF"/>
    <w:rsid w:val="003A693A"/>
    <w:rsid w:val="003A6A12"/>
    <w:rsid w:val="003A6E49"/>
    <w:rsid w:val="003A70BF"/>
    <w:rsid w:val="003A7E26"/>
    <w:rsid w:val="003B04EE"/>
    <w:rsid w:val="003B19B3"/>
    <w:rsid w:val="003B28D8"/>
    <w:rsid w:val="003B34C1"/>
    <w:rsid w:val="003B3E2B"/>
    <w:rsid w:val="003B4E11"/>
    <w:rsid w:val="003B5447"/>
    <w:rsid w:val="003B55CF"/>
    <w:rsid w:val="003B583D"/>
    <w:rsid w:val="003B759E"/>
    <w:rsid w:val="003B7CFA"/>
    <w:rsid w:val="003C2F3B"/>
    <w:rsid w:val="003C3504"/>
    <w:rsid w:val="003C4824"/>
    <w:rsid w:val="003C58E9"/>
    <w:rsid w:val="003C5D8E"/>
    <w:rsid w:val="003C6F6B"/>
    <w:rsid w:val="003C73FC"/>
    <w:rsid w:val="003D2702"/>
    <w:rsid w:val="003D2EFB"/>
    <w:rsid w:val="003D3B9A"/>
    <w:rsid w:val="003D4EF8"/>
    <w:rsid w:val="003D54B0"/>
    <w:rsid w:val="003D55A8"/>
    <w:rsid w:val="003D6532"/>
    <w:rsid w:val="003D72CE"/>
    <w:rsid w:val="003D7756"/>
    <w:rsid w:val="003D7C91"/>
    <w:rsid w:val="003E012E"/>
    <w:rsid w:val="003E0735"/>
    <w:rsid w:val="003E0A38"/>
    <w:rsid w:val="003E0BE2"/>
    <w:rsid w:val="003E2325"/>
    <w:rsid w:val="003E3023"/>
    <w:rsid w:val="003E304C"/>
    <w:rsid w:val="003E3831"/>
    <w:rsid w:val="003E430F"/>
    <w:rsid w:val="003E4987"/>
    <w:rsid w:val="003E54C5"/>
    <w:rsid w:val="003E5B2D"/>
    <w:rsid w:val="003E6081"/>
    <w:rsid w:val="003E6A27"/>
    <w:rsid w:val="003E7778"/>
    <w:rsid w:val="003F00FA"/>
    <w:rsid w:val="003F03C2"/>
    <w:rsid w:val="003F0FA7"/>
    <w:rsid w:val="003F1954"/>
    <w:rsid w:val="003F218C"/>
    <w:rsid w:val="003F37DB"/>
    <w:rsid w:val="003F3A6E"/>
    <w:rsid w:val="003F3E5E"/>
    <w:rsid w:val="003F544B"/>
    <w:rsid w:val="003F5E5D"/>
    <w:rsid w:val="00400A54"/>
    <w:rsid w:val="00401CF3"/>
    <w:rsid w:val="00402AF6"/>
    <w:rsid w:val="00403264"/>
    <w:rsid w:val="00403762"/>
    <w:rsid w:val="004042F3"/>
    <w:rsid w:val="004049A7"/>
    <w:rsid w:val="004052CF"/>
    <w:rsid w:val="00407F97"/>
    <w:rsid w:val="00407FEE"/>
    <w:rsid w:val="00412165"/>
    <w:rsid w:val="00412213"/>
    <w:rsid w:val="00412B8F"/>
    <w:rsid w:val="00412E39"/>
    <w:rsid w:val="004135E1"/>
    <w:rsid w:val="00413F13"/>
    <w:rsid w:val="00416697"/>
    <w:rsid w:val="00416CFC"/>
    <w:rsid w:val="0041772E"/>
    <w:rsid w:val="00417B9C"/>
    <w:rsid w:val="004201D8"/>
    <w:rsid w:val="00420FAA"/>
    <w:rsid w:val="00421155"/>
    <w:rsid w:val="00422510"/>
    <w:rsid w:val="00423239"/>
    <w:rsid w:val="0042335E"/>
    <w:rsid w:val="00424574"/>
    <w:rsid w:val="004263F9"/>
    <w:rsid w:val="004279CD"/>
    <w:rsid w:val="00430F4D"/>
    <w:rsid w:val="00431050"/>
    <w:rsid w:val="0043170E"/>
    <w:rsid w:val="00431DE0"/>
    <w:rsid w:val="00433610"/>
    <w:rsid w:val="00433E10"/>
    <w:rsid w:val="00434361"/>
    <w:rsid w:val="00441002"/>
    <w:rsid w:val="00441AAA"/>
    <w:rsid w:val="00441E5A"/>
    <w:rsid w:val="00441F59"/>
    <w:rsid w:val="004432F1"/>
    <w:rsid w:val="00443D6C"/>
    <w:rsid w:val="00444D59"/>
    <w:rsid w:val="00447A96"/>
    <w:rsid w:val="00447B7D"/>
    <w:rsid w:val="00450324"/>
    <w:rsid w:val="004508A4"/>
    <w:rsid w:val="004535E3"/>
    <w:rsid w:val="0045490F"/>
    <w:rsid w:val="00454B48"/>
    <w:rsid w:val="004551D6"/>
    <w:rsid w:val="00455F66"/>
    <w:rsid w:val="00456286"/>
    <w:rsid w:val="00456897"/>
    <w:rsid w:val="00457080"/>
    <w:rsid w:val="00460A28"/>
    <w:rsid w:val="0046400F"/>
    <w:rsid w:val="00464152"/>
    <w:rsid w:val="00464E3D"/>
    <w:rsid w:val="00465B48"/>
    <w:rsid w:val="004670D7"/>
    <w:rsid w:val="00467FBF"/>
    <w:rsid w:val="0047055F"/>
    <w:rsid w:val="00470ABB"/>
    <w:rsid w:val="00470C14"/>
    <w:rsid w:val="00470C38"/>
    <w:rsid w:val="00471B08"/>
    <w:rsid w:val="00471B0D"/>
    <w:rsid w:val="004725C7"/>
    <w:rsid w:val="0047367E"/>
    <w:rsid w:val="00473788"/>
    <w:rsid w:val="004741AF"/>
    <w:rsid w:val="0047546F"/>
    <w:rsid w:val="00475A34"/>
    <w:rsid w:val="00475D47"/>
    <w:rsid w:val="00475F39"/>
    <w:rsid w:val="0047731A"/>
    <w:rsid w:val="00480AE0"/>
    <w:rsid w:val="004824D3"/>
    <w:rsid w:val="00484800"/>
    <w:rsid w:val="0048591B"/>
    <w:rsid w:val="00486D67"/>
    <w:rsid w:val="0048739F"/>
    <w:rsid w:val="00487505"/>
    <w:rsid w:val="00487966"/>
    <w:rsid w:val="00487A88"/>
    <w:rsid w:val="004907B8"/>
    <w:rsid w:val="00490EE4"/>
    <w:rsid w:val="0049228F"/>
    <w:rsid w:val="00495BF6"/>
    <w:rsid w:val="0049622B"/>
    <w:rsid w:val="00496B8D"/>
    <w:rsid w:val="00496FA1"/>
    <w:rsid w:val="0049718D"/>
    <w:rsid w:val="00497FF3"/>
    <w:rsid w:val="004A0EAE"/>
    <w:rsid w:val="004A18D1"/>
    <w:rsid w:val="004A2A38"/>
    <w:rsid w:val="004A4636"/>
    <w:rsid w:val="004A49C7"/>
    <w:rsid w:val="004A7288"/>
    <w:rsid w:val="004A7533"/>
    <w:rsid w:val="004A79D7"/>
    <w:rsid w:val="004B04DC"/>
    <w:rsid w:val="004B0EEB"/>
    <w:rsid w:val="004B270F"/>
    <w:rsid w:val="004B39E5"/>
    <w:rsid w:val="004B5299"/>
    <w:rsid w:val="004B5A2F"/>
    <w:rsid w:val="004B63C7"/>
    <w:rsid w:val="004B67FC"/>
    <w:rsid w:val="004B7A83"/>
    <w:rsid w:val="004B7ED2"/>
    <w:rsid w:val="004C086B"/>
    <w:rsid w:val="004C2827"/>
    <w:rsid w:val="004C299A"/>
    <w:rsid w:val="004C385B"/>
    <w:rsid w:val="004C6D45"/>
    <w:rsid w:val="004C7747"/>
    <w:rsid w:val="004D0792"/>
    <w:rsid w:val="004D1B46"/>
    <w:rsid w:val="004D3B6A"/>
    <w:rsid w:val="004D415D"/>
    <w:rsid w:val="004D5421"/>
    <w:rsid w:val="004D5473"/>
    <w:rsid w:val="004D561E"/>
    <w:rsid w:val="004D5E0C"/>
    <w:rsid w:val="004D5FC5"/>
    <w:rsid w:val="004D7227"/>
    <w:rsid w:val="004E0176"/>
    <w:rsid w:val="004E10F8"/>
    <w:rsid w:val="004E195D"/>
    <w:rsid w:val="004E2223"/>
    <w:rsid w:val="004E3005"/>
    <w:rsid w:val="004E3B92"/>
    <w:rsid w:val="004E54CC"/>
    <w:rsid w:val="004E63CB"/>
    <w:rsid w:val="004E6574"/>
    <w:rsid w:val="004E65E7"/>
    <w:rsid w:val="004E6B25"/>
    <w:rsid w:val="004E6CE0"/>
    <w:rsid w:val="004E75C1"/>
    <w:rsid w:val="004F21B1"/>
    <w:rsid w:val="004F22B7"/>
    <w:rsid w:val="004F2C4E"/>
    <w:rsid w:val="004F39FF"/>
    <w:rsid w:val="004F4491"/>
    <w:rsid w:val="004F52AB"/>
    <w:rsid w:val="004F62C6"/>
    <w:rsid w:val="00500007"/>
    <w:rsid w:val="0050175A"/>
    <w:rsid w:val="00501C94"/>
    <w:rsid w:val="00501F67"/>
    <w:rsid w:val="005028CC"/>
    <w:rsid w:val="00504B26"/>
    <w:rsid w:val="00505569"/>
    <w:rsid w:val="0050617C"/>
    <w:rsid w:val="00507A32"/>
    <w:rsid w:val="005109C3"/>
    <w:rsid w:val="00511D6F"/>
    <w:rsid w:val="005156FD"/>
    <w:rsid w:val="005173D9"/>
    <w:rsid w:val="00520A4D"/>
    <w:rsid w:val="005211DA"/>
    <w:rsid w:val="00521618"/>
    <w:rsid w:val="00522E4B"/>
    <w:rsid w:val="00524D0A"/>
    <w:rsid w:val="00525961"/>
    <w:rsid w:val="0052613F"/>
    <w:rsid w:val="00526B74"/>
    <w:rsid w:val="00531455"/>
    <w:rsid w:val="005321A7"/>
    <w:rsid w:val="00532E13"/>
    <w:rsid w:val="0053317F"/>
    <w:rsid w:val="00534CED"/>
    <w:rsid w:val="00535C72"/>
    <w:rsid w:val="00535CFA"/>
    <w:rsid w:val="005370AC"/>
    <w:rsid w:val="005377A2"/>
    <w:rsid w:val="005400FE"/>
    <w:rsid w:val="0054049A"/>
    <w:rsid w:val="00540AC3"/>
    <w:rsid w:val="005411AC"/>
    <w:rsid w:val="005428C9"/>
    <w:rsid w:val="00546DE1"/>
    <w:rsid w:val="00547D05"/>
    <w:rsid w:val="005507F7"/>
    <w:rsid w:val="0055210D"/>
    <w:rsid w:val="00553028"/>
    <w:rsid w:val="00553952"/>
    <w:rsid w:val="00553FAA"/>
    <w:rsid w:val="0055466B"/>
    <w:rsid w:val="00555115"/>
    <w:rsid w:val="00556089"/>
    <w:rsid w:val="005563EF"/>
    <w:rsid w:val="005570A5"/>
    <w:rsid w:val="00557422"/>
    <w:rsid w:val="00557FDD"/>
    <w:rsid w:val="00561891"/>
    <w:rsid w:val="00561ED0"/>
    <w:rsid w:val="005635AF"/>
    <w:rsid w:val="00564259"/>
    <w:rsid w:val="0056445A"/>
    <w:rsid w:val="0056492D"/>
    <w:rsid w:val="00564B3D"/>
    <w:rsid w:val="00566930"/>
    <w:rsid w:val="005670A9"/>
    <w:rsid w:val="00570470"/>
    <w:rsid w:val="00570FFE"/>
    <w:rsid w:val="00571DBB"/>
    <w:rsid w:val="00572405"/>
    <w:rsid w:val="0057305B"/>
    <w:rsid w:val="00573D9F"/>
    <w:rsid w:val="005748DC"/>
    <w:rsid w:val="00574B31"/>
    <w:rsid w:val="00575016"/>
    <w:rsid w:val="0057667B"/>
    <w:rsid w:val="005767BF"/>
    <w:rsid w:val="005773DD"/>
    <w:rsid w:val="0057758B"/>
    <w:rsid w:val="00577FCF"/>
    <w:rsid w:val="0058090A"/>
    <w:rsid w:val="00580FCC"/>
    <w:rsid w:val="00581158"/>
    <w:rsid w:val="005824E0"/>
    <w:rsid w:val="005825D1"/>
    <w:rsid w:val="00582CA4"/>
    <w:rsid w:val="005831EE"/>
    <w:rsid w:val="00583831"/>
    <w:rsid w:val="00584D3B"/>
    <w:rsid w:val="00585FCB"/>
    <w:rsid w:val="0058622A"/>
    <w:rsid w:val="00587246"/>
    <w:rsid w:val="00587367"/>
    <w:rsid w:val="00587729"/>
    <w:rsid w:val="00592512"/>
    <w:rsid w:val="00592803"/>
    <w:rsid w:val="005928A1"/>
    <w:rsid w:val="005928CE"/>
    <w:rsid w:val="005942DE"/>
    <w:rsid w:val="00594989"/>
    <w:rsid w:val="00595ACC"/>
    <w:rsid w:val="00595B7F"/>
    <w:rsid w:val="00595C07"/>
    <w:rsid w:val="00596155"/>
    <w:rsid w:val="00596AED"/>
    <w:rsid w:val="00596E02"/>
    <w:rsid w:val="005974EA"/>
    <w:rsid w:val="005A085F"/>
    <w:rsid w:val="005A2349"/>
    <w:rsid w:val="005A5EE1"/>
    <w:rsid w:val="005A60B3"/>
    <w:rsid w:val="005A6313"/>
    <w:rsid w:val="005A6662"/>
    <w:rsid w:val="005A6AE6"/>
    <w:rsid w:val="005A6D77"/>
    <w:rsid w:val="005A6F0E"/>
    <w:rsid w:val="005A7196"/>
    <w:rsid w:val="005A78AA"/>
    <w:rsid w:val="005B08CD"/>
    <w:rsid w:val="005B0D19"/>
    <w:rsid w:val="005B19F0"/>
    <w:rsid w:val="005B38BE"/>
    <w:rsid w:val="005B41C1"/>
    <w:rsid w:val="005B5CA7"/>
    <w:rsid w:val="005B5FE0"/>
    <w:rsid w:val="005B64FE"/>
    <w:rsid w:val="005B6654"/>
    <w:rsid w:val="005B66C1"/>
    <w:rsid w:val="005B6C31"/>
    <w:rsid w:val="005B72F1"/>
    <w:rsid w:val="005B7D31"/>
    <w:rsid w:val="005B7E1A"/>
    <w:rsid w:val="005C168C"/>
    <w:rsid w:val="005C2453"/>
    <w:rsid w:val="005C2618"/>
    <w:rsid w:val="005C4BD4"/>
    <w:rsid w:val="005C51B4"/>
    <w:rsid w:val="005C6BE0"/>
    <w:rsid w:val="005C741A"/>
    <w:rsid w:val="005D1645"/>
    <w:rsid w:val="005D1A38"/>
    <w:rsid w:val="005D1B0B"/>
    <w:rsid w:val="005D485B"/>
    <w:rsid w:val="005D544F"/>
    <w:rsid w:val="005D5487"/>
    <w:rsid w:val="005D6AA8"/>
    <w:rsid w:val="005D7467"/>
    <w:rsid w:val="005D798F"/>
    <w:rsid w:val="005D7CFC"/>
    <w:rsid w:val="005E26FE"/>
    <w:rsid w:val="005E2E91"/>
    <w:rsid w:val="005E45F6"/>
    <w:rsid w:val="005E55DF"/>
    <w:rsid w:val="005E6F92"/>
    <w:rsid w:val="005E7A35"/>
    <w:rsid w:val="005F01B7"/>
    <w:rsid w:val="005F0C5E"/>
    <w:rsid w:val="005F1BF6"/>
    <w:rsid w:val="005F1FE5"/>
    <w:rsid w:val="005F37AB"/>
    <w:rsid w:val="005F52B1"/>
    <w:rsid w:val="005F644E"/>
    <w:rsid w:val="005F6C33"/>
    <w:rsid w:val="005F7AA2"/>
    <w:rsid w:val="00600340"/>
    <w:rsid w:val="006005B3"/>
    <w:rsid w:val="006013A0"/>
    <w:rsid w:val="00604DBE"/>
    <w:rsid w:val="006052F6"/>
    <w:rsid w:val="006054FD"/>
    <w:rsid w:val="00605700"/>
    <w:rsid w:val="00606801"/>
    <w:rsid w:val="006079F6"/>
    <w:rsid w:val="00607C48"/>
    <w:rsid w:val="00607D04"/>
    <w:rsid w:val="00610DDE"/>
    <w:rsid w:val="00610EC0"/>
    <w:rsid w:val="00611751"/>
    <w:rsid w:val="00613545"/>
    <w:rsid w:val="0061365B"/>
    <w:rsid w:val="0061391A"/>
    <w:rsid w:val="00613F2A"/>
    <w:rsid w:val="00614AFF"/>
    <w:rsid w:val="00617CB4"/>
    <w:rsid w:val="00620AA0"/>
    <w:rsid w:val="00622879"/>
    <w:rsid w:val="00625051"/>
    <w:rsid w:val="00625436"/>
    <w:rsid w:val="006260EA"/>
    <w:rsid w:val="00626562"/>
    <w:rsid w:val="00626A05"/>
    <w:rsid w:val="00627D8A"/>
    <w:rsid w:val="006323EF"/>
    <w:rsid w:val="00632A05"/>
    <w:rsid w:val="00634088"/>
    <w:rsid w:val="00635C41"/>
    <w:rsid w:val="00636296"/>
    <w:rsid w:val="00637B0D"/>
    <w:rsid w:val="00637E2B"/>
    <w:rsid w:val="0064058F"/>
    <w:rsid w:val="0064083F"/>
    <w:rsid w:val="0064203C"/>
    <w:rsid w:val="006426F8"/>
    <w:rsid w:val="00642856"/>
    <w:rsid w:val="006434E7"/>
    <w:rsid w:val="006445C6"/>
    <w:rsid w:val="00644F15"/>
    <w:rsid w:val="00645015"/>
    <w:rsid w:val="00645759"/>
    <w:rsid w:val="0064583F"/>
    <w:rsid w:val="00646500"/>
    <w:rsid w:val="0064689B"/>
    <w:rsid w:val="0065008B"/>
    <w:rsid w:val="00650E31"/>
    <w:rsid w:val="0065144B"/>
    <w:rsid w:val="00653505"/>
    <w:rsid w:val="006549D3"/>
    <w:rsid w:val="0065500F"/>
    <w:rsid w:val="00656508"/>
    <w:rsid w:val="006579AB"/>
    <w:rsid w:val="00660CD7"/>
    <w:rsid w:val="0066230A"/>
    <w:rsid w:val="00662981"/>
    <w:rsid w:val="00663590"/>
    <w:rsid w:val="006637A5"/>
    <w:rsid w:val="00663888"/>
    <w:rsid w:val="006638E4"/>
    <w:rsid w:val="00664BED"/>
    <w:rsid w:val="0066631D"/>
    <w:rsid w:val="00666338"/>
    <w:rsid w:val="006677E5"/>
    <w:rsid w:val="0066785C"/>
    <w:rsid w:val="00671ABC"/>
    <w:rsid w:val="00671E82"/>
    <w:rsid w:val="00673767"/>
    <w:rsid w:val="00674BDC"/>
    <w:rsid w:val="00674DD9"/>
    <w:rsid w:val="00676C46"/>
    <w:rsid w:val="00682AA7"/>
    <w:rsid w:val="00682DB6"/>
    <w:rsid w:val="00685ED8"/>
    <w:rsid w:val="00687123"/>
    <w:rsid w:val="0068720C"/>
    <w:rsid w:val="00687B72"/>
    <w:rsid w:val="00690D4A"/>
    <w:rsid w:val="0069368E"/>
    <w:rsid w:val="00694E75"/>
    <w:rsid w:val="006955B2"/>
    <w:rsid w:val="00695C50"/>
    <w:rsid w:val="006A03FF"/>
    <w:rsid w:val="006A4260"/>
    <w:rsid w:val="006A4E75"/>
    <w:rsid w:val="006A5CE8"/>
    <w:rsid w:val="006A6D47"/>
    <w:rsid w:val="006A7042"/>
    <w:rsid w:val="006B05C6"/>
    <w:rsid w:val="006B136B"/>
    <w:rsid w:val="006B2360"/>
    <w:rsid w:val="006B3D35"/>
    <w:rsid w:val="006B64FF"/>
    <w:rsid w:val="006B6B39"/>
    <w:rsid w:val="006B7B01"/>
    <w:rsid w:val="006C0481"/>
    <w:rsid w:val="006C068F"/>
    <w:rsid w:val="006C086B"/>
    <w:rsid w:val="006C2CF6"/>
    <w:rsid w:val="006C6268"/>
    <w:rsid w:val="006C6A2C"/>
    <w:rsid w:val="006C6B84"/>
    <w:rsid w:val="006C6BAF"/>
    <w:rsid w:val="006C7255"/>
    <w:rsid w:val="006C7ACC"/>
    <w:rsid w:val="006D0AFE"/>
    <w:rsid w:val="006D3296"/>
    <w:rsid w:val="006D3352"/>
    <w:rsid w:val="006D526E"/>
    <w:rsid w:val="006D5395"/>
    <w:rsid w:val="006D5550"/>
    <w:rsid w:val="006D642B"/>
    <w:rsid w:val="006E03F0"/>
    <w:rsid w:val="006E0CE7"/>
    <w:rsid w:val="006E1199"/>
    <w:rsid w:val="006E3003"/>
    <w:rsid w:val="006E3612"/>
    <w:rsid w:val="006E5B94"/>
    <w:rsid w:val="006E6CEA"/>
    <w:rsid w:val="006E7781"/>
    <w:rsid w:val="006F0246"/>
    <w:rsid w:val="006F0B5D"/>
    <w:rsid w:val="006F2D9E"/>
    <w:rsid w:val="006F4BBD"/>
    <w:rsid w:val="006F7471"/>
    <w:rsid w:val="00700DB7"/>
    <w:rsid w:val="00700E51"/>
    <w:rsid w:val="00703123"/>
    <w:rsid w:val="00703B40"/>
    <w:rsid w:val="00704974"/>
    <w:rsid w:val="007060C3"/>
    <w:rsid w:val="007063A4"/>
    <w:rsid w:val="00706436"/>
    <w:rsid w:val="007109D1"/>
    <w:rsid w:val="007126D9"/>
    <w:rsid w:val="00717527"/>
    <w:rsid w:val="00717AD2"/>
    <w:rsid w:val="00717F09"/>
    <w:rsid w:val="0072102D"/>
    <w:rsid w:val="007211A6"/>
    <w:rsid w:val="007215A6"/>
    <w:rsid w:val="007233F9"/>
    <w:rsid w:val="007237A8"/>
    <w:rsid w:val="0072460D"/>
    <w:rsid w:val="00724C21"/>
    <w:rsid w:val="00726225"/>
    <w:rsid w:val="00726440"/>
    <w:rsid w:val="00727036"/>
    <w:rsid w:val="00727E85"/>
    <w:rsid w:val="00730559"/>
    <w:rsid w:val="00731840"/>
    <w:rsid w:val="00735A1C"/>
    <w:rsid w:val="00737D32"/>
    <w:rsid w:val="007412A3"/>
    <w:rsid w:val="0074141E"/>
    <w:rsid w:val="00741664"/>
    <w:rsid w:val="00741EB8"/>
    <w:rsid w:val="00742C24"/>
    <w:rsid w:val="007446D4"/>
    <w:rsid w:val="007463C8"/>
    <w:rsid w:val="00746776"/>
    <w:rsid w:val="0074779E"/>
    <w:rsid w:val="00747D9E"/>
    <w:rsid w:val="007517AD"/>
    <w:rsid w:val="00753452"/>
    <w:rsid w:val="0075576A"/>
    <w:rsid w:val="007566E2"/>
    <w:rsid w:val="00763430"/>
    <w:rsid w:val="007638A0"/>
    <w:rsid w:val="00764922"/>
    <w:rsid w:val="0076750F"/>
    <w:rsid w:val="00767BDE"/>
    <w:rsid w:val="00767CFB"/>
    <w:rsid w:val="00771A33"/>
    <w:rsid w:val="0077236E"/>
    <w:rsid w:val="00772916"/>
    <w:rsid w:val="00772918"/>
    <w:rsid w:val="00772D2C"/>
    <w:rsid w:val="007734FD"/>
    <w:rsid w:val="007760F5"/>
    <w:rsid w:val="00776668"/>
    <w:rsid w:val="007769CE"/>
    <w:rsid w:val="007772C0"/>
    <w:rsid w:val="00780368"/>
    <w:rsid w:val="00783B1A"/>
    <w:rsid w:val="00785E3F"/>
    <w:rsid w:val="00786A6A"/>
    <w:rsid w:val="00786C25"/>
    <w:rsid w:val="00790505"/>
    <w:rsid w:val="00791061"/>
    <w:rsid w:val="00791655"/>
    <w:rsid w:val="007936F7"/>
    <w:rsid w:val="0079493A"/>
    <w:rsid w:val="007956F1"/>
    <w:rsid w:val="00796D4F"/>
    <w:rsid w:val="007A0386"/>
    <w:rsid w:val="007A0D95"/>
    <w:rsid w:val="007A1868"/>
    <w:rsid w:val="007A1EF2"/>
    <w:rsid w:val="007A3083"/>
    <w:rsid w:val="007A3A66"/>
    <w:rsid w:val="007A56ED"/>
    <w:rsid w:val="007A6531"/>
    <w:rsid w:val="007A6C79"/>
    <w:rsid w:val="007A7410"/>
    <w:rsid w:val="007B0760"/>
    <w:rsid w:val="007B17E7"/>
    <w:rsid w:val="007B1DA5"/>
    <w:rsid w:val="007B20E0"/>
    <w:rsid w:val="007B25AE"/>
    <w:rsid w:val="007B319E"/>
    <w:rsid w:val="007B4BB6"/>
    <w:rsid w:val="007B4D38"/>
    <w:rsid w:val="007B7D1A"/>
    <w:rsid w:val="007B7F57"/>
    <w:rsid w:val="007C05C8"/>
    <w:rsid w:val="007C0A92"/>
    <w:rsid w:val="007C1A30"/>
    <w:rsid w:val="007C2867"/>
    <w:rsid w:val="007C2E01"/>
    <w:rsid w:val="007C2F24"/>
    <w:rsid w:val="007C32F9"/>
    <w:rsid w:val="007C462C"/>
    <w:rsid w:val="007C479F"/>
    <w:rsid w:val="007C49B9"/>
    <w:rsid w:val="007C4D7C"/>
    <w:rsid w:val="007C4E26"/>
    <w:rsid w:val="007C4E51"/>
    <w:rsid w:val="007C559A"/>
    <w:rsid w:val="007C5B24"/>
    <w:rsid w:val="007C73ED"/>
    <w:rsid w:val="007D06E7"/>
    <w:rsid w:val="007D46C3"/>
    <w:rsid w:val="007D5455"/>
    <w:rsid w:val="007D5EF4"/>
    <w:rsid w:val="007E0880"/>
    <w:rsid w:val="007E43BF"/>
    <w:rsid w:val="007E450C"/>
    <w:rsid w:val="007E73D2"/>
    <w:rsid w:val="007E7684"/>
    <w:rsid w:val="007F1A2C"/>
    <w:rsid w:val="007F2718"/>
    <w:rsid w:val="007F45C4"/>
    <w:rsid w:val="007F4D69"/>
    <w:rsid w:val="007F6E0E"/>
    <w:rsid w:val="007F7804"/>
    <w:rsid w:val="007F7F9A"/>
    <w:rsid w:val="00800D49"/>
    <w:rsid w:val="00801DCF"/>
    <w:rsid w:val="00804722"/>
    <w:rsid w:val="00804BAF"/>
    <w:rsid w:val="00804BF4"/>
    <w:rsid w:val="0080555C"/>
    <w:rsid w:val="008072AE"/>
    <w:rsid w:val="00811376"/>
    <w:rsid w:val="0081147C"/>
    <w:rsid w:val="0081167C"/>
    <w:rsid w:val="00811887"/>
    <w:rsid w:val="0081208A"/>
    <w:rsid w:val="0081348B"/>
    <w:rsid w:val="008141AA"/>
    <w:rsid w:val="0081575D"/>
    <w:rsid w:val="00816FA1"/>
    <w:rsid w:val="0082197C"/>
    <w:rsid w:val="00822062"/>
    <w:rsid w:val="00822D51"/>
    <w:rsid w:val="0082374D"/>
    <w:rsid w:val="00823B42"/>
    <w:rsid w:val="00824FBB"/>
    <w:rsid w:val="00825DA1"/>
    <w:rsid w:val="00826662"/>
    <w:rsid w:val="0082675F"/>
    <w:rsid w:val="008300A9"/>
    <w:rsid w:val="00831105"/>
    <w:rsid w:val="00833520"/>
    <w:rsid w:val="00834B09"/>
    <w:rsid w:val="00834ED6"/>
    <w:rsid w:val="00836D65"/>
    <w:rsid w:val="00840E31"/>
    <w:rsid w:val="00841292"/>
    <w:rsid w:val="008426FA"/>
    <w:rsid w:val="00843531"/>
    <w:rsid w:val="00844FC7"/>
    <w:rsid w:val="00851502"/>
    <w:rsid w:val="0085303D"/>
    <w:rsid w:val="008534F5"/>
    <w:rsid w:val="0085397D"/>
    <w:rsid w:val="00853984"/>
    <w:rsid w:val="0085522F"/>
    <w:rsid w:val="008556E4"/>
    <w:rsid w:val="00855FFE"/>
    <w:rsid w:val="008568C7"/>
    <w:rsid w:val="00856A96"/>
    <w:rsid w:val="00856BA2"/>
    <w:rsid w:val="00857220"/>
    <w:rsid w:val="0086079D"/>
    <w:rsid w:val="00861823"/>
    <w:rsid w:val="00861A2E"/>
    <w:rsid w:val="00863CE2"/>
    <w:rsid w:val="00863DFD"/>
    <w:rsid w:val="00864688"/>
    <w:rsid w:val="0086494A"/>
    <w:rsid w:val="00864A74"/>
    <w:rsid w:val="00865622"/>
    <w:rsid w:val="00866E9D"/>
    <w:rsid w:val="00867E39"/>
    <w:rsid w:val="00870810"/>
    <w:rsid w:val="00873457"/>
    <w:rsid w:val="00874707"/>
    <w:rsid w:val="00875E03"/>
    <w:rsid w:val="008760EB"/>
    <w:rsid w:val="00876BBC"/>
    <w:rsid w:val="008811F6"/>
    <w:rsid w:val="008817CF"/>
    <w:rsid w:val="0088275A"/>
    <w:rsid w:val="00882907"/>
    <w:rsid w:val="00882C1A"/>
    <w:rsid w:val="008833F4"/>
    <w:rsid w:val="00883BDE"/>
    <w:rsid w:val="00891BA2"/>
    <w:rsid w:val="00892A66"/>
    <w:rsid w:val="00893101"/>
    <w:rsid w:val="00894A79"/>
    <w:rsid w:val="0089652C"/>
    <w:rsid w:val="008974A4"/>
    <w:rsid w:val="008A284D"/>
    <w:rsid w:val="008A38BA"/>
    <w:rsid w:val="008A3F74"/>
    <w:rsid w:val="008A40A7"/>
    <w:rsid w:val="008A4E06"/>
    <w:rsid w:val="008A5E3C"/>
    <w:rsid w:val="008A7447"/>
    <w:rsid w:val="008A79C8"/>
    <w:rsid w:val="008B0E70"/>
    <w:rsid w:val="008B1EF5"/>
    <w:rsid w:val="008B20E0"/>
    <w:rsid w:val="008B26BF"/>
    <w:rsid w:val="008B2B64"/>
    <w:rsid w:val="008B46CA"/>
    <w:rsid w:val="008B62D0"/>
    <w:rsid w:val="008B6AC6"/>
    <w:rsid w:val="008B7654"/>
    <w:rsid w:val="008C238F"/>
    <w:rsid w:val="008C2B1F"/>
    <w:rsid w:val="008C3E46"/>
    <w:rsid w:val="008C5579"/>
    <w:rsid w:val="008C6B46"/>
    <w:rsid w:val="008C7C09"/>
    <w:rsid w:val="008C7C86"/>
    <w:rsid w:val="008D04C2"/>
    <w:rsid w:val="008D1900"/>
    <w:rsid w:val="008D1C3B"/>
    <w:rsid w:val="008D1E1A"/>
    <w:rsid w:val="008D29CB"/>
    <w:rsid w:val="008D3696"/>
    <w:rsid w:val="008D4591"/>
    <w:rsid w:val="008D4691"/>
    <w:rsid w:val="008D5EB5"/>
    <w:rsid w:val="008D5F88"/>
    <w:rsid w:val="008E4204"/>
    <w:rsid w:val="008E5CB1"/>
    <w:rsid w:val="008E5F35"/>
    <w:rsid w:val="008E6744"/>
    <w:rsid w:val="008E6B2E"/>
    <w:rsid w:val="008E7495"/>
    <w:rsid w:val="008F0A17"/>
    <w:rsid w:val="008F3FE9"/>
    <w:rsid w:val="008F5141"/>
    <w:rsid w:val="008F51C9"/>
    <w:rsid w:val="008F58EA"/>
    <w:rsid w:val="008F6499"/>
    <w:rsid w:val="008F6531"/>
    <w:rsid w:val="008F7F4E"/>
    <w:rsid w:val="009003EF"/>
    <w:rsid w:val="00901081"/>
    <w:rsid w:val="00901934"/>
    <w:rsid w:val="00901D3C"/>
    <w:rsid w:val="00902B23"/>
    <w:rsid w:val="009033A9"/>
    <w:rsid w:val="00903B86"/>
    <w:rsid w:val="00904915"/>
    <w:rsid w:val="009068EA"/>
    <w:rsid w:val="0090724C"/>
    <w:rsid w:val="00907EEB"/>
    <w:rsid w:val="0091036C"/>
    <w:rsid w:val="00911ADF"/>
    <w:rsid w:val="00912822"/>
    <w:rsid w:val="009131CB"/>
    <w:rsid w:val="0091401D"/>
    <w:rsid w:val="00914543"/>
    <w:rsid w:val="009153EB"/>
    <w:rsid w:val="00916627"/>
    <w:rsid w:val="00917FBC"/>
    <w:rsid w:val="009213D2"/>
    <w:rsid w:val="00921CB8"/>
    <w:rsid w:val="0092334D"/>
    <w:rsid w:val="00923661"/>
    <w:rsid w:val="00923687"/>
    <w:rsid w:val="00923BA4"/>
    <w:rsid w:val="00923F37"/>
    <w:rsid w:val="00923FC7"/>
    <w:rsid w:val="0092497F"/>
    <w:rsid w:val="00924EF1"/>
    <w:rsid w:val="00925140"/>
    <w:rsid w:val="00925151"/>
    <w:rsid w:val="009256A4"/>
    <w:rsid w:val="00927913"/>
    <w:rsid w:val="009302D9"/>
    <w:rsid w:val="00932D8F"/>
    <w:rsid w:val="00933EFA"/>
    <w:rsid w:val="009342BA"/>
    <w:rsid w:val="00934CAA"/>
    <w:rsid w:val="009374F0"/>
    <w:rsid w:val="00941CEC"/>
    <w:rsid w:val="00942C52"/>
    <w:rsid w:val="00944912"/>
    <w:rsid w:val="009457C7"/>
    <w:rsid w:val="0094607A"/>
    <w:rsid w:val="009463CA"/>
    <w:rsid w:val="009504BD"/>
    <w:rsid w:val="00952002"/>
    <w:rsid w:val="00955190"/>
    <w:rsid w:val="0095542F"/>
    <w:rsid w:val="00956734"/>
    <w:rsid w:val="0095795B"/>
    <w:rsid w:val="009579B7"/>
    <w:rsid w:val="009603C7"/>
    <w:rsid w:val="0096328F"/>
    <w:rsid w:val="00963AD0"/>
    <w:rsid w:val="00963D49"/>
    <w:rsid w:val="00963FEC"/>
    <w:rsid w:val="00966EB3"/>
    <w:rsid w:val="00966ECA"/>
    <w:rsid w:val="009671A2"/>
    <w:rsid w:val="009677EE"/>
    <w:rsid w:val="009677F7"/>
    <w:rsid w:val="00967BFF"/>
    <w:rsid w:val="00970D8E"/>
    <w:rsid w:val="00971138"/>
    <w:rsid w:val="00971944"/>
    <w:rsid w:val="00971BF1"/>
    <w:rsid w:val="009744C4"/>
    <w:rsid w:val="0097545C"/>
    <w:rsid w:val="009755E1"/>
    <w:rsid w:val="00975911"/>
    <w:rsid w:val="00976D90"/>
    <w:rsid w:val="009773F2"/>
    <w:rsid w:val="009778BE"/>
    <w:rsid w:val="00977DE7"/>
    <w:rsid w:val="009801FB"/>
    <w:rsid w:val="00982410"/>
    <w:rsid w:val="00982ABD"/>
    <w:rsid w:val="00984458"/>
    <w:rsid w:val="00984842"/>
    <w:rsid w:val="0098638A"/>
    <w:rsid w:val="00986D26"/>
    <w:rsid w:val="00986DC8"/>
    <w:rsid w:val="009874E2"/>
    <w:rsid w:val="00987DA3"/>
    <w:rsid w:val="00987F26"/>
    <w:rsid w:val="009908BA"/>
    <w:rsid w:val="00990C91"/>
    <w:rsid w:val="00992E31"/>
    <w:rsid w:val="00992E4E"/>
    <w:rsid w:val="009933B5"/>
    <w:rsid w:val="0099377B"/>
    <w:rsid w:val="0099422C"/>
    <w:rsid w:val="009951CB"/>
    <w:rsid w:val="00997532"/>
    <w:rsid w:val="009A09C4"/>
    <w:rsid w:val="009A0B96"/>
    <w:rsid w:val="009A10C4"/>
    <w:rsid w:val="009A17D2"/>
    <w:rsid w:val="009A180E"/>
    <w:rsid w:val="009A2866"/>
    <w:rsid w:val="009A29C1"/>
    <w:rsid w:val="009A3AEC"/>
    <w:rsid w:val="009A3E4A"/>
    <w:rsid w:val="009A4F08"/>
    <w:rsid w:val="009A5283"/>
    <w:rsid w:val="009A55C4"/>
    <w:rsid w:val="009A6FFE"/>
    <w:rsid w:val="009B0627"/>
    <w:rsid w:val="009B1786"/>
    <w:rsid w:val="009B1A69"/>
    <w:rsid w:val="009B20B7"/>
    <w:rsid w:val="009B2779"/>
    <w:rsid w:val="009B2B6B"/>
    <w:rsid w:val="009B3B43"/>
    <w:rsid w:val="009B4AF0"/>
    <w:rsid w:val="009B5849"/>
    <w:rsid w:val="009C0D1D"/>
    <w:rsid w:val="009C0F3A"/>
    <w:rsid w:val="009C15ED"/>
    <w:rsid w:val="009C17EC"/>
    <w:rsid w:val="009C234A"/>
    <w:rsid w:val="009C26DF"/>
    <w:rsid w:val="009C335A"/>
    <w:rsid w:val="009C36AB"/>
    <w:rsid w:val="009C39B9"/>
    <w:rsid w:val="009C5540"/>
    <w:rsid w:val="009C5889"/>
    <w:rsid w:val="009C619C"/>
    <w:rsid w:val="009D03C6"/>
    <w:rsid w:val="009D0510"/>
    <w:rsid w:val="009D14AB"/>
    <w:rsid w:val="009D2102"/>
    <w:rsid w:val="009D56F4"/>
    <w:rsid w:val="009D6131"/>
    <w:rsid w:val="009D6815"/>
    <w:rsid w:val="009D7816"/>
    <w:rsid w:val="009D7B01"/>
    <w:rsid w:val="009E0747"/>
    <w:rsid w:val="009E0764"/>
    <w:rsid w:val="009E08E3"/>
    <w:rsid w:val="009E180F"/>
    <w:rsid w:val="009E261E"/>
    <w:rsid w:val="009E2B2C"/>
    <w:rsid w:val="009E6921"/>
    <w:rsid w:val="009F0773"/>
    <w:rsid w:val="009F0AAF"/>
    <w:rsid w:val="009F1E94"/>
    <w:rsid w:val="009F2654"/>
    <w:rsid w:val="009F2A48"/>
    <w:rsid w:val="009F2AC2"/>
    <w:rsid w:val="009F40F7"/>
    <w:rsid w:val="009F463A"/>
    <w:rsid w:val="009F5872"/>
    <w:rsid w:val="009F5BC9"/>
    <w:rsid w:val="009F772E"/>
    <w:rsid w:val="009F7D87"/>
    <w:rsid w:val="00A0182F"/>
    <w:rsid w:val="00A01A5F"/>
    <w:rsid w:val="00A02BC3"/>
    <w:rsid w:val="00A037AA"/>
    <w:rsid w:val="00A043B6"/>
    <w:rsid w:val="00A071EB"/>
    <w:rsid w:val="00A07E4F"/>
    <w:rsid w:val="00A11D3A"/>
    <w:rsid w:val="00A11EFB"/>
    <w:rsid w:val="00A1205F"/>
    <w:rsid w:val="00A12D45"/>
    <w:rsid w:val="00A13425"/>
    <w:rsid w:val="00A17615"/>
    <w:rsid w:val="00A17FCC"/>
    <w:rsid w:val="00A20CD2"/>
    <w:rsid w:val="00A212BA"/>
    <w:rsid w:val="00A21396"/>
    <w:rsid w:val="00A2261D"/>
    <w:rsid w:val="00A22E92"/>
    <w:rsid w:val="00A2498E"/>
    <w:rsid w:val="00A25DE3"/>
    <w:rsid w:val="00A27BD1"/>
    <w:rsid w:val="00A300E4"/>
    <w:rsid w:val="00A327FC"/>
    <w:rsid w:val="00A32D24"/>
    <w:rsid w:val="00A3600A"/>
    <w:rsid w:val="00A36259"/>
    <w:rsid w:val="00A37352"/>
    <w:rsid w:val="00A37361"/>
    <w:rsid w:val="00A37818"/>
    <w:rsid w:val="00A414FD"/>
    <w:rsid w:val="00A4192D"/>
    <w:rsid w:val="00A41BB0"/>
    <w:rsid w:val="00A425D4"/>
    <w:rsid w:val="00A46935"/>
    <w:rsid w:val="00A46DC3"/>
    <w:rsid w:val="00A50CEB"/>
    <w:rsid w:val="00A51367"/>
    <w:rsid w:val="00A51818"/>
    <w:rsid w:val="00A5259D"/>
    <w:rsid w:val="00A534B6"/>
    <w:rsid w:val="00A54D4E"/>
    <w:rsid w:val="00A55B0E"/>
    <w:rsid w:val="00A56293"/>
    <w:rsid w:val="00A61CC3"/>
    <w:rsid w:val="00A61FEC"/>
    <w:rsid w:val="00A62C7D"/>
    <w:rsid w:val="00A64475"/>
    <w:rsid w:val="00A645BA"/>
    <w:rsid w:val="00A66489"/>
    <w:rsid w:val="00A71201"/>
    <w:rsid w:val="00A730B4"/>
    <w:rsid w:val="00A732D2"/>
    <w:rsid w:val="00A7540E"/>
    <w:rsid w:val="00A764B1"/>
    <w:rsid w:val="00A77600"/>
    <w:rsid w:val="00A777CB"/>
    <w:rsid w:val="00A77B3E"/>
    <w:rsid w:val="00A77B43"/>
    <w:rsid w:val="00A77CD4"/>
    <w:rsid w:val="00A81C6B"/>
    <w:rsid w:val="00A82174"/>
    <w:rsid w:val="00A82A75"/>
    <w:rsid w:val="00A82FBE"/>
    <w:rsid w:val="00A84897"/>
    <w:rsid w:val="00A90048"/>
    <w:rsid w:val="00A9015F"/>
    <w:rsid w:val="00A9074D"/>
    <w:rsid w:val="00A90E13"/>
    <w:rsid w:val="00A92CCF"/>
    <w:rsid w:val="00A94269"/>
    <w:rsid w:val="00A969D6"/>
    <w:rsid w:val="00A96CAA"/>
    <w:rsid w:val="00A9797B"/>
    <w:rsid w:val="00AA1DF0"/>
    <w:rsid w:val="00AA28A9"/>
    <w:rsid w:val="00AA31BE"/>
    <w:rsid w:val="00AA5ED7"/>
    <w:rsid w:val="00AA63CE"/>
    <w:rsid w:val="00AA66F6"/>
    <w:rsid w:val="00AB22DF"/>
    <w:rsid w:val="00AB27C0"/>
    <w:rsid w:val="00AB2946"/>
    <w:rsid w:val="00AB331C"/>
    <w:rsid w:val="00AB3C9A"/>
    <w:rsid w:val="00AB5F22"/>
    <w:rsid w:val="00AB6451"/>
    <w:rsid w:val="00AB64D6"/>
    <w:rsid w:val="00AB792D"/>
    <w:rsid w:val="00AC21F7"/>
    <w:rsid w:val="00AC27EC"/>
    <w:rsid w:val="00AC340E"/>
    <w:rsid w:val="00AC3FDA"/>
    <w:rsid w:val="00AC4363"/>
    <w:rsid w:val="00AC4E81"/>
    <w:rsid w:val="00AC7130"/>
    <w:rsid w:val="00AC7715"/>
    <w:rsid w:val="00AD028B"/>
    <w:rsid w:val="00AD173A"/>
    <w:rsid w:val="00AD24B6"/>
    <w:rsid w:val="00AD335B"/>
    <w:rsid w:val="00AD34D8"/>
    <w:rsid w:val="00AD47AD"/>
    <w:rsid w:val="00AD512A"/>
    <w:rsid w:val="00AD5A56"/>
    <w:rsid w:val="00AD654E"/>
    <w:rsid w:val="00AE0788"/>
    <w:rsid w:val="00AE0D8D"/>
    <w:rsid w:val="00AE1ED2"/>
    <w:rsid w:val="00AE2374"/>
    <w:rsid w:val="00AE2C5B"/>
    <w:rsid w:val="00AE4E47"/>
    <w:rsid w:val="00AE51E6"/>
    <w:rsid w:val="00AE54EF"/>
    <w:rsid w:val="00AE7238"/>
    <w:rsid w:val="00AF06C5"/>
    <w:rsid w:val="00AF0BB0"/>
    <w:rsid w:val="00AF2C32"/>
    <w:rsid w:val="00AF3EB4"/>
    <w:rsid w:val="00AF3F51"/>
    <w:rsid w:val="00AF400B"/>
    <w:rsid w:val="00AF4346"/>
    <w:rsid w:val="00AF4CF9"/>
    <w:rsid w:val="00AF5AB3"/>
    <w:rsid w:val="00AF5E4B"/>
    <w:rsid w:val="00AF6C4A"/>
    <w:rsid w:val="00AF7BDF"/>
    <w:rsid w:val="00B00AB5"/>
    <w:rsid w:val="00B00D20"/>
    <w:rsid w:val="00B0315B"/>
    <w:rsid w:val="00B048D0"/>
    <w:rsid w:val="00B04D66"/>
    <w:rsid w:val="00B058D6"/>
    <w:rsid w:val="00B06A40"/>
    <w:rsid w:val="00B06B51"/>
    <w:rsid w:val="00B07085"/>
    <w:rsid w:val="00B07554"/>
    <w:rsid w:val="00B07825"/>
    <w:rsid w:val="00B1116A"/>
    <w:rsid w:val="00B127D5"/>
    <w:rsid w:val="00B12901"/>
    <w:rsid w:val="00B13254"/>
    <w:rsid w:val="00B14CB9"/>
    <w:rsid w:val="00B16C8C"/>
    <w:rsid w:val="00B17898"/>
    <w:rsid w:val="00B20909"/>
    <w:rsid w:val="00B20A5B"/>
    <w:rsid w:val="00B22722"/>
    <w:rsid w:val="00B22A35"/>
    <w:rsid w:val="00B22A5B"/>
    <w:rsid w:val="00B24985"/>
    <w:rsid w:val="00B25323"/>
    <w:rsid w:val="00B2573D"/>
    <w:rsid w:val="00B266FE"/>
    <w:rsid w:val="00B26CDE"/>
    <w:rsid w:val="00B320EB"/>
    <w:rsid w:val="00B33F1F"/>
    <w:rsid w:val="00B35A6C"/>
    <w:rsid w:val="00B370AC"/>
    <w:rsid w:val="00B403B6"/>
    <w:rsid w:val="00B414F4"/>
    <w:rsid w:val="00B41EC2"/>
    <w:rsid w:val="00B41F56"/>
    <w:rsid w:val="00B424E6"/>
    <w:rsid w:val="00B43879"/>
    <w:rsid w:val="00B448F6"/>
    <w:rsid w:val="00B460BE"/>
    <w:rsid w:val="00B469FF"/>
    <w:rsid w:val="00B4755E"/>
    <w:rsid w:val="00B51562"/>
    <w:rsid w:val="00B52BF7"/>
    <w:rsid w:val="00B535B7"/>
    <w:rsid w:val="00B53DBD"/>
    <w:rsid w:val="00B5457D"/>
    <w:rsid w:val="00B545CA"/>
    <w:rsid w:val="00B54D91"/>
    <w:rsid w:val="00B56721"/>
    <w:rsid w:val="00B57CC2"/>
    <w:rsid w:val="00B61C55"/>
    <w:rsid w:val="00B623E3"/>
    <w:rsid w:val="00B63EB7"/>
    <w:rsid w:val="00B6439B"/>
    <w:rsid w:val="00B646E6"/>
    <w:rsid w:val="00B64AF8"/>
    <w:rsid w:val="00B64D1A"/>
    <w:rsid w:val="00B64D9F"/>
    <w:rsid w:val="00B671F9"/>
    <w:rsid w:val="00B6750E"/>
    <w:rsid w:val="00B67B02"/>
    <w:rsid w:val="00B67C17"/>
    <w:rsid w:val="00B67C86"/>
    <w:rsid w:val="00B67ED5"/>
    <w:rsid w:val="00B70330"/>
    <w:rsid w:val="00B705C1"/>
    <w:rsid w:val="00B719CA"/>
    <w:rsid w:val="00B73916"/>
    <w:rsid w:val="00B75407"/>
    <w:rsid w:val="00B75BE2"/>
    <w:rsid w:val="00B75F97"/>
    <w:rsid w:val="00B762B4"/>
    <w:rsid w:val="00B767F8"/>
    <w:rsid w:val="00B77339"/>
    <w:rsid w:val="00B8094F"/>
    <w:rsid w:val="00B82660"/>
    <w:rsid w:val="00B82CAC"/>
    <w:rsid w:val="00B8417B"/>
    <w:rsid w:val="00B84ACA"/>
    <w:rsid w:val="00B85F6E"/>
    <w:rsid w:val="00B9034A"/>
    <w:rsid w:val="00B9067D"/>
    <w:rsid w:val="00B91532"/>
    <w:rsid w:val="00B91B1E"/>
    <w:rsid w:val="00B923F5"/>
    <w:rsid w:val="00B93A93"/>
    <w:rsid w:val="00B97182"/>
    <w:rsid w:val="00B97225"/>
    <w:rsid w:val="00B97A74"/>
    <w:rsid w:val="00BA078A"/>
    <w:rsid w:val="00BA0B19"/>
    <w:rsid w:val="00BA1365"/>
    <w:rsid w:val="00BA14DB"/>
    <w:rsid w:val="00BA1505"/>
    <w:rsid w:val="00BA2769"/>
    <w:rsid w:val="00BA338D"/>
    <w:rsid w:val="00BA396F"/>
    <w:rsid w:val="00BA3B27"/>
    <w:rsid w:val="00BA3D3D"/>
    <w:rsid w:val="00BA5C8B"/>
    <w:rsid w:val="00BA65AB"/>
    <w:rsid w:val="00BA709D"/>
    <w:rsid w:val="00BA7885"/>
    <w:rsid w:val="00BB0474"/>
    <w:rsid w:val="00BB2846"/>
    <w:rsid w:val="00BB2C67"/>
    <w:rsid w:val="00BB3BBA"/>
    <w:rsid w:val="00BB56AC"/>
    <w:rsid w:val="00BB5856"/>
    <w:rsid w:val="00BB6016"/>
    <w:rsid w:val="00BB6BE7"/>
    <w:rsid w:val="00BC1EDF"/>
    <w:rsid w:val="00BC22FF"/>
    <w:rsid w:val="00BC2CAD"/>
    <w:rsid w:val="00BC33DD"/>
    <w:rsid w:val="00BC37C0"/>
    <w:rsid w:val="00BC447E"/>
    <w:rsid w:val="00BC4602"/>
    <w:rsid w:val="00BC6401"/>
    <w:rsid w:val="00BC757E"/>
    <w:rsid w:val="00BD034A"/>
    <w:rsid w:val="00BD0BF7"/>
    <w:rsid w:val="00BD0D7C"/>
    <w:rsid w:val="00BD119C"/>
    <w:rsid w:val="00BD29DF"/>
    <w:rsid w:val="00BD333D"/>
    <w:rsid w:val="00BD48C2"/>
    <w:rsid w:val="00BD5F96"/>
    <w:rsid w:val="00BD6D48"/>
    <w:rsid w:val="00BD718B"/>
    <w:rsid w:val="00BD7CE5"/>
    <w:rsid w:val="00BE1944"/>
    <w:rsid w:val="00BE25E9"/>
    <w:rsid w:val="00BE2654"/>
    <w:rsid w:val="00BE2CF5"/>
    <w:rsid w:val="00BE35D7"/>
    <w:rsid w:val="00BE518E"/>
    <w:rsid w:val="00BE5254"/>
    <w:rsid w:val="00BE56FF"/>
    <w:rsid w:val="00BE58E6"/>
    <w:rsid w:val="00BE5AC2"/>
    <w:rsid w:val="00BE70EC"/>
    <w:rsid w:val="00BE7362"/>
    <w:rsid w:val="00BF1FC1"/>
    <w:rsid w:val="00BF22F6"/>
    <w:rsid w:val="00BF2AA8"/>
    <w:rsid w:val="00BF4CBA"/>
    <w:rsid w:val="00BF4ED7"/>
    <w:rsid w:val="00BF68DE"/>
    <w:rsid w:val="00BF6ABA"/>
    <w:rsid w:val="00BF6D80"/>
    <w:rsid w:val="00BF6EFC"/>
    <w:rsid w:val="00BF71B2"/>
    <w:rsid w:val="00C000E7"/>
    <w:rsid w:val="00C00554"/>
    <w:rsid w:val="00C00A81"/>
    <w:rsid w:val="00C0264B"/>
    <w:rsid w:val="00C03534"/>
    <w:rsid w:val="00C03EC8"/>
    <w:rsid w:val="00C04661"/>
    <w:rsid w:val="00C0495F"/>
    <w:rsid w:val="00C06B0F"/>
    <w:rsid w:val="00C11906"/>
    <w:rsid w:val="00C1244D"/>
    <w:rsid w:val="00C135D4"/>
    <w:rsid w:val="00C143B9"/>
    <w:rsid w:val="00C14B37"/>
    <w:rsid w:val="00C17560"/>
    <w:rsid w:val="00C214FB"/>
    <w:rsid w:val="00C21F0F"/>
    <w:rsid w:val="00C21F30"/>
    <w:rsid w:val="00C22B4B"/>
    <w:rsid w:val="00C23BA8"/>
    <w:rsid w:val="00C25B0F"/>
    <w:rsid w:val="00C25BE8"/>
    <w:rsid w:val="00C2639F"/>
    <w:rsid w:val="00C27BE1"/>
    <w:rsid w:val="00C33C83"/>
    <w:rsid w:val="00C342D7"/>
    <w:rsid w:val="00C359E4"/>
    <w:rsid w:val="00C367E6"/>
    <w:rsid w:val="00C370A6"/>
    <w:rsid w:val="00C375D7"/>
    <w:rsid w:val="00C40FC7"/>
    <w:rsid w:val="00C42BF0"/>
    <w:rsid w:val="00C44C1D"/>
    <w:rsid w:val="00C45499"/>
    <w:rsid w:val="00C45652"/>
    <w:rsid w:val="00C466F3"/>
    <w:rsid w:val="00C470A6"/>
    <w:rsid w:val="00C47759"/>
    <w:rsid w:val="00C5054B"/>
    <w:rsid w:val="00C5063B"/>
    <w:rsid w:val="00C50A4B"/>
    <w:rsid w:val="00C50B15"/>
    <w:rsid w:val="00C533F8"/>
    <w:rsid w:val="00C534CF"/>
    <w:rsid w:val="00C56093"/>
    <w:rsid w:val="00C567B9"/>
    <w:rsid w:val="00C5692F"/>
    <w:rsid w:val="00C56EC8"/>
    <w:rsid w:val="00C6016F"/>
    <w:rsid w:val="00C6165E"/>
    <w:rsid w:val="00C6530E"/>
    <w:rsid w:val="00C65E6A"/>
    <w:rsid w:val="00C700C6"/>
    <w:rsid w:val="00C70743"/>
    <w:rsid w:val="00C70927"/>
    <w:rsid w:val="00C71FA0"/>
    <w:rsid w:val="00C734CD"/>
    <w:rsid w:val="00C7392E"/>
    <w:rsid w:val="00C74453"/>
    <w:rsid w:val="00C75A7F"/>
    <w:rsid w:val="00C80FE9"/>
    <w:rsid w:val="00C824B2"/>
    <w:rsid w:val="00C82EA5"/>
    <w:rsid w:val="00C83560"/>
    <w:rsid w:val="00C83E9B"/>
    <w:rsid w:val="00C840EC"/>
    <w:rsid w:val="00C85F31"/>
    <w:rsid w:val="00C8664F"/>
    <w:rsid w:val="00C872CB"/>
    <w:rsid w:val="00C878C3"/>
    <w:rsid w:val="00C87936"/>
    <w:rsid w:val="00C87CF9"/>
    <w:rsid w:val="00C92E9C"/>
    <w:rsid w:val="00C93F81"/>
    <w:rsid w:val="00C9529E"/>
    <w:rsid w:val="00C9563F"/>
    <w:rsid w:val="00C96075"/>
    <w:rsid w:val="00C96C1A"/>
    <w:rsid w:val="00C97169"/>
    <w:rsid w:val="00C972D6"/>
    <w:rsid w:val="00C97767"/>
    <w:rsid w:val="00CA0975"/>
    <w:rsid w:val="00CA0BE0"/>
    <w:rsid w:val="00CA0E10"/>
    <w:rsid w:val="00CA38F9"/>
    <w:rsid w:val="00CA3E4E"/>
    <w:rsid w:val="00CA40DB"/>
    <w:rsid w:val="00CA552D"/>
    <w:rsid w:val="00CA57FD"/>
    <w:rsid w:val="00CA5F3D"/>
    <w:rsid w:val="00CA67C4"/>
    <w:rsid w:val="00CA6C97"/>
    <w:rsid w:val="00CA76E1"/>
    <w:rsid w:val="00CB2965"/>
    <w:rsid w:val="00CB34C4"/>
    <w:rsid w:val="00CB351B"/>
    <w:rsid w:val="00CB3674"/>
    <w:rsid w:val="00CB52BF"/>
    <w:rsid w:val="00CB5972"/>
    <w:rsid w:val="00CB70AB"/>
    <w:rsid w:val="00CB7BB0"/>
    <w:rsid w:val="00CB7CE9"/>
    <w:rsid w:val="00CC04C8"/>
    <w:rsid w:val="00CC0744"/>
    <w:rsid w:val="00CC1F16"/>
    <w:rsid w:val="00CC2714"/>
    <w:rsid w:val="00CC2E2B"/>
    <w:rsid w:val="00CC344E"/>
    <w:rsid w:val="00CC3E0D"/>
    <w:rsid w:val="00CC4C81"/>
    <w:rsid w:val="00CC683F"/>
    <w:rsid w:val="00CC6DEF"/>
    <w:rsid w:val="00CC70B3"/>
    <w:rsid w:val="00CC777A"/>
    <w:rsid w:val="00CD03E5"/>
    <w:rsid w:val="00CD11F5"/>
    <w:rsid w:val="00CD17A9"/>
    <w:rsid w:val="00CD19D3"/>
    <w:rsid w:val="00CD1ED0"/>
    <w:rsid w:val="00CD291C"/>
    <w:rsid w:val="00CD484E"/>
    <w:rsid w:val="00CD5338"/>
    <w:rsid w:val="00CD587D"/>
    <w:rsid w:val="00CD5D81"/>
    <w:rsid w:val="00CD65DD"/>
    <w:rsid w:val="00CD6C98"/>
    <w:rsid w:val="00CE0567"/>
    <w:rsid w:val="00CE0C84"/>
    <w:rsid w:val="00CE1C80"/>
    <w:rsid w:val="00CE3864"/>
    <w:rsid w:val="00CE674C"/>
    <w:rsid w:val="00CE7175"/>
    <w:rsid w:val="00CE7486"/>
    <w:rsid w:val="00CF03A2"/>
    <w:rsid w:val="00CF1866"/>
    <w:rsid w:val="00CF1A73"/>
    <w:rsid w:val="00CF1F82"/>
    <w:rsid w:val="00CF214B"/>
    <w:rsid w:val="00CF2974"/>
    <w:rsid w:val="00CF2C36"/>
    <w:rsid w:val="00CF3D4A"/>
    <w:rsid w:val="00CF3E01"/>
    <w:rsid w:val="00CF47D1"/>
    <w:rsid w:val="00CF4DF9"/>
    <w:rsid w:val="00CF67C6"/>
    <w:rsid w:val="00CF713C"/>
    <w:rsid w:val="00D00641"/>
    <w:rsid w:val="00D011E2"/>
    <w:rsid w:val="00D01AD8"/>
    <w:rsid w:val="00D01C4D"/>
    <w:rsid w:val="00D048BF"/>
    <w:rsid w:val="00D04D03"/>
    <w:rsid w:val="00D05696"/>
    <w:rsid w:val="00D058D4"/>
    <w:rsid w:val="00D11011"/>
    <w:rsid w:val="00D11188"/>
    <w:rsid w:val="00D114E2"/>
    <w:rsid w:val="00D1319B"/>
    <w:rsid w:val="00D168DE"/>
    <w:rsid w:val="00D16F44"/>
    <w:rsid w:val="00D17225"/>
    <w:rsid w:val="00D17EF3"/>
    <w:rsid w:val="00D21F4B"/>
    <w:rsid w:val="00D2265F"/>
    <w:rsid w:val="00D227EA"/>
    <w:rsid w:val="00D23EF4"/>
    <w:rsid w:val="00D24008"/>
    <w:rsid w:val="00D24531"/>
    <w:rsid w:val="00D24724"/>
    <w:rsid w:val="00D24CF0"/>
    <w:rsid w:val="00D26B3E"/>
    <w:rsid w:val="00D26C11"/>
    <w:rsid w:val="00D26F09"/>
    <w:rsid w:val="00D276F3"/>
    <w:rsid w:val="00D30358"/>
    <w:rsid w:val="00D30C80"/>
    <w:rsid w:val="00D31C6D"/>
    <w:rsid w:val="00D31FB1"/>
    <w:rsid w:val="00D32104"/>
    <w:rsid w:val="00D32C9C"/>
    <w:rsid w:val="00D32CBF"/>
    <w:rsid w:val="00D33DF4"/>
    <w:rsid w:val="00D33E15"/>
    <w:rsid w:val="00D3422F"/>
    <w:rsid w:val="00D34330"/>
    <w:rsid w:val="00D34718"/>
    <w:rsid w:val="00D36276"/>
    <w:rsid w:val="00D367B0"/>
    <w:rsid w:val="00D37785"/>
    <w:rsid w:val="00D40C30"/>
    <w:rsid w:val="00D4384C"/>
    <w:rsid w:val="00D44028"/>
    <w:rsid w:val="00D47CA6"/>
    <w:rsid w:val="00D510D9"/>
    <w:rsid w:val="00D51A45"/>
    <w:rsid w:val="00D51B13"/>
    <w:rsid w:val="00D523EE"/>
    <w:rsid w:val="00D5291F"/>
    <w:rsid w:val="00D529AF"/>
    <w:rsid w:val="00D53BB8"/>
    <w:rsid w:val="00D5485D"/>
    <w:rsid w:val="00D55D26"/>
    <w:rsid w:val="00D56140"/>
    <w:rsid w:val="00D56686"/>
    <w:rsid w:val="00D566E1"/>
    <w:rsid w:val="00D605AE"/>
    <w:rsid w:val="00D619A5"/>
    <w:rsid w:val="00D63D92"/>
    <w:rsid w:val="00D6485D"/>
    <w:rsid w:val="00D650A8"/>
    <w:rsid w:val="00D6600F"/>
    <w:rsid w:val="00D66971"/>
    <w:rsid w:val="00D67D40"/>
    <w:rsid w:val="00D7148F"/>
    <w:rsid w:val="00D72E84"/>
    <w:rsid w:val="00D73179"/>
    <w:rsid w:val="00D74AE2"/>
    <w:rsid w:val="00D758F8"/>
    <w:rsid w:val="00D766CF"/>
    <w:rsid w:val="00D774D0"/>
    <w:rsid w:val="00D8214F"/>
    <w:rsid w:val="00D823C8"/>
    <w:rsid w:val="00D82C22"/>
    <w:rsid w:val="00D8321D"/>
    <w:rsid w:val="00D839F5"/>
    <w:rsid w:val="00D83D45"/>
    <w:rsid w:val="00D85A14"/>
    <w:rsid w:val="00D86085"/>
    <w:rsid w:val="00D865DD"/>
    <w:rsid w:val="00D908E4"/>
    <w:rsid w:val="00D9157A"/>
    <w:rsid w:val="00D91FB5"/>
    <w:rsid w:val="00D925AE"/>
    <w:rsid w:val="00D93FA8"/>
    <w:rsid w:val="00D94995"/>
    <w:rsid w:val="00D94AD8"/>
    <w:rsid w:val="00D95194"/>
    <w:rsid w:val="00D960B4"/>
    <w:rsid w:val="00DA0432"/>
    <w:rsid w:val="00DA37CA"/>
    <w:rsid w:val="00DA3AF4"/>
    <w:rsid w:val="00DA4B9D"/>
    <w:rsid w:val="00DA4E79"/>
    <w:rsid w:val="00DA5B7B"/>
    <w:rsid w:val="00DA79C0"/>
    <w:rsid w:val="00DA7B3F"/>
    <w:rsid w:val="00DB0228"/>
    <w:rsid w:val="00DB0DA6"/>
    <w:rsid w:val="00DB12E4"/>
    <w:rsid w:val="00DB1D68"/>
    <w:rsid w:val="00DB2628"/>
    <w:rsid w:val="00DB2C55"/>
    <w:rsid w:val="00DB509A"/>
    <w:rsid w:val="00DB5181"/>
    <w:rsid w:val="00DB55E3"/>
    <w:rsid w:val="00DB6D23"/>
    <w:rsid w:val="00DB6F23"/>
    <w:rsid w:val="00DC0293"/>
    <w:rsid w:val="00DC18B7"/>
    <w:rsid w:val="00DC1D70"/>
    <w:rsid w:val="00DC2567"/>
    <w:rsid w:val="00DC2639"/>
    <w:rsid w:val="00DC2F2E"/>
    <w:rsid w:val="00DC3307"/>
    <w:rsid w:val="00DC593B"/>
    <w:rsid w:val="00DC65C9"/>
    <w:rsid w:val="00DC762D"/>
    <w:rsid w:val="00DC780A"/>
    <w:rsid w:val="00DC7951"/>
    <w:rsid w:val="00DD1AC5"/>
    <w:rsid w:val="00DD3386"/>
    <w:rsid w:val="00DD33BD"/>
    <w:rsid w:val="00DD3411"/>
    <w:rsid w:val="00DD3CA0"/>
    <w:rsid w:val="00DD5ACD"/>
    <w:rsid w:val="00DD6CDA"/>
    <w:rsid w:val="00DE0108"/>
    <w:rsid w:val="00DE0EE8"/>
    <w:rsid w:val="00DE3FFE"/>
    <w:rsid w:val="00DE6CFE"/>
    <w:rsid w:val="00DF0DA9"/>
    <w:rsid w:val="00DF0F8C"/>
    <w:rsid w:val="00DF295B"/>
    <w:rsid w:val="00DF6901"/>
    <w:rsid w:val="00E001B4"/>
    <w:rsid w:val="00E01AF8"/>
    <w:rsid w:val="00E01D59"/>
    <w:rsid w:val="00E03BEC"/>
    <w:rsid w:val="00E05159"/>
    <w:rsid w:val="00E06404"/>
    <w:rsid w:val="00E102F2"/>
    <w:rsid w:val="00E10B1E"/>
    <w:rsid w:val="00E10CBE"/>
    <w:rsid w:val="00E11406"/>
    <w:rsid w:val="00E11A2F"/>
    <w:rsid w:val="00E13C0C"/>
    <w:rsid w:val="00E14895"/>
    <w:rsid w:val="00E16EDA"/>
    <w:rsid w:val="00E20288"/>
    <w:rsid w:val="00E22B66"/>
    <w:rsid w:val="00E26950"/>
    <w:rsid w:val="00E26ABD"/>
    <w:rsid w:val="00E26B38"/>
    <w:rsid w:val="00E27142"/>
    <w:rsid w:val="00E275C3"/>
    <w:rsid w:val="00E305EE"/>
    <w:rsid w:val="00E319F0"/>
    <w:rsid w:val="00E327AD"/>
    <w:rsid w:val="00E32FFA"/>
    <w:rsid w:val="00E33498"/>
    <w:rsid w:val="00E3349F"/>
    <w:rsid w:val="00E3453F"/>
    <w:rsid w:val="00E34A3F"/>
    <w:rsid w:val="00E368EA"/>
    <w:rsid w:val="00E37554"/>
    <w:rsid w:val="00E41346"/>
    <w:rsid w:val="00E4146E"/>
    <w:rsid w:val="00E414C3"/>
    <w:rsid w:val="00E46A80"/>
    <w:rsid w:val="00E4749E"/>
    <w:rsid w:val="00E47A43"/>
    <w:rsid w:val="00E501BE"/>
    <w:rsid w:val="00E51C1F"/>
    <w:rsid w:val="00E53942"/>
    <w:rsid w:val="00E54282"/>
    <w:rsid w:val="00E54863"/>
    <w:rsid w:val="00E56174"/>
    <w:rsid w:val="00E563EB"/>
    <w:rsid w:val="00E572EF"/>
    <w:rsid w:val="00E57A03"/>
    <w:rsid w:val="00E648C5"/>
    <w:rsid w:val="00E651DF"/>
    <w:rsid w:val="00E65248"/>
    <w:rsid w:val="00E658A1"/>
    <w:rsid w:val="00E66286"/>
    <w:rsid w:val="00E67D7B"/>
    <w:rsid w:val="00E70087"/>
    <w:rsid w:val="00E73848"/>
    <w:rsid w:val="00E753E5"/>
    <w:rsid w:val="00E7646A"/>
    <w:rsid w:val="00E765D7"/>
    <w:rsid w:val="00E82187"/>
    <w:rsid w:val="00E8293A"/>
    <w:rsid w:val="00E84DFB"/>
    <w:rsid w:val="00E86454"/>
    <w:rsid w:val="00E8780A"/>
    <w:rsid w:val="00E90A40"/>
    <w:rsid w:val="00E90DE8"/>
    <w:rsid w:val="00E91BF3"/>
    <w:rsid w:val="00E92B65"/>
    <w:rsid w:val="00E9313F"/>
    <w:rsid w:val="00E9385D"/>
    <w:rsid w:val="00E93EB8"/>
    <w:rsid w:val="00E948D1"/>
    <w:rsid w:val="00E9518B"/>
    <w:rsid w:val="00E9528E"/>
    <w:rsid w:val="00E95BC5"/>
    <w:rsid w:val="00E95F4B"/>
    <w:rsid w:val="00E96B91"/>
    <w:rsid w:val="00E97053"/>
    <w:rsid w:val="00E97CCB"/>
    <w:rsid w:val="00EA06AD"/>
    <w:rsid w:val="00EA2949"/>
    <w:rsid w:val="00EA3F9E"/>
    <w:rsid w:val="00EA5384"/>
    <w:rsid w:val="00EA7202"/>
    <w:rsid w:val="00EA7BD8"/>
    <w:rsid w:val="00EB1F43"/>
    <w:rsid w:val="00EB2355"/>
    <w:rsid w:val="00EB2CE2"/>
    <w:rsid w:val="00EB3CB6"/>
    <w:rsid w:val="00EB404E"/>
    <w:rsid w:val="00EB48AC"/>
    <w:rsid w:val="00EB5005"/>
    <w:rsid w:val="00EB628A"/>
    <w:rsid w:val="00EB7CCE"/>
    <w:rsid w:val="00EC06DD"/>
    <w:rsid w:val="00EC2382"/>
    <w:rsid w:val="00EC2C56"/>
    <w:rsid w:val="00EC3990"/>
    <w:rsid w:val="00EC3D83"/>
    <w:rsid w:val="00EC3F13"/>
    <w:rsid w:val="00EC5F4F"/>
    <w:rsid w:val="00EC7EC1"/>
    <w:rsid w:val="00ED0112"/>
    <w:rsid w:val="00ED0286"/>
    <w:rsid w:val="00ED0735"/>
    <w:rsid w:val="00ED275B"/>
    <w:rsid w:val="00ED46C2"/>
    <w:rsid w:val="00ED4FE4"/>
    <w:rsid w:val="00ED6D08"/>
    <w:rsid w:val="00ED74F6"/>
    <w:rsid w:val="00EE108A"/>
    <w:rsid w:val="00EE1424"/>
    <w:rsid w:val="00EE5109"/>
    <w:rsid w:val="00EE57F9"/>
    <w:rsid w:val="00EE622A"/>
    <w:rsid w:val="00EE71BC"/>
    <w:rsid w:val="00EF12BB"/>
    <w:rsid w:val="00EF1518"/>
    <w:rsid w:val="00EF1A39"/>
    <w:rsid w:val="00EF364E"/>
    <w:rsid w:val="00EF41BF"/>
    <w:rsid w:val="00EF48A1"/>
    <w:rsid w:val="00EF4D54"/>
    <w:rsid w:val="00EF599B"/>
    <w:rsid w:val="00EF6E38"/>
    <w:rsid w:val="00EF77C6"/>
    <w:rsid w:val="00F001A5"/>
    <w:rsid w:val="00F0139A"/>
    <w:rsid w:val="00F02009"/>
    <w:rsid w:val="00F0245A"/>
    <w:rsid w:val="00F02B7C"/>
    <w:rsid w:val="00F02D84"/>
    <w:rsid w:val="00F02E1D"/>
    <w:rsid w:val="00F0332B"/>
    <w:rsid w:val="00F0478C"/>
    <w:rsid w:val="00F04C85"/>
    <w:rsid w:val="00F06D49"/>
    <w:rsid w:val="00F06E79"/>
    <w:rsid w:val="00F0710C"/>
    <w:rsid w:val="00F0735B"/>
    <w:rsid w:val="00F07F42"/>
    <w:rsid w:val="00F101DA"/>
    <w:rsid w:val="00F1096E"/>
    <w:rsid w:val="00F11D68"/>
    <w:rsid w:val="00F12BDB"/>
    <w:rsid w:val="00F12CDB"/>
    <w:rsid w:val="00F13237"/>
    <w:rsid w:val="00F14108"/>
    <w:rsid w:val="00F15B25"/>
    <w:rsid w:val="00F15B80"/>
    <w:rsid w:val="00F15E05"/>
    <w:rsid w:val="00F167CF"/>
    <w:rsid w:val="00F173E5"/>
    <w:rsid w:val="00F22173"/>
    <w:rsid w:val="00F2263D"/>
    <w:rsid w:val="00F2268A"/>
    <w:rsid w:val="00F228A9"/>
    <w:rsid w:val="00F22A87"/>
    <w:rsid w:val="00F24993"/>
    <w:rsid w:val="00F25D3E"/>
    <w:rsid w:val="00F26B72"/>
    <w:rsid w:val="00F27B38"/>
    <w:rsid w:val="00F30163"/>
    <w:rsid w:val="00F32A97"/>
    <w:rsid w:val="00F32CE3"/>
    <w:rsid w:val="00F34F4B"/>
    <w:rsid w:val="00F3581B"/>
    <w:rsid w:val="00F36CAC"/>
    <w:rsid w:val="00F37980"/>
    <w:rsid w:val="00F379D4"/>
    <w:rsid w:val="00F42BE0"/>
    <w:rsid w:val="00F434EE"/>
    <w:rsid w:val="00F44382"/>
    <w:rsid w:val="00F4465D"/>
    <w:rsid w:val="00F4482A"/>
    <w:rsid w:val="00F455F9"/>
    <w:rsid w:val="00F47C20"/>
    <w:rsid w:val="00F47DF2"/>
    <w:rsid w:val="00F5257E"/>
    <w:rsid w:val="00F52884"/>
    <w:rsid w:val="00F539D4"/>
    <w:rsid w:val="00F55F02"/>
    <w:rsid w:val="00F563C2"/>
    <w:rsid w:val="00F57051"/>
    <w:rsid w:val="00F57C54"/>
    <w:rsid w:val="00F60B6D"/>
    <w:rsid w:val="00F61A89"/>
    <w:rsid w:val="00F637DB"/>
    <w:rsid w:val="00F63CF3"/>
    <w:rsid w:val="00F640E4"/>
    <w:rsid w:val="00F64D29"/>
    <w:rsid w:val="00F65F6A"/>
    <w:rsid w:val="00F66F18"/>
    <w:rsid w:val="00F710C5"/>
    <w:rsid w:val="00F743A2"/>
    <w:rsid w:val="00F7442E"/>
    <w:rsid w:val="00F74D1C"/>
    <w:rsid w:val="00F763AA"/>
    <w:rsid w:val="00F802A7"/>
    <w:rsid w:val="00F808C7"/>
    <w:rsid w:val="00F80D88"/>
    <w:rsid w:val="00F82229"/>
    <w:rsid w:val="00F828A5"/>
    <w:rsid w:val="00F83CBA"/>
    <w:rsid w:val="00F847B8"/>
    <w:rsid w:val="00F8529A"/>
    <w:rsid w:val="00F85689"/>
    <w:rsid w:val="00F858FC"/>
    <w:rsid w:val="00F86695"/>
    <w:rsid w:val="00F90659"/>
    <w:rsid w:val="00F906EB"/>
    <w:rsid w:val="00F90B52"/>
    <w:rsid w:val="00F91049"/>
    <w:rsid w:val="00F91212"/>
    <w:rsid w:val="00F91ADB"/>
    <w:rsid w:val="00F91C5E"/>
    <w:rsid w:val="00F91F8A"/>
    <w:rsid w:val="00F93509"/>
    <w:rsid w:val="00F95824"/>
    <w:rsid w:val="00F9675D"/>
    <w:rsid w:val="00F97515"/>
    <w:rsid w:val="00F97F51"/>
    <w:rsid w:val="00FA0082"/>
    <w:rsid w:val="00FA217E"/>
    <w:rsid w:val="00FA291F"/>
    <w:rsid w:val="00FA2CC1"/>
    <w:rsid w:val="00FA2D28"/>
    <w:rsid w:val="00FA38A0"/>
    <w:rsid w:val="00FA49BD"/>
    <w:rsid w:val="00FB0E4B"/>
    <w:rsid w:val="00FB0F80"/>
    <w:rsid w:val="00FB1407"/>
    <w:rsid w:val="00FB1606"/>
    <w:rsid w:val="00FB33CB"/>
    <w:rsid w:val="00FB37D9"/>
    <w:rsid w:val="00FB3C94"/>
    <w:rsid w:val="00FB4BF2"/>
    <w:rsid w:val="00FB69DA"/>
    <w:rsid w:val="00FB6BB8"/>
    <w:rsid w:val="00FB7392"/>
    <w:rsid w:val="00FC07FC"/>
    <w:rsid w:val="00FC1670"/>
    <w:rsid w:val="00FC1AE4"/>
    <w:rsid w:val="00FC1F27"/>
    <w:rsid w:val="00FC23A1"/>
    <w:rsid w:val="00FC26C2"/>
    <w:rsid w:val="00FC3A6E"/>
    <w:rsid w:val="00FC5666"/>
    <w:rsid w:val="00FC608A"/>
    <w:rsid w:val="00FC6A8B"/>
    <w:rsid w:val="00FC73C6"/>
    <w:rsid w:val="00FD1DDB"/>
    <w:rsid w:val="00FD2163"/>
    <w:rsid w:val="00FD236A"/>
    <w:rsid w:val="00FD30D7"/>
    <w:rsid w:val="00FD407E"/>
    <w:rsid w:val="00FD4E28"/>
    <w:rsid w:val="00FD6405"/>
    <w:rsid w:val="00FD6B39"/>
    <w:rsid w:val="00FD7162"/>
    <w:rsid w:val="00FD787B"/>
    <w:rsid w:val="00FE0168"/>
    <w:rsid w:val="00FE0285"/>
    <w:rsid w:val="00FE0A80"/>
    <w:rsid w:val="00FE3527"/>
    <w:rsid w:val="00FE5B6C"/>
    <w:rsid w:val="00FE5C31"/>
    <w:rsid w:val="00FE7019"/>
    <w:rsid w:val="00FE71E2"/>
    <w:rsid w:val="00FF01D3"/>
    <w:rsid w:val="00FF09D9"/>
    <w:rsid w:val="00FF0F9B"/>
    <w:rsid w:val="00FF111D"/>
    <w:rsid w:val="00FF160C"/>
    <w:rsid w:val="00FF1B26"/>
    <w:rsid w:val="00FF1E70"/>
    <w:rsid w:val="00FF455E"/>
    <w:rsid w:val="00FF6BE4"/>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78E7AB"/>
  <w15:chartTrackingRefBased/>
  <w15:docId w15:val="{0E4D011D-189C-844F-87FF-9DFE0F3E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E6"/>
  </w:style>
  <w:style w:type="paragraph" w:styleId="Heading1">
    <w:name w:val="heading 1"/>
    <w:basedOn w:val="Normal"/>
    <w:next w:val="Normal"/>
    <w:link w:val="Heading1Char"/>
    <w:uiPriority w:val="9"/>
    <w:qFormat/>
    <w:rsid w:val="00B64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4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4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6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6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6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6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4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4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6E6"/>
    <w:rPr>
      <w:rFonts w:eastAsiaTheme="majorEastAsia" w:cstheme="majorBidi"/>
      <w:color w:val="272727" w:themeColor="text1" w:themeTint="D8"/>
    </w:rPr>
  </w:style>
  <w:style w:type="paragraph" w:styleId="Title">
    <w:name w:val="Title"/>
    <w:basedOn w:val="Normal"/>
    <w:next w:val="Normal"/>
    <w:link w:val="TitleChar"/>
    <w:uiPriority w:val="10"/>
    <w:qFormat/>
    <w:rsid w:val="00B646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6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6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46E6"/>
    <w:rPr>
      <w:i/>
      <w:iCs/>
      <w:color w:val="404040" w:themeColor="text1" w:themeTint="BF"/>
    </w:rPr>
  </w:style>
  <w:style w:type="paragraph" w:styleId="ListParagraph">
    <w:name w:val="List Paragraph"/>
    <w:basedOn w:val="Normal"/>
    <w:uiPriority w:val="34"/>
    <w:qFormat/>
    <w:rsid w:val="00B646E6"/>
    <w:pPr>
      <w:ind w:left="720"/>
      <w:contextualSpacing/>
    </w:pPr>
  </w:style>
  <w:style w:type="character" w:styleId="IntenseEmphasis">
    <w:name w:val="Intense Emphasis"/>
    <w:basedOn w:val="DefaultParagraphFont"/>
    <w:uiPriority w:val="21"/>
    <w:qFormat/>
    <w:rsid w:val="00B646E6"/>
    <w:rPr>
      <w:i/>
      <w:iCs/>
      <w:color w:val="0F4761" w:themeColor="accent1" w:themeShade="BF"/>
    </w:rPr>
  </w:style>
  <w:style w:type="paragraph" w:styleId="IntenseQuote">
    <w:name w:val="Intense Quote"/>
    <w:basedOn w:val="Normal"/>
    <w:next w:val="Normal"/>
    <w:link w:val="IntenseQuoteChar"/>
    <w:uiPriority w:val="30"/>
    <w:qFormat/>
    <w:rsid w:val="00B64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6E6"/>
    <w:rPr>
      <w:i/>
      <w:iCs/>
      <w:color w:val="0F4761" w:themeColor="accent1" w:themeShade="BF"/>
    </w:rPr>
  </w:style>
  <w:style w:type="character" w:styleId="IntenseReference">
    <w:name w:val="Intense Reference"/>
    <w:basedOn w:val="DefaultParagraphFont"/>
    <w:uiPriority w:val="32"/>
    <w:qFormat/>
    <w:rsid w:val="00B646E6"/>
    <w:rPr>
      <w:b/>
      <w:bCs/>
      <w:smallCaps/>
      <w:color w:val="0F4761" w:themeColor="accent1" w:themeShade="BF"/>
      <w:spacing w:val="5"/>
    </w:rPr>
  </w:style>
  <w:style w:type="character" w:styleId="Hyperlink">
    <w:name w:val="Hyperlink"/>
    <w:basedOn w:val="DefaultParagraphFont"/>
    <w:uiPriority w:val="99"/>
    <w:unhideWhenUsed/>
    <w:rsid w:val="0031511A"/>
    <w:rPr>
      <w:color w:val="467886" w:themeColor="hyperlink"/>
      <w:u w:val="single"/>
    </w:rPr>
  </w:style>
  <w:style w:type="character" w:styleId="PlaceholderText">
    <w:name w:val="Placeholder Text"/>
    <w:basedOn w:val="DefaultParagraphFont"/>
    <w:uiPriority w:val="99"/>
    <w:semiHidden/>
    <w:rsid w:val="00E01D59"/>
    <w:rPr>
      <w:color w:val="666666"/>
    </w:rPr>
  </w:style>
  <w:style w:type="paragraph" w:styleId="Header">
    <w:name w:val="header"/>
    <w:basedOn w:val="Normal"/>
    <w:link w:val="HeaderChar"/>
    <w:uiPriority w:val="99"/>
    <w:unhideWhenUsed/>
    <w:rsid w:val="006F0B5D"/>
    <w:pPr>
      <w:tabs>
        <w:tab w:val="center" w:pos="4680"/>
        <w:tab w:val="right" w:pos="9360"/>
      </w:tabs>
    </w:pPr>
  </w:style>
  <w:style w:type="character" w:customStyle="1" w:styleId="HeaderChar">
    <w:name w:val="Header Char"/>
    <w:basedOn w:val="DefaultParagraphFont"/>
    <w:link w:val="Header"/>
    <w:uiPriority w:val="99"/>
    <w:rsid w:val="006F0B5D"/>
  </w:style>
  <w:style w:type="paragraph" w:styleId="Footer">
    <w:name w:val="footer"/>
    <w:basedOn w:val="Normal"/>
    <w:link w:val="FooterChar"/>
    <w:uiPriority w:val="99"/>
    <w:unhideWhenUsed/>
    <w:rsid w:val="006F0B5D"/>
    <w:pPr>
      <w:tabs>
        <w:tab w:val="center" w:pos="4680"/>
        <w:tab w:val="right" w:pos="9360"/>
      </w:tabs>
    </w:pPr>
  </w:style>
  <w:style w:type="character" w:customStyle="1" w:styleId="FooterChar">
    <w:name w:val="Footer Char"/>
    <w:basedOn w:val="DefaultParagraphFont"/>
    <w:link w:val="Footer"/>
    <w:uiPriority w:val="99"/>
    <w:rsid w:val="006F0B5D"/>
  </w:style>
  <w:style w:type="paragraph" w:styleId="NoSpacing">
    <w:name w:val="No Spacing"/>
    <w:uiPriority w:val="1"/>
    <w:qFormat/>
    <w:rsid w:val="000D2ED5"/>
  </w:style>
  <w:style w:type="character" w:styleId="FollowedHyperlink">
    <w:name w:val="FollowedHyperlink"/>
    <w:basedOn w:val="DefaultParagraphFont"/>
    <w:uiPriority w:val="99"/>
    <w:semiHidden/>
    <w:unhideWhenUsed/>
    <w:rsid w:val="00D86085"/>
    <w:rPr>
      <w:color w:val="96607D" w:themeColor="followedHyperlink"/>
      <w:u w:val="single"/>
    </w:rPr>
  </w:style>
  <w:style w:type="character" w:styleId="UnresolvedMention">
    <w:name w:val="Unresolved Mention"/>
    <w:basedOn w:val="DefaultParagraphFont"/>
    <w:uiPriority w:val="99"/>
    <w:semiHidden/>
    <w:unhideWhenUsed/>
    <w:rsid w:val="005E7A35"/>
    <w:rPr>
      <w:color w:val="605E5C"/>
      <w:shd w:val="clear" w:color="auto" w:fill="E1DFDD"/>
    </w:rPr>
  </w:style>
  <w:style w:type="paragraph" w:styleId="NormalWeb">
    <w:name w:val="Normal (Web)"/>
    <w:basedOn w:val="Normal"/>
    <w:uiPriority w:val="99"/>
    <w:unhideWhenUsed/>
    <w:rsid w:val="007C05C8"/>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7C05C8"/>
  </w:style>
  <w:style w:type="paragraph" w:customStyle="1" w:styleId="footnotedescription">
    <w:name w:val="footnote description"/>
    <w:next w:val="Normal"/>
    <w:link w:val="footnotedescriptionChar"/>
    <w:hidden/>
    <w:rsid w:val="00053AAC"/>
    <w:pPr>
      <w:spacing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53AAC"/>
    <w:rPr>
      <w:rFonts w:ascii="Times New Roman" w:eastAsia="Times New Roman" w:hAnsi="Times New Roman" w:cs="Times New Roman"/>
      <w:color w:val="000000"/>
      <w:sz w:val="20"/>
    </w:rPr>
  </w:style>
  <w:style w:type="character" w:customStyle="1" w:styleId="footnotemark">
    <w:name w:val="footnote mark"/>
    <w:hidden/>
    <w:rsid w:val="00053AAC"/>
    <w:rPr>
      <w:rFonts w:ascii="Calibri" w:eastAsia="Calibri" w:hAnsi="Calibri" w:cs="Calibri"/>
      <w:color w:val="000000"/>
      <w:sz w:val="20"/>
      <w:vertAlign w:val="superscript"/>
    </w:rPr>
  </w:style>
  <w:style w:type="table" w:customStyle="1" w:styleId="TableGrid">
    <w:name w:val="TableGrid"/>
    <w:rsid w:val="00053AAC"/>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C73ED"/>
    <w:rPr>
      <w:sz w:val="16"/>
      <w:szCs w:val="16"/>
    </w:rPr>
  </w:style>
  <w:style w:type="paragraph" w:styleId="CommentText">
    <w:name w:val="annotation text"/>
    <w:basedOn w:val="Normal"/>
    <w:link w:val="CommentTextChar"/>
    <w:uiPriority w:val="99"/>
    <w:unhideWhenUsed/>
    <w:rsid w:val="007C73ED"/>
    <w:rPr>
      <w:sz w:val="20"/>
      <w:szCs w:val="20"/>
    </w:rPr>
  </w:style>
  <w:style w:type="character" w:customStyle="1" w:styleId="CommentTextChar">
    <w:name w:val="Comment Text Char"/>
    <w:basedOn w:val="DefaultParagraphFont"/>
    <w:link w:val="CommentText"/>
    <w:uiPriority w:val="99"/>
    <w:rsid w:val="007C73ED"/>
    <w:rPr>
      <w:sz w:val="20"/>
      <w:szCs w:val="20"/>
    </w:rPr>
  </w:style>
  <w:style w:type="paragraph" w:styleId="CommentSubject">
    <w:name w:val="annotation subject"/>
    <w:basedOn w:val="CommentText"/>
    <w:next w:val="CommentText"/>
    <w:link w:val="CommentSubjectChar"/>
    <w:uiPriority w:val="99"/>
    <w:semiHidden/>
    <w:unhideWhenUsed/>
    <w:rsid w:val="007C73ED"/>
    <w:rPr>
      <w:b/>
      <w:bCs/>
    </w:rPr>
  </w:style>
  <w:style w:type="character" w:customStyle="1" w:styleId="CommentSubjectChar">
    <w:name w:val="Comment Subject Char"/>
    <w:basedOn w:val="CommentTextChar"/>
    <w:link w:val="CommentSubject"/>
    <w:uiPriority w:val="99"/>
    <w:semiHidden/>
    <w:rsid w:val="007C7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aregisty.org/story/primus-hall-soldier-master-born" TargetMode="External"/><Relationship Id="rId18" Type="http://schemas.openxmlformats.org/officeDocument/2006/relationships/hyperlink" Target="https://epicedpolicy" TargetMode="External"/><Relationship Id="rId26" Type="http://schemas.openxmlformats.org/officeDocument/2006/relationships/hyperlink" Target="https://www.jostor.org/stable/27501240" TargetMode="External"/><Relationship Id="rId39" Type="http://schemas.openxmlformats.org/officeDocument/2006/relationships/fontTable" Target="fontTable.xml"/><Relationship Id="rId21" Type="http://schemas.openxmlformats.org/officeDocument/2006/relationships/hyperlink" Target="http://www.americanprogress.org/kf/ingersoll-final.pdf" TargetMode="External"/><Relationship Id="rId34" Type="http://schemas.openxmlformats.org/officeDocument/2006/relationships/hyperlink" Target="http://datacenter.spps.org/sites/2259653e-ffb3-45ba-8fd6-04a024ecf7a4/uploads/SOTW_A_Nation_at_Risk_1983.pdf" TargetMode="Externa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org/10.1353/eca.2022.0001" TargetMode="External"/><Relationship Id="rId20" Type="http://schemas.openxmlformats.org/officeDocument/2006/relationships/hyperlink" Target="https://web.archive.org/web/20130502154016/http://pereoline.net" TargetMode="External"/><Relationship Id="rId29" Type="http://schemas.openxmlformats.org/officeDocument/2006/relationships/hyperlink" Target="http://www.cecr.ed.gov/guides/researchSyntheses/Research%20Synthesis_QA1.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www.dallasisd.org/eval/research/articles/Jordan-Teacher-Effects-on-Longitudinal-Student-Achievement-1997.pdf" TargetMode="External"/><Relationship Id="rId32" Type="http://schemas.openxmlformats.org/officeDocument/2006/relationships/hyperlink" Target="http://datacenter.spps.org/sites/2259653e-ffb3-45ba-8fd6-04a024ecf7a4/uploads/SOTW_A_Nation_at_Risk_1983.pdf"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ahead" TargetMode="External"/><Relationship Id="rId23" Type="http://schemas.openxmlformats.org/officeDocument/2006/relationships/hyperlink" Target="http://www.dallasisd.org/eval/research/articles/Jordan-Teacher-Effects-on-Longitudinal-Student-Achievement-1997.pdf" TargetMode="External"/><Relationship Id="rId28" Type="http://schemas.openxmlformats.org/officeDocument/2006/relationships/hyperlink" Target="http://www.cecr.ed.gov/guides/researchSyntheses/Research%20Synthesis_QA1.pdf" TargetMode="External"/><Relationship Id="rId36" Type="http://schemas.openxmlformats.org/officeDocument/2006/relationships/hyperlink" Target="https://creativecommons.org/licenses/by-sa/4.0/" TargetMode="External"/><Relationship Id="rId10" Type="http://schemas.microsoft.com/office/2018/08/relationships/commentsExtensible" Target="commentsExtensible.xml"/><Relationship Id="rId19" Type="http://schemas.openxmlformats.org/officeDocument/2006/relationships/hyperlink" Target="https://www.nber.org/papers/25254" TargetMode="External"/><Relationship Id="rId31" Type="http://schemas.openxmlformats.org/officeDocument/2006/relationships/hyperlink" Target="http://www.eric.ed.gov./PDFS/ED467756.pdf"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comptroller1.state.tn.us/repository/RE/tvaascp1.pdf" TargetMode="External"/><Relationship Id="rId22" Type="http://schemas.openxmlformats.org/officeDocument/2006/relationships/hyperlink" Target="http://www.americanprogress.org/kf/ingersoll-final.pdf" TargetMode="External"/><Relationship Id="rId27" Type="http://schemas.openxmlformats.org/officeDocument/2006/relationships/hyperlink" Target="https://doi.org/10.1177/0048393120971169" TargetMode="External"/><Relationship Id="rId30" Type="http://schemas.openxmlformats.org/officeDocument/2006/relationships/hyperlink" Target="http://www.eric.ed.gov./PDFS/ED467756.pdf" TargetMode="External"/><Relationship Id="rId35" Type="http://schemas.openxmlformats.org/officeDocument/2006/relationships/hyperlink" Target="https://www.mtsu.edu:8443/first-amendment/article/615/commonwealth-vcooke-" TargetMode="Externa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yperlink" Target="http://www.all4ed.org/files/archive/publications/TeacherAttrition.pdf" TargetMode="External"/><Relationship Id="rId17" Type="http://schemas.openxmlformats.org/officeDocument/2006/relationships/hyperlink" Target="https://www.americanprogress" TargetMode="External"/><Relationship Id="rId25" Type="http://schemas.openxmlformats.org/officeDocument/2006/relationships/hyperlink" Target="http://www.dallasisd.org/eval/research/articles/Jordan-Teacher-Effects-on-Longitudinal-Student-Achievement-1997.pdf" TargetMode="External"/><Relationship Id="rId33" Type="http://schemas.openxmlformats.org/officeDocument/2006/relationships/hyperlink" Target="http://datacenter.spps.org/sites/2259653e-ffb3-45ba-8fd6-04a024ecf7a4/uploads/SOTW_A_Nation_at_Risk_1983.pdf"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50</Pages>
  <Words>18308</Words>
  <Characters>104362</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Sean Taladay</cp:lastModifiedBy>
  <cp:revision>2</cp:revision>
  <cp:lastPrinted>2024-08-04T05:31:00Z</cp:lastPrinted>
  <dcterms:created xsi:type="dcterms:W3CDTF">2024-09-23T15:52:00Z</dcterms:created>
  <dcterms:modified xsi:type="dcterms:W3CDTF">2024-09-23T15:52:00Z</dcterms:modified>
</cp:coreProperties>
</file>