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A2ADF" w14:textId="77777777" w:rsidR="00483D64" w:rsidRPr="00D07137" w:rsidRDefault="00813CBB" w:rsidP="001C3BC9">
      <w:pPr>
        <w:spacing w:after="200"/>
        <w:jc w:val="center"/>
        <w:outlineLvl w:val="0"/>
        <w:rPr>
          <w:rFonts w:ascii="Times New Roman" w:eastAsia="Times New Roman" w:hAnsi="Times New Roman" w:cs="Times New Roman"/>
          <w:b/>
          <w:bCs/>
          <w:kern w:val="36"/>
          <w:sz w:val="48"/>
          <w:szCs w:val="48"/>
        </w:rPr>
      </w:pPr>
      <w:r w:rsidRPr="00D07137">
        <w:rPr>
          <w:rFonts w:ascii="Times New Roman" w:eastAsia="Times New Roman" w:hAnsi="Times New Roman" w:cs="Times New Roman"/>
          <w:b/>
          <w:bCs/>
          <w:color w:val="000000"/>
          <w:kern w:val="36"/>
        </w:rPr>
        <w:t>Omega Graduate School</w:t>
      </w:r>
    </w:p>
    <w:p w14:paraId="5D5B9742" w14:textId="77777777" w:rsidR="00483D64" w:rsidRPr="00D07137" w:rsidRDefault="00813CBB" w:rsidP="001C3BC9">
      <w:pPr>
        <w:spacing w:after="200"/>
        <w:jc w:val="center"/>
        <w:outlineLvl w:val="0"/>
        <w:rPr>
          <w:rFonts w:ascii="Times New Roman" w:eastAsia="Times New Roman" w:hAnsi="Times New Roman" w:cs="Times New Roman"/>
          <w:b/>
          <w:bCs/>
          <w:kern w:val="36"/>
          <w:sz w:val="48"/>
          <w:szCs w:val="48"/>
        </w:rPr>
      </w:pPr>
      <w:r w:rsidRPr="00D07137">
        <w:rPr>
          <w:rFonts w:ascii="Times New Roman" w:eastAsia="Times New Roman" w:hAnsi="Times New Roman" w:cs="Times New Roman"/>
          <w:b/>
          <w:bCs/>
          <w:color w:val="000000"/>
          <w:kern w:val="36"/>
        </w:rPr>
        <w:t>Dissertation Research Prospectus (Pre-Proposal)</w:t>
      </w:r>
    </w:p>
    <w:p w14:paraId="6A22F617" w14:textId="5DDE7141" w:rsidR="00483D64" w:rsidRDefault="00813CBB" w:rsidP="0036254D">
      <w:pPr>
        <w:jc w:val="center"/>
        <w:rPr>
          <w:b/>
        </w:rPr>
      </w:pPr>
      <w:r w:rsidRPr="00BC2690">
        <w:rPr>
          <w:b/>
        </w:rPr>
        <w:t>Problem Statement</w:t>
      </w:r>
    </w:p>
    <w:p w14:paraId="39ABA3A1" w14:textId="77777777" w:rsidR="0036254D" w:rsidRPr="00BC2690" w:rsidRDefault="0036254D" w:rsidP="0036254D">
      <w:pPr>
        <w:jc w:val="center"/>
        <w:rPr>
          <w:b/>
        </w:rPr>
      </w:pPr>
    </w:p>
    <w:p w14:paraId="5A47CA43" w14:textId="53010C28" w:rsidR="00762599" w:rsidRDefault="00813CBB" w:rsidP="00E579DA">
      <w:pPr>
        <w:spacing w:line="480" w:lineRule="auto"/>
      </w:pPr>
      <w:r>
        <w:tab/>
        <w:t>The problem is that it is unknown whether t</w:t>
      </w:r>
      <w:r w:rsidR="000C3ABB">
        <w:t>here wa</w:t>
      </w:r>
      <w:r w:rsidR="00574C11">
        <w:t xml:space="preserve">s a relationship between </w:t>
      </w:r>
      <w:r>
        <w:t>the Mental Health of young persons 18 to 24 years in Trinidad and Tobago and th</w:t>
      </w:r>
      <w:r w:rsidR="00095AB5">
        <w:t>eir Religiosity during the COVID</w:t>
      </w:r>
      <w:r>
        <w:t xml:space="preserve">-19 </w:t>
      </w:r>
      <w:commentRangeStart w:id="0"/>
      <w:r>
        <w:t>pandemic lockdown</w:t>
      </w:r>
      <w:r w:rsidR="00501AB7">
        <w:t>,</w:t>
      </w:r>
      <w:r>
        <w:t xml:space="preserve"> because researc</w:t>
      </w:r>
      <w:r w:rsidR="00E579DA">
        <w:t xml:space="preserve">h </w:t>
      </w:r>
      <w:commentRangeEnd w:id="0"/>
      <w:r w:rsidR="00BD6395">
        <w:rPr>
          <w:rStyle w:val="CommentReference"/>
        </w:rPr>
        <w:commentReference w:id="0"/>
      </w:r>
      <w:r w:rsidR="00E579DA">
        <w:t xml:space="preserve">shows </w:t>
      </w:r>
      <w:r w:rsidR="000C3ABB">
        <w:t>that Religiosity</w:t>
      </w:r>
      <w:r w:rsidR="00E579DA">
        <w:t xml:space="preserve"> serves as a buttress to persons during challenging times and reduces the effect of </w:t>
      </w:r>
      <w:r w:rsidR="0062507F">
        <w:t xml:space="preserve">Depression, Anxiety, and Stress </w:t>
      </w:r>
      <w:commentRangeStart w:id="1"/>
      <w:r w:rsidR="0062507F">
        <w:t>(</w:t>
      </w:r>
      <w:r w:rsidR="00E579DA">
        <w:rPr>
          <w:b/>
        </w:rPr>
        <w:t>Ochnik et al. 2022</w:t>
      </w:r>
      <w:r w:rsidR="00501AB7">
        <w:rPr>
          <w:b/>
        </w:rPr>
        <w:t>, p. 2</w:t>
      </w:r>
      <w:r w:rsidR="00E579DA">
        <w:rPr>
          <w:b/>
        </w:rPr>
        <w:t>).</w:t>
      </w:r>
      <w:r w:rsidR="00E579DA">
        <w:t xml:space="preserve"> </w:t>
      </w:r>
      <w:commentRangeEnd w:id="1"/>
      <w:r w:rsidR="006E0717">
        <w:rPr>
          <w:rStyle w:val="CommentReference"/>
        </w:rPr>
        <w:commentReference w:id="1"/>
      </w:r>
    </w:p>
    <w:p w14:paraId="0F275A7D" w14:textId="77777777" w:rsidR="000C3ABB" w:rsidRPr="00BC2690" w:rsidRDefault="00813CBB" w:rsidP="001C3BC9">
      <w:pPr>
        <w:spacing w:line="480" w:lineRule="auto"/>
        <w:jc w:val="center"/>
        <w:rPr>
          <w:b/>
        </w:rPr>
      </w:pPr>
      <w:r w:rsidRPr="00490404">
        <w:rPr>
          <w:b/>
        </w:rPr>
        <w:t>Purpose Statement</w:t>
      </w:r>
    </w:p>
    <w:p w14:paraId="73C72155" w14:textId="77777777" w:rsidR="000C3ABB" w:rsidRDefault="00813CBB" w:rsidP="000C3ABB">
      <w:pPr>
        <w:spacing w:line="480" w:lineRule="auto"/>
      </w:pPr>
      <w:r>
        <w:tab/>
        <w:t>The purpose of this stu</w:t>
      </w:r>
      <w:r w:rsidR="00441E3D">
        <w:t>dy is to examine whether there wa</w:t>
      </w:r>
      <w:r>
        <w:t>s a relationship between the Mental Health of young persons 18 to 24 years in Trinidad and Tobago and th</w:t>
      </w:r>
      <w:r w:rsidR="00095AB5">
        <w:t>eir Religiosity during the COVID</w:t>
      </w:r>
      <w:r>
        <w:t>-19 pandemic lockdown.</w:t>
      </w:r>
    </w:p>
    <w:p w14:paraId="3956B55D" w14:textId="77777777" w:rsidR="00426424" w:rsidRPr="00490404" w:rsidRDefault="00813CBB" w:rsidP="001C3BC9">
      <w:pPr>
        <w:spacing w:line="480" w:lineRule="auto"/>
        <w:jc w:val="center"/>
        <w:rPr>
          <w:b/>
        </w:rPr>
      </w:pPr>
      <w:r w:rsidRPr="00490404">
        <w:rPr>
          <w:b/>
        </w:rPr>
        <w:t>Background of the Problem</w:t>
      </w:r>
    </w:p>
    <w:p w14:paraId="4E787173" w14:textId="0EAB633A" w:rsidR="00426424" w:rsidRDefault="00813CBB" w:rsidP="00426424">
      <w:pPr>
        <w:spacing w:line="480" w:lineRule="auto"/>
        <w:ind w:firstLine="720"/>
      </w:pPr>
      <w:r>
        <w:t>The Coronavirus first appeared in Wuhan, China, in late 2019. However, by the first six weeks of 2020, the virus had spread rapidly from China to several other countries. This continuous spread led the Director General of the World Health Organization (WHO) on January 30, 2020, to declare the COVID-19 virus a "Public Health Emergency of International Concern" (WHO, 2020</w:t>
      </w:r>
      <w:r w:rsidR="003E6791">
        <w:t>,</w:t>
      </w:r>
      <w:r>
        <w:t xml:space="preserve"> para.1). However, as the situation grew worse, the Director General declared COVID-19 a pandemic on March 11, 2020 (Hadi et al.</w:t>
      </w:r>
      <w:r w:rsidR="003E6791">
        <w:t>,</w:t>
      </w:r>
      <w:r>
        <w:t xml:space="preserve"> 2020 p.1).</w:t>
      </w:r>
    </w:p>
    <w:p w14:paraId="7DA5193F" w14:textId="0D4F00F7" w:rsidR="00426424" w:rsidRDefault="00813CBB" w:rsidP="00426424">
      <w:pPr>
        <w:spacing w:line="480" w:lineRule="auto"/>
        <w:ind w:firstLine="720"/>
      </w:pPr>
      <w:r>
        <w:t>COVID-19 was described as the most infectious disease in the last century after the Spanish Flu epidemic (Chowdory</w:t>
      </w:r>
      <w:r w:rsidR="003E6791">
        <w:t xml:space="preserve"> et al.</w:t>
      </w:r>
      <w:r>
        <w:t>,</w:t>
      </w:r>
      <w:r w:rsidR="009A442F">
        <w:t xml:space="preserve"> </w:t>
      </w:r>
      <w:r w:rsidR="003E6791">
        <w:t>2020,</w:t>
      </w:r>
      <w:r>
        <w:t xml:space="preserve"> p. 163). This dreaded disease </w:t>
      </w:r>
      <w:r>
        <w:lastRenderedPageBreak/>
        <w:t>was widespread, affected citizens’ health, and caused the death of approximately two (2) million persons worldwide (Klinglhofer et al.</w:t>
      </w:r>
      <w:r w:rsidR="003E6791">
        <w:t>,</w:t>
      </w:r>
      <w:r>
        <w:t xml:space="preserve"> 2021, p.1).</w:t>
      </w:r>
    </w:p>
    <w:p w14:paraId="41C6893C" w14:textId="47715B11" w:rsidR="00426424" w:rsidRDefault="00813CBB" w:rsidP="00426424">
      <w:pPr>
        <w:spacing w:line="480" w:lineRule="auto"/>
        <w:ind w:firstLine="720"/>
      </w:pPr>
      <w:r>
        <w:tab/>
      </w:r>
      <w:commentRangeStart w:id="2"/>
      <w:r>
        <w:t>Various</w:t>
      </w:r>
      <w:commentRangeEnd w:id="2"/>
      <w:r w:rsidR="009A442F">
        <w:rPr>
          <w:rStyle w:val="CommentReference"/>
        </w:rPr>
        <w:commentReference w:id="2"/>
      </w:r>
      <w:r>
        <w:t xml:space="preserve"> Governments put containment measures in place to prevent the spread among the citizenry. One of these measures was establishing lockdowns. However, this measure appeared to have negatively affected citizens by forcing them to remain at home and, as such, prevented them from socializing as they usually did (Sampogna et al.</w:t>
      </w:r>
      <w:r w:rsidR="003E6791">
        <w:t>,</w:t>
      </w:r>
      <w:r>
        <w:t xml:space="preserve"> 2021, p.2). Literature has shown that lockdowns influence mental health and that the 15 to 24-year-old age group is vulnerable </w:t>
      </w:r>
      <w:r w:rsidR="004F2572">
        <w:t>(Mc Gorry et al.</w:t>
      </w:r>
      <w:r w:rsidR="003E6791">
        <w:t>,</w:t>
      </w:r>
      <w:r w:rsidR="004F2572">
        <w:t xml:space="preserve"> 2022, p. 61). </w:t>
      </w:r>
      <w:r w:rsidR="00D06C75">
        <w:t xml:space="preserve">Issues such as contracting the virus, thoughts of death, financial challenges, and a general feeling of powerlessness weighed heavily on people's minds as they tried to cope with the new reality facing their everyday lives (Schnabel &amp; Schieman, 2022). During this period of extreme challenges, </w:t>
      </w:r>
      <w:r w:rsidR="00E04CEF">
        <w:t xml:space="preserve">many </w:t>
      </w:r>
      <w:r w:rsidR="00D06C75">
        <w:t xml:space="preserve">citizens sought help from God, who became their source of </w:t>
      </w:r>
      <w:r w:rsidR="00F7189E">
        <w:t>comfort and survival. Schieman et al.</w:t>
      </w:r>
      <w:r w:rsidR="003E6791">
        <w:t>,</w:t>
      </w:r>
      <w:r w:rsidR="00F7189E">
        <w:t xml:space="preserve"> </w:t>
      </w:r>
      <w:commentRangeStart w:id="3"/>
      <w:r w:rsidR="00F7189E">
        <w:t xml:space="preserve">2013 (as cited in </w:t>
      </w:r>
      <w:commentRangeEnd w:id="3"/>
      <w:r w:rsidR="009A442F">
        <w:rPr>
          <w:rStyle w:val="CommentReference"/>
        </w:rPr>
        <w:commentReference w:id="3"/>
      </w:r>
      <w:r w:rsidR="00F7189E" w:rsidRPr="009A442F">
        <w:t>Upinieks &amp; Ellison, 2022) posited that</w:t>
      </w:r>
      <w:r w:rsidR="00F7189E">
        <w:t xml:space="preserve"> religion diminishes the damaging effect of Stress during mental and emotional challenges (p. 858). Researchers Kay et al.</w:t>
      </w:r>
      <w:r w:rsidR="00E32B35">
        <w:t>,</w:t>
      </w:r>
      <w:r w:rsidR="00F7189E">
        <w:t xml:space="preserve"> 2010  (as cited in Schnabel &amp; Schieman, 2022) viewed religion as "an important resource that people can draw upon for comfort, strength, community and a sense of control in the face of u</w:t>
      </w:r>
      <w:r w:rsidR="00D0693D">
        <w:t>ncertainty and hardship" (p. 858</w:t>
      </w:r>
      <w:r w:rsidR="00F7189E">
        <w:t>).</w:t>
      </w:r>
    </w:p>
    <w:p w14:paraId="788BACAB" w14:textId="77777777" w:rsidR="00426424" w:rsidRDefault="00813CBB" w:rsidP="0036254D">
      <w:pPr>
        <w:spacing w:line="480" w:lineRule="auto"/>
        <w:ind w:firstLine="720"/>
        <w:jc w:val="center"/>
      </w:pPr>
      <w:commentRangeStart w:id="4"/>
      <w:r>
        <w:t>Significance</w:t>
      </w:r>
      <w:commentRangeEnd w:id="4"/>
      <w:r w:rsidR="004859FC">
        <w:rPr>
          <w:rStyle w:val="CommentReference"/>
        </w:rPr>
        <w:commentReference w:id="4"/>
      </w:r>
    </w:p>
    <w:p w14:paraId="216C0F37" w14:textId="6C7B846C" w:rsidR="00426424" w:rsidRDefault="00813CBB" w:rsidP="00426424">
      <w:pPr>
        <w:spacing w:line="480" w:lineRule="auto"/>
        <w:ind w:firstLine="720"/>
      </w:pPr>
      <w:r>
        <w:t>This study will contribute to a gap in the research between the mental health of 18 to 24-year-old young persons of Trinidad and Tobago and the</w:t>
      </w:r>
      <w:r w:rsidR="00095AB5">
        <w:t>ir Religiosity during the COVID</w:t>
      </w:r>
      <w:r>
        <w:t>-19 pandemic lockdown.</w:t>
      </w:r>
    </w:p>
    <w:p w14:paraId="49906475" w14:textId="77777777" w:rsidR="00E705C8" w:rsidRDefault="00E705C8" w:rsidP="00426424">
      <w:pPr>
        <w:spacing w:line="480" w:lineRule="auto"/>
        <w:ind w:firstLine="720"/>
      </w:pPr>
    </w:p>
    <w:p w14:paraId="436AAE2D" w14:textId="77777777" w:rsidR="00426424" w:rsidRDefault="00813CBB" w:rsidP="001C3BC9">
      <w:pPr>
        <w:spacing w:line="480" w:lineRule="auto"/>
        <w:ind w:firstLine="720"/>
        <w:jc w:val="center"/>
      </w:pPr>
      <w:commentRangeStart w:id="5"/>
      <w:r>
        <w:lastRenderedPageBreak/>
        <w:t>Research Questions</w:t>
      </w:r>
      <w:commentRangeEnd w:id="5"/>
      <w:r w:rsidR="004859FC">
        <w:rPr>
          <w:rStyle w:val="CommentReference"/>
        </w:rPr>
        <w:commentReference w:id="5"/>
      </w:r>
    </w:p>
    <w:p w14:paraId="6EA8CDBC" w14:textId="77777777" w:rsidR="00426424" w:rsidRDefault="00813CBB" w:rsidP="00426424">
      <w:pPr>
        <w:spacing w:line="480" w:lineRule="auto"/>
        <w:ind w:firstLine="720"/>
      </w:pPr>
      <w:r>
        <w:t>RQ1. What is the relationship between the levels of Depression among 18 to 24-year-old persons during the COVID-19 lockdown and those with high levels of Religiosity as opposed to those with low levels of Religiosity?</w:t>
      </w:r>
    </w:p>
    <w:p w14:paraId="5CE999E2" w14:textId="77777777" w:rsidR="00426424" w:rsidRDefault="00813CBB" w:rsidP="00426424">
      <w:pPr>
        <w:spacing w:line="480" w:lineRule="auto"/>
        <w:ind w:firstLine="720"/>
      </w:pPr>
      <w:r>
        <w:t>RQ2. What is the relationship between the levels of Anxiety among 18 to 24-year-old persons during the COVID-19 lockdown and those with high levels of Religiosity as opposed to those with low levels of Religiosity?</w:t>
      </w:r>
    </w:p>
    <w:p w14:paraId="08C16539" w14:textId="77777777" w:rsidR="00426424" w:rsidRDefault="00813CBB" w:rsidP="00426424">
      <w:pPr>
        <w:spacing w:line="480" w:lineRule="auto"/>
        <w:ind w:firstLine="720"/>
      </w:pPr>
      <w:r>
        <w:t>RQ 3. What is the relationship between the levels of Stress among 18 to 24-year-old persons during the COVID-19 lockdown and those with high levels of Religiosity as opposed to those with low levels of Religiosity?</w:t>
      </w:r>
    </w:p>
    <w:p w14:paraId="7E54E151" w14:textId="77777777" w:rsidR="00426424" w:rsidRDefault="00813CBB" w:rsidP="001C3BC9">
      <w:pPr>
        <w:spacing w:line="480" w:lineRule="auto"/>
        <w:ind w:firstLine="720"/>
        <w:jc w:val="center"/>
      </w:pPr>
      <w:commentRangeStart w:id="6"/>
      <w:r>
        <w:t>Research Methodology</w:t>
      </w:r>
      <w:commentRangeEnd w:id="6"/>
      <w:r w:rsidR="00571B4F">
        <w:rPr>
          <w:rStyle w:val="CommentReference"/>
        </w:rPr>
        <w:commentReference w:id="6"/>
      </w:r>
    </w:p>
    <w:p w14:paraId="1954E7AD" w14:textId="77777777" w:rsidR="00426424" w:rsidRDefault="00813CBB" w:rsidP="00426424">
      <w:pPr>
        <w:spacing w:line="480" w:lineRule="auto"/>
        <w:ind w:firstLine="720"/>
      </w:pPr>
      <w:r>
        <w:t>This study will utilize a quantitative methodology because hypotheses derived from research questions will be tested using statistical analysis. The study will use a Correlational Research Design to explore the relationship between the mental health of young people 18 to 24 yrs and their Religiosity during the COVID-19 lockdown.</w:t>
      </w:r>
    </w:p>
    <w:p w14:paraId="69488614" w14:textId="77777777" w:rsidR="00426424" w:rsidRDefault="00813CBB" w:rsidP="00426424">
      <w:pPr>
        <w:spacing w:line="480" w:lineRule="auto"/>
        <w:ind w:firstLine="720"/>
      </w:pPr>
      <w:commentRangeStart w:id="7"/>
      <w:r>
        <w:t xml:space="preserve">                                              Theoretical Framework</w:t>
      </w:r>
      <w:commentRangeEnd w:id="7"/>
      <w:r w:rsidR="00571B4F">
        <w:rPr>
          <w:rStyle w:val="CommentReference"/>
        </w:rPr>
        <w:commentReference w:id="7"/>
      </w:r>
    </w:p>
    <w:p w14:paraId="1E4C89E1" w14:textId="77777777" w:rsidR="001655D4" w:rsidRDefault="00813CBB" w:rsidP="00E74579">
      <w:pPr>
        <w:spacing w:line="480" w:lineRule="auto"/>
        <w:ind w:firstLine="720"/>
        <w:jc w:val="both"/>
      </w:pPr>
      <w:commentRangeStart w:id="8"/>
      <w:r>
        <w:t xml:space="preserve">This study is framed by </w:t>
      </w:r>
      <w:r w:rsidRPr="00D95DC6">
        <w:rPr>
          <w:strike/>
          <w:color w:val="FF0000"/>
        </w:rPr>
        <w:t>the</w:t>
      </w:r>
      <w:r w:rsidRPr="00D95DC6">
        <w:rPr>
          <w:color w:val="FF0000"/>
        </w:rPr>
        <w:t xml:space="preserve"> </w:t>
      </w:r>
      <w:r>
        <w:t xml:space="preserve">Biopsychosocial theories of mental illness </w:t>
      </w:r>
      <w:r w:rsidR="002C067E">
        <w:t xml:space="preserve">and also </w:t>
      </w:r>
      <w:r w:rsidR="002C067E" w:rsidRPr="00D95DC6">
        <w:rPr>
          <w:strike/>
          <w:color w:val="FF0000"/>
        </w:rPr>
        <w:t>on the</w:t>
      </w:r>
      <w:r w:rsidR="002C067E" w:rsidRPr="00D95DC6">
        <w:rPr>
          <w:color w:val="FF0000"/>
        </w:rPr>
        <w:t xml:space="preserve"> </w:t>
      </w:r>
      <w:r w:rsidR="00D52654">
        <w:t xml:space="preserve">Sociological </w:t>
      </w:r>
      <w:r w:rsidR="006735C3">
        <w:t>and Developmental</w:t>
      </w:r>
      <w:r w:rsidR="00D70EF7">
        <w:t xml:space="preserve"> </w:t>
      </w:r>
      <w:r w:rsidR="006735C3">
        <w:t>theories on</w:t>
      </w:r>
      <w:r w:rsidR="00A40EA4">
        <w:t xml:space="preserve"> Religiosity and Youths.</w:t>
      </w:r>
      <w:r>
        <w:t xml:space="preserve"> </w:t>
      </w:r>
      <w:commentRangeEnd w:id="8"/>
      <w:r w:rsidR="000045E9">
        <w:rPr>
          <w:rStyle w:val="CommentReference"/>
        </w:rPr>
        <w:commentReference w:id="8"/>
      </w:r>
    </w:p>
    <w:p w14:paraId="795243B1" w14:textId="77777777" w:rsidR="001C3BC9" w:rsidRDefault="00813CBB" w:rsidP="001C3BC9">
      <w:pPr>
        <w:spacing w:line="480" w:lineRule="auto"/>
        <w:ind w:firstLine="720"/>
      </w:pPr>
      <w:r w:rsidRPr="00D95DC6">
        <w:rPr>
          <w:strike/>
          <w:color w:val="FF0000"/>
        </w:rPr>
        <w:t>The</w:t>
      </w:r>
      <w:r w:rsidRPr="00D95DC6">
        <w:rPr>
          <w:color w:val="FF0000"/>
        </w:rPr>
        <w:t xml:space="preserve"> </w:t>
      </w:r>
      <w:r>
        <w:t xml:space="preserve">BioPsychosocial theory guides us in understanding that a person’s genetic makeup, how they manage their thoughts, </w:t>
      </w:r>
      <w:commentRangeStart w:id="9"/>
      <w:r>
        <w:t xml:space="preserve">feelings and </w:t>
      </w:r>
      <w:commentRangeEnd w:id="9"/>
      <w:r w:rsidR="00D95DC6">
        <w:rPr>
          <w:rStyle w:val="CommentReference"/>
        </w:rPr>
        <w:commentReference w:id="9"/>
      </w:r>
      <w:r>
        <w:t xml:space="preserve">behaviors, as well as their social environment can have an impact on their mental health (Cooper, </w:t>
      </w:r>
      <w:r>
        <w:lastRenderedPageBreak/>
        <w:t>Tatlow-Golden,</w:t>
      </w:r>
      <w:r w:rsidR="008A7B44">
        <w:t xml:space="preserve"> 2023,</w:t>
      </w:r>
      <w:r>
        <w:t xml:space="preserve"> pp. 214-218). According to Armstrong &amp; Summers (2020), "biological, psychological, and social factors are all central to every mental illness." </w:t>
      </w:r>
    </w:p>
    <w:p w14:paraId="63FBDE07" w14:textId="77777777" w:rsidR="00CE5732" w:rsidRDefault="00813CBB" w:rsidP="001C3BC9">
      <w:pPr>
        <w:spacing w:line="480" w:lineRule="auto"/>
      </w:pPr>
      <w:r>
        <w:t>(p. 82).</w:t>
      </w:r>
    </w:p>
    <w:p w14:paraId="50818EC7" w14:textId="6DBDF5E5" w:rsidR="001C3BC9" w:rsidRDefault="00813CBB" w:rsidP="001C3BC9">
      <w:pPr>
        <w:spacing w:line="480" w:lineRule="auto"/>
        <w:ind w:firstLine="720"/>
      </w:pPr>
      <w:r>
        <w:t xml:space="preserve">Mental illness has been the main obstacle to the health, wellness, and productivity of young persons worldwide (McGorry et al., 2022, para.1). This includes the age group 18 to 25 year-olds on </w:t>
      </w:r>
      <w:commentRangeStart w:id="10"/>
      <w:r>
        <w:t>which we are focusing our study</w:t>
      </w:r>
      <w:commentRangeEnd w:id="10"/>
      <w:r w:rsidR="00D95DC6">
        <w:rPr>
          <w:rStyle w:val="CommentReference"/>
        </w:rPr>
        <w:commentReference w:id="10"/>
      </w:r>
      <w:r>
        <w:t>. McGorry et al.</w:t>
      </w:r>
      <w:r w:rsidR="00BE68C0">
        <w:t>,</w:t>
      </w:r>
      <w:r>
        <w:t xml:space="preserve"> posited </w:t>
      </w:r>
      <w:r>
        <w:rPr>
          <w:rFonts w:ascii="Times Roman" w:hAnsi="Times Roman" w:cs="Times Roman"/>
        </w:rPr>
        <w:t>that their data showed that 50% of mental disorders occur before age 15 and 75% by age 25. They also asserted that 50% of this age group is affected by age 25.</w:t>
      </w:r>
    </w:p>
    <w:p w14:paraId="154F5923" w14:textId="211808EB" w:rsidR="001C3BC9" w:rsidRPr="000730A8" w:rsidRDefault="00813CBB" w:rsidP="001C3BC9">
      <w:pPr>
        <w:spacing w:line="480" w:lineRule="auto"/>
        <w:ind w:firstLine="720"/>
        <w:rPr>
          <w:rFonts w:ascii="Times Roman" w:hAnsi="Times Roman" w:cs="Times Roman"/>
        </w:rPr>
      </w:pPr>
      <w:r>
        <w:rPr>
          <w:rFonts w:ascii="Times Roman" w:hAnsi="Times Roman" w:cs="Times Roman"/>
        </w:rPr>
        <w:t>Depression, Anxiety, and Behavioral disorders are among the leading causes of illness and disability among adolescents (WHO, 2021, para.1). Some emotional conditions prevalent among young persons are Anxiety and Depression. The most pervasive is Anxiety. The World Health Organization (WHO) posited that 3.6% of 10 to 14-year-olds and 4.6% of 15 to 19-year-olds experience an anxiety disorder (WHO, 2021, para. 7). These disorders can hinder a student's performance at school. Depression can even lead to suicide if not dealt with early.</w:t>
      </w:r>
    </w:p>
    <w:p w14:paraId="201B5C53" w14:textId="321AF158" w:rsidR="001C3BC9" w:rsidRDefault="00813CBB" w:rsidP="001C3BC9">
      <w:pPr>
        <w:spacing w:line="480" w:lineRule="auto"/>
        <w:ind w:firstLine="720"/>
      </w:pPr>
      <w:r>
        <w:rPr>
          <w:rFonts w:ascii="Times Roman" w:hAnsi="Times Roman" w:cs="Times Roman"/>
        </w:rPr>
        <w:t xml:space="preserve">According to the World Health Organization Report (2022), "Adversity is one of the most influential and detrimental risks to mental health" (p. 22). Adversity can come in different forms, such as poverty, sexual abuse, physical abuse, and even the COVID-19 pandemic. McGorry et al. (2022) stated that young people have had worse mental health experiences since the Covid-19 </w:t>
      </w:r>
      <w:commentRangeStart w:id="11"/>
      <w:r>
        <w:rPr>
          <w:rFonts w:ascii="Times Roman" w:hAnsi="Times Roman" w:cs="Times Roman"/>
        </w:rPr>
        <w:t xml:space="preserve">pandemic; 75% </w:t>
      </w:r>
      <w:commentRangeEnd w:id="11"/>
      <w:r w:rsidR="000045E9">
        <w:rPr>
          <w:rStyle w:val="CommentReference"/>
        </w:rPr>
        <w:commentReference w:id="11"/>
      </w:r>
      <w:r>
        <w:rPr>
          <w:rFonts w:ascii="Times Roman" w:hAnsi="Times Roman" w:cs="Times Roman"/>
        </w:rPr>
        <w:t>reported that their mental health was worse than before.</w:t>
      </w:r>
    </w:p>
    <w:p w14:paraId="54B19000" w14:textId="579159CD" w:rsidR="00426424" w:rsidRDefault="00813CBB" w:rsidP="00426424">
      <w:pPr>
        <w:spacing w:line="480" w:lineRule="auto"/>
        <w:ind w:firstLine="720"/>
      </w:pPr>
      <w:r>
        <w:lastRenderedPageBreak/>
        <w:t xml:space="preserve">Research has </w:t>
      </w:r>
      <w:commentRangeStart w:id="12"/>
      <w:r>
        <w:t xml:space="preserve">proven </w:t>
      </w:r>
      <w:commentRangeEnd w:id="12"/>
      <w:r w:rsidR="000045E9">
        <w:rPr>
          <w:rStyle w:val="CommentReference"/>
        </w:rPr>
        <w:commentReference w:id="12"/>
      </w:r>
      <w:r>
        <w:t>that people can experience resilience during adversity through religiosity/ spirit</w:t>
      </w:r>
      <w:r w:rsidR="004A03E8">
        <w:t xml:space="preserve">uality. </w:t>
      </w:r>
      <w:commentRangeStart w:id="13"/>
      <w:r w:rsidR="004A03E8">
        <w:t>Manning 2013 (</w:t>
      </w:r>
      <w:r w:rsidR="008E3507">
        <w:t xml:space="preserve">as </w:t>
      </w:r>
      <w:r w:rsidR="004A03E8">
        <w:t xml:space="preserve">cited in </w:t>
      </w:r>
      <w:r>
        <w:t>Schwalm et al.</w:t>
      </w:r>
      <w:r w:rsidR="008E3507">
        <w:t>,</w:t>
      </w:r>
      <w:r>
        <w:t xml:space="preserve"> 2021, p. 2) described spirituality "as a path to resilience." p. 2. </w:t>
      </w:r>
      <w:commentRangeEnd w:id="13"/>
      <w:r w:rsidR="000045E9">
        <w:rPr>
          <w:rStyle w:val="CommentReference"/>
        </w:rPr>
        <w:commentReference w:id="13"/>
      </w:r>
      <w:r>
        <w:t>Schwalm et al.</w:t>
      </w:r>
      <w:r w:rsidR="008E3507">
        <w:t>,</w:t>
      </w:r>
      <w:r>
        <w:t xml:space="preserve"> referred to studies that have reported positive results in this area. They </w:t>
      </w:r>
      <w:commentRangeStart w:id="14"/>
      <w:r>
        <w:t xml:space="preserve">cited Moreira-Almeida et al., 2014 who </w:t>
      </w:r>
      <w:commentRangeEnd w:id="14"/>
      <w:r w:rsidR="000045E9">
        <w:rPr>
          <w:rStyle w:val="CommentReference"/>
        </w:rPr>
        <w:commentReference w:id="14"/>
      </w:r>
      <w:r>
        <w:t>identified "low levels of Depression, Anxiety, Stress, suicidal thoughts, and drug use" (p.2) as evidence of this f</w:t>
      </w:r>
      <w:r w:rsidR="004A03E8">
        <w:t>act. Gall et al.</w:t>
      </w:r>
      <w:r w:rsidR="008E3507">
        <w:t>,</w:t>
      </w:r>
      <w:r w:rsidR="004A03E8">
        <w:t xml:space="preserve"> </w:t>
      </w:r>
      <w:commentRangeStart w:id="15"/>
      <w:r w:rsidR="004A03E8">
        <w:t xml:space="preserve">2011 (cited in </w:t>
      </w:r>
      <w:r>
        <w:t>Schwalm et al., 2021)</w:t>
      </w:r>
      <w:commentRangeEnd w:id="15"/>
      <w:r w:rsidR="002439DC">
        <w:rPr>
          <w:rStyle w:val="CommentReference"/>
        </w:rPr>
        <w:commentReference w:id="15"/>
      </w:r>
      <w:r>
        <w:t xml:space="preserve"> noted that religiosity/ spirituality can also enable patients who have been diagnosed with cancer to recover quickly.</w:t>
      </w:r>
    </w:p>
    <w:p w14:paraId="3AEE4484" w14:textId="5967A7C0" w:rsidR="00426424" w:rsidRDefault="00813CBB" w:rsidP="00426424">
      <w:pPr>
        <w:spacing w:line="480" w:lineRule="auto"/>
        <w:ind w:firstLine="720"/>
      </w:pPr>
      <w:r>
        <w:t xml:space="preserve">Researcher </w:t>
      </w:r>
      <w:commentRangeStart w:id="16"/>
      <w:r>
        <w:t xml:space="preserve">Xudoyoulova, 2023, identified </w:t>
      </w:r>
      <w:commentRangeEnd w:id="16"/>
      <w:r w:rsidR="002439DC">
        <w:rPr>
          <w:rStyle w:val="CommentReference"/>
        </w:rPr>
        <w:commentReference w:id="16"/>
      </w:r>
      <w:r>
        <w:t xml:space="preserve">the importance of Religiosity in developing mental health and cognitive development and noted plans to use it during therapy in some countries. Xudoyoulova supported his views by referencing American psychologist A. Boyzen, who believed "religion has the power to positively influence people to get out of crises in their lives" (para. 1). </w:t>
      </w:r>
    </w:p>
    <w:p w14:paraId="61C740BC" w14:textId="7E2EED87" w:rsidR="00426424" w:rsidRDefault="00813CBB" w:rsidP="00426424">
      <w:pPr>
        <w:spacing w:line="480" w:lineRule="auto"/>
        <w:ind w:firstLine="720"/>
      </w:pPr>
      <w:r>
        <w:t xml:space="preserve">Dyer et al. 2023 examined the effect of the stressors of the COVID-19 pandemic on adults, children, and adolescents. These researchers used the Stimulus-based model of Stress to determine the impact of the distressing events of the pandemic, such as school disruption and the curtailing of social and recreational activities, on adolescents' mental health. They concluded that the results of these could have led to grave psychological disorders. However, their </w:t>
      </w:r>
      <w:r w:rsidR="00C73A8C">
        <w:t>findings revealed that adolescents' Religiosity enabled fewer mental health challenges.</w:t>
      </w:r>
      <w:r w:rsidR="00DF0E71">
        <w:t xml:space="preserve"> </w:t>
      </w:r>
      <w:r w:rsidR="0068167A">
        <w:t xml:space="preserve">This was also the conclusion of </w:t>
      </w:r>
      <w:commentRangeStart w:id="17"/>
      <w:r w:rsidR="0068167A">
        <w:t xml:space="preserve">Fatima et al. 2022 who </w:t>
      </w:r>
      <w:commentRangeEnd w:id="17"/>
      <w:r w:rsidR="005825E1">
        <w:rPr>
          <w:rStyle w:val="CommentReference"/>
        </w:rPr>
        <w:commentReference w:id="17"/>
      </w:r>
      <w:r w:rsidR="0068167A">
        <w:t>studied how young adults coped during the COVID-19 pandemic</w:t>
      </w:r>
      <w:r w:rsidR="001F2738">
        <w:t xml:space="preserve">. </w:t>
      </w:r>
      <w:commentRangeStart w:id="18"/>
      <w:r w:rsidR="001F2738">
        <w:t>Vishkin et al.</w:t>
      </w:r>
      <w:r w:rsidR="008E3507">
        <w:t>,</w:t>
      </w:r>
      <w:r w:rsidR="001F2738">
        <w:t xml:space="preserve"> 2014 (as cited in Fatima et al. 2022) </w:t>
      </w:r>
      <w:commentRangeEnd w:id="18"/>
      <w:r w:rsidR="002F699C">
        <w:rPr>
          <w:rStyle w:val="CommentReference"/>
        </w:rPr>
        <w:commentReference w:id="18"/>
      </w:r>
      <w:r w:rsidR="001F2738">
        <w:t xml:space="preserve">stated, "By </w:t>
      </w:r>
      <w:r w:rsidR="001F2738">
        <w:lastRenderedPageBreak/>
        <w:t>shaping emotion regulation, religion eventually pr</w:t>
      </w:r>
      <w:r w:rsidR="002A0DEF">
        <w:t>omotes well being…..</w:t>
      </w:r>
      <w:r w:rsidR="001F2738">
        <w:t xml:space="preserve"> by effectively regulating cognitions and emotions in stressful situations” (</w:t>
      </w:r>
      <w:r w:rsidR="002A0DEF">
        <w:t>para. 4).</w:t>
      </w:r>
    </w:p>
    <w:p w14:paraId="340B62C2" w14:textId="7C662809" w:rsidR="009931AB" w:rsidRDefault="00813CBB" w:rsidP="00484752">
      <w:pPr>
        <w:spacing w:line="480" w:lineRule="auto"/>
        <w:ind w:firstLine="720"/>
      </w:pPr>
      <w:r>
        <w:t xml:space="preserve">Many sociological and developmental theories suggest that religion contributes positively to youth development. Durkheim's theory of social integration attests to this fact. </w:t>
      </w:r>
      <w:commentRangeStart w:id="19"/>
      <w:r>
        <w:t xml:space="preserve">Durkheim might be considered one of the first sociologists who recognized  religion's important role in societies </w:t>
      </w:r>
      <w:commentRangeEnd w:id="19"/>
      <w:r w:rsidR="002F699C">
        <w:rPr>
          <w:rStyle w:val="CommentReference"/>
        </w:rPr>
        <w:commentReference w:id="19"/>
      </w:r>
      <w:r>
        <w:t xml:space="preserve">(Lawrence-Hart &amp; Deezia, 2023, p. 195.) These researchers stated that Durkheim viewed religion much more than a custom or practice but as a system of beliefs that produced order and stability in a society and resulted in everyone's benefits (p. 197). </w:t>
      </w:r>
    </w:p>
    <w:p w14:paraId="33D88CFC" w14:textId="16E02331" w:rsidR="00484752" w:rsidRDefault="00813CBB" w:rsidP="00B35D7B">
      <w:pPr>
        <w:spacing w:line="480" w:lineRule="auto"/>
        <w:ind w:firstLine="720"/>
      </w:pPr>
      <w:r>
        <w:t>The leading theory about religious development is Fo</w:t>
      </w:r>
      <w:r w:rsidR="00805F83">
        <w:t xml:space="preserve">wler’s Faith Development Theory. </w:t>
      </w:r>
      <w:commentRangeStart w:id="20"/>
      <w:r>
        <w:t>Fowler 1981 (as cited in Hardy et al. 20</w:t>
      </w:r>
      <w:r w:rsidR="00805F83">
        <w:t>22, p. 597)</w:t>
      </w:r>
      <w:r>
        <w:t xml:space="preserve"> developed a </w:t>
      </w:r>
      <w:commentRangeEnd w:id="20"/>
      <w:r w:rsidR="003877EC">
        <w:rPr>
          <w:rStyle w:val="CommentReference"/>
        </w:rPr>
        <w:commentReference w:id="20"/>
      </w:r>
      <w:r>
        <w:t xml:space="preserve">structural approach using six styles of faith based on "theories of Piaget and Kohlberg and lifespan theories of Erikson and Kegan" (Hardy et al. 2022, p. 597). </w:t>
      </w:r>
      <w:commentRangeStart w:id="21"/>
      <w:r>
        <w:t>According to this development model, an adolescent'</w:t>
      </w:r>
      <w:r w:rsidR="003877EC">
        <w:t>This is a strong point to make with good support. Well done!</w:t>
      </w:r>
      <w:r>
        <w:t>s immediate social setting, congregation, and religious tradition positively influence his attitude and decision-making.</w:t>
      </w:r>
      <w:commentRangeEnd w:id="21"/>
      <w:r w:rsidR="003877EC">
        <w:rPr>
          <w:rStyle w:val="CommentReference"/>
        </w:rPr>
        <w:commentReference w:id="21"/>
      </w:r>
    </w:p>
    <w:p w14:paraId="15A57797" w14:textId="7543C33E" w:rsidR="00484752" w:rsidRDefault="00813CBB" w:rsidP="00B35D7B">
      <w:pPr>
        <w:spacing w:line="480" w:lineRule="auto"/>
        <w:ind w:firstLine="720"/>
      </w:pPr>
      <w:r>
        <w:t>Another theory of importance in adol</w:t>
      </w:r>
      <w:r w:rsidR="005A6EF1">
        <w:t xml:space="preserve">escent development is </w:t>
      </w:r>
      <w:r w:rsidR="005A6EF1" w:rsidRPr="003877EC">
        <w:rPr>
          <w:strike/>
          <w:color w:val="FF0000"/>
        </w:rPr>
        <w:t>the</w:t>
      </w:r>
      <w:r w:rsidR="005A6EF1" w:rsidRPr="003877EC">
        <w:rPr>
          <w:color w:val="FF0000"/>
        </w:rPr>
        <w:t xml:space="preserve"> </w:t>
      </w:r>
      <w:r w:rsidR="005A6EF1">
        <w:t>Self-Determination T</w:t>
      </w:r>
      <w:r>
        <w:t xml:space="preserve">heory (SDT). </w:t>
      </w:r>
      <w:r w:rsidR="008860F2">
        <w:t xml:space="preserve">Hardy et al. 2020, noted that research-based </w:t>
      </w:r>
      <w:r w:rsidR="001E604D">
        <w:t xml:space="preserve">was mainly focused </w:t>
      </w:r>
      <w:r w:rsidR="008860F2">
        <w:t>on</w:t>
      </w:r>
      <w:r w:rsidR="001E604D">
        <w:t xml:space="preserve"> </w:t>
      </w:r>
      <w:r w:rsidR="008860F2">
        <w:t xml:space="preserve">the engagement of youths in religious activities and </w:t>
      </w:r>
      <w:r w:rsidR="001E604D">
        <w:t>their devoutness but suggested a change of f</w:t>
      </w:r>
      <w:r w:rsidR="005E04FA">
        <w:t>ocus by introducing</w:t>
      </w:r>
      <w:r w:rsidR="001E604D">
        <w:t xml:space="preserve"> the SDT. </w:t>
      </w:r>
      <w:r>
        <w:t xml:space="preserve">Kirkpatrick &amp; </w:t>
      </w:r>
      <w:commentRangeStart w:id="22"/>
      <w:r>
        <w:t xml:space="preserve">Hood, 1990 (as cited in Hardy et al., 2020) </w:t>
      </w:r>
      <w:commentRangeEnd w:id="22"/>
      <w:r w:rsidR="003877EC">
        <w:rPr>
          <w:rStyle w:val="CommentReference"/>
        </w:rPr>
        <w:commentReference w:id="22"/>
      </w:r>
      <w:r>
        <w:t xml:space="preserve">explained that the underlying principle of this theory is that of empowering adolescents inherently so that they develop a passion to practise their beliefs by worshipping and serving God (para. 2). It also </w:t>
      </w:r>
      <w:r w:rsidR="00805F83">
        <w:lastRenderedPageBreak/>
        <w:t>sought</w:t>
      </w:r>
      <w:r>
        <w:t xml:space="preserve"> to identify the different types of religious empowerment strategies that can positively impact youths (para.1).</w:t>
      </w:r>
      <w:r w:rsidR="00B35D7B">
        <w:t xml:space="preserve"> </w:t>
      </w:r>
      <w:commentRangeStart w:id="23"/>
      <w:r w:rsidR="00B35D7B">
        <w:t xml:space="preserve">Mc Murdie et al., 2013 (as cited in Hardy et al., 2020 ) pointed out that religion can </w:t>
      </w:r>
      <w:r w:rsidR="006C3E79">
        <w:t xml:space="preserve">act as a </w:t>
      </w:r>
      <w:r w:rsidR="00163672">
        <w:t xml:space="preserve">shield </w:t>
      </w:r>
      <w:commentRangeEnd w:id="23"/>
      <w:r w:rsidR="003877EC">
        <w:rPr>
          <w:rStyle w:val="CommentReference"/>
        </w:rPr>
        <w:commentReference w:id="23"/>
      </w:r>
      <w:r w:rsidR="00163672">
        <w:t>against the negative symptoms of disorders such as Anxiety, Stress and Depression.</w:t>
      </w:r>
      <w:r>
        <w:t xml:space="preserve"> </w:t>
      </w:r>
    </w:p>
    <w:p w14:paraId="5F64AA55" w14:textId="3D3887EE" w:rsidR="00813CBB" w:rsidRDefault="004859FC" w:rsidP="00B35D7B">
      <w:pPr>
        <w:spacing w:line="480" w:lineRule="auto"/>
        <w:ind w:firstLine="720"/>
      </w:pPr>
      <w:commentRangeStart w:id="24"/>
      <w:commentRangeEnd w:id="24"/>
      <w:r>
        <w:rPr>
          <w:rStyle w:val="CommentReference"/>
        </w:rPr>
        <w:commentReference w:id="24"/>
      </w:r>
    </w:p>
    <w:p w14:paraId="07E99FBF" w14:textId="77777777" w:rsidR="001C3BC9" w:rsidRPr="00BC2690" w:rsidRDefault="00813CBB" w:rsidP="001C3BC9">
      <w:pPr>
        <w:pStyle w:val="BodyText"/>
        <w:ind w:firstLine="0"/>
        <w:jc w:val="center"/>
        <w:rPr>
          <w:rFonts w:ascii="Times Roman" w:hAnsi="Times Roman" w:cs="Times Roman"/>
          <w:b/>
        </w:rPr>
      </w:pPr>
      <w:r w:rsidRPr="00BC2690">
        <w:rPr>
          <w:rFonts w:ascii="Times Roman" w:hAnsi="Times Roman" w:cs="Times Roman"/>
          <w:b/>
        </w:rPr>
        <w:t>Instrumentation</w:t>
      </w:r>
    </w:p>
    <w:p w14:paraId="28A2053B" w14:textId="77777777" w:rsidR="001C3BC9" w:rsidRDefault="00813CBB" w:rsidP="001C3BC9">
      <w:pPr>
        <w:pStyle w:val="BodyText"/>
        <w:rPr>
          <w:rFonts w:ascii="Times Roman" w:hAnsi="Times Roman" w:cs="Times Roman"/>
        </w:rPr>
      </w:pPr>
      <w:r>
        <w:rPr>
          <w:rFonts w:ascii="Times Roman" w:hAnsi="Times Roman" w:cs="Times Roman"/>
        </w:rPr>
        <w:t xml:space="preserve">This study will utilize </w:t>
      </w:r>
      <w:r w:rsidR="006B5AD5">
        <w:rPr>
          <w:rFonts w:ascii="Times Roman" w:hAnsi="Times Roman" w:cs="Times Roman"/>
        </w:rPr>
        <w:t>two (2) instruments. (1) T</w:t>
      </w:r>
      <w:r>
        <w:rPr>
          <w:rFonts w:ascii="Times Roman" w:hAnsi="Times Roman" w:cs="Times Roman"/>
        </w:rPr>
        <w:t>he DASS-21 instrument, which measures the severity of the symptoms of Depression, Anxiety, and Stress, using D (Depression), A (Anxiety), and S (Stress) subscales (Ahmed et al., 2022).</w:t>
      </w:r>
      <w:r w:rsidR="006B5AD5">
        <w:rPr>
          <w:rFonts w:ascii="Times Roman" w:hAnsi="Times Roman" w:cs="Times Roman"/>
        </w:rPr>
        <w:t xml:space="preserve"> (2) The </w:t>
      </w:r>
      <w:r w:rsidR="00637BD1">
        <w:rPr>
          <w:rFonts w:ascii="Times Roman" w:hAnsi="Times Roman" w:cs="Times Roman"/>
        </w:rPr>
        <w:t>researcher will use the Duke University Religion Index (</w:t>
      </w:r>
      <w:r w:rsidR="006B5AD5">
        <w:rPr>
          <w:rFonts w:ascii="Times Roman" w:hAnsi="Times Roman" w:cs="Times Roman"/>
        </w:rPr>
        <w:t>DUREL</w:t>
      </w:r>
      <w:r w:rsidR="00637BD1">
        <w:rPr>
          <w:rFonts w:ascii="Times Roman" w:hAnsi="Times Roman" w:cs="Times Roman"/>
        </w:rPr>
        <w:t>)</w:t>
      </w:r>
      <w:r w:rsidR="004F1F90">
        <w:rPr>
          <w:rFonts w:ascii="Times Roman" w:hAnsi="Times Roman" w:cs="Times Roman"/>
        </w:rPr>
        <w:t xml:space="preserve">  to measure Religiosity. The DUREL is a five-item assessment that measures the three </w:t>
      </w:r>
      <w:r w:rsidR="00637BD1">
        <w:rPr>
          <w:rFonts w:ascii="Times Roman" w:hAnsi="Times Roman" w:cs="Times Roman"/>
        </w:rPr>
        <w:t>significant elements of Religiosity: these are (1) organizational religious</w:t>
      </w:r>
      <w:r w:rsidR="004F1F90">
        <w:rPr>
          <w:rFonts w:ascii="Times Roman" w:hAnsi="Times Roman" w:cs="Times Roman"/>
        </w:rPr>
        <w:t xml:space="preserve"> </w:t>
      </w:r>
      <w:r w:rsidR="00637BD1">
        <w:rPr>
          <w:rFonts w:ascii="Times Roman" w:hAnsi="Times Roman" w:cs="Times Roman"/>
        </w:rPr>
        <w:t xml:space="preserve">activity, </w:t>
      </w:r>
      <w:r w:rsidR="004F1F90">
        <w:rPr>
          <w:rFonts w:ascii="Times Roman" w:hAnsi="Times Roman" w:cs="Times Roman"/>
        </w:rPr>
        <w:t xml:space="preserve">(2) </w:t>
      </w:r>
      <w:r w:rsidR="00637BD1">
        <w:rPr>
          <w:rFonts w:ascii="Times Roman" w:hAnsi="Times Roman" w:cs="Times Roman"/>
        </w:rPr>
        <w:t xml:space="preserve">non-organizational religious activity, and (3) intrinsic Religiosity. The DUREL measures these </w:t>
      </w:r>
      <w:commentRangeStart w:id="25"/>
      <w:r w:rsidR="00637BD1">
        <w:rPr>
          <w:rFonts w:ascii="Times Roman" w:hAnsi="Times Roman" w:cs="Times Roman"/>
        </w:rPr>
        <w:t>dim</w:t>
      </w:r>
      <w:r w:rsidR="007D35C9">
        <w:rPr>
          <w:rFonts w:ascii="Times Roman" w:hAnsi="Times Roman" w:cs="Times Roman"/>
        </w:rPr>
        <w:t>ensions by a separate “subscale</w:t>
      </w:r>
      <w:r w:rsidR="00637BD1">
        <w:rPr>
          <w:rFonts w:ascii="Times Roman" w:hAnsi="Times Roman" w:cs="Times Roman"/>
        </w:rPr>
        <w:t>”</w:t>
      </w:r>
      <w:r w:rsidR="007D35C9">
        <w:rPr>
          <w:rFonts w:ascii="Times Roman" w:hAnsi="Times Roman" w:cs="Times Roman"/>
        </w:rPr>
        <w:t xml:space="preserve"> (Koenig et al., 2010 para. 1).</w:t>
      </w:r>
      <w:commentRangeEnd w:id="25"/>
      <w:r w:rsidR="00571B4F">
        <w:rPr>
          <w:rStyle w:val="CommentReference"/>
          <w:rFonts w:asciiTheme="minorHAnsi" w:eastAsiaTheme="minorEastAsia" w:hAnsiTheme="minorHAnsi" w:cstheme="minorBidi"/>
        </w:rPr>
        <w:commentReference w:id="25"/>
      </w:r>
    </w:p>
    <w:p w14:paraId="6AAF6DAA" w14:textId="77777777" w:rsidR="00E705C8" w:rsidRPr="00BC2690" w:rsidRDefault="00813CBB" w:rsidP="00E705C8">
      <w:pPr>
        <w:pStyle w:val="BodyText"/>
        <w:ind w:firstLine="0"/>
        <w:jc w:val="center"/>
        <w:rPr>
          <w:rFonts w:ascii="Times Roman" w:hAnsi="Times Roman" w:cs="Times Roman"/>
          <w:b/>
        </w:rPr>
      </w:pPr>
      <w:r w:rsidRPr="00BC2690">
        <w:rPr>
          <w:rFonts w:ascii="Times Roman" w:hAnsi="Times Roman" w:cs="Times Roman"/>
          <w:b/>
        </w:rPr>
        <w:t>Research Design</w:t>
      </w:r>
    </w:p>
    <w:p w14:paraId="670F0CAA" w14:textId="3CC3997E" w:rsidR="00E705C8" w:rsidRPr="004B2F62" w:rsidRDefault="00813CBB" w:rsidP="00E705C8">
      <w:pPr>
        <w:pStyle w:val="BodyText"/>
        <w:rPr>
          <w:color w:val="000000"/>
        </w:rPr>
      </w:pPr>
      <w:r>
        <w:rPr>
          <w:rFonts w:ascii="Times Roman" w:hAnsi="Times Roman" w:cs="Times Roman"/>
        </w:rPr>
        <w:t xml:space="preserve">This quantitative study will utilize a correlational design to examine </w:t>
      </w:r>
      <w:r w:rsidR="00F532CE">
        <w:rPr>
          <w:rFonts w:ascii="Times Roman" w:hAnsi="Times Roman" w:cs="Times Roman"/>
        </w:rPr>
        <w:t xml:space="preserve">whether there was a relationship between </w:t>
      </w:r>
      <w:r>
        <w:rPr>
          <w:rFonts w:ascii="Times Roman" w:hAnsi="Times Roman" w:cs="Times Roman"/>
        </w:rPr>
        <w:t xml:space="preserve">the </w:t>
      </w:r>
      <w:r w:rsidR="00F532CE">
        <w:rPr>
          <w:rFonts w:ascii="Times Roman" w:hAnsi="Times Roman" w:cs="Times Roman"/>
        </w:rPr>
        <w:t>Mental Health of 18 to 24 yea</w:t>
      </w:r>
      <w:r w:rsidR="007D35C9">
        <w:rPr>
          <w:rFonts w:ascii="Times Roman" w:hAnsi="Times Roman" w:cs="Times Roman"/>
        </w:rPr>
        <w:t>r</w:t>
      </w:r>
      <w:r w:rsidR="00F532CE">
        <w:rPr>
          <w:rFonts w:ascii="Times Roman" w:hAnsi="Times Roman" w:cs="Times Roman"/>
        </w:rPr>
        <w:t xml:space="preserve"> old young persons in Trinidad and Tobago and</w:t>
      </w:r>
      <w:r w:rsidR="007D35C9">
        <w:rPr>
          <w:rFonts w:ascii="Times Roman" w:hAnsi="Times Roman" w:cs="Times Roman"/>
        </w:rPr>
        <w:t xml:space="preserve"> </w:t>
      </w:r>
      <w:r w:rsidR="00F532CE">
        <w:rPr>
          <w:rFonts w:ascii="Times Roman" w:hAnsi="Times Roman" w:cs="Times Roman"/>
        </w:rPr>
        <w:t xml:space="preserve">their Religiosity during the COVID-19 pandemic </w:t>
      </w:r>
      <w:commentRangeStart w:id="26"/>
      <w:r w:rsidR="00F532CE">
        <w:rPr>
          <w:rFonts w:ascii="Times Roman" w:hAnsi="Times Roman" w:cs="Times Roman"/>
        </w:rPr>
        <w:t>lockdown,</w:t>
      </w:r>
      <w:commentRangeEnd w:id="26"/>
      <w:r w:rsidR="00F70B25">
        <w:rPr>
          <w:rStyle w:val="CommentReference"/>
          <w:rFonts w:asciiTheme="minorHAnsi" w:eastAsiaTheme="minorEastAsia" w:hAnsiTheme="minorHAnsi" w:cstheme="minorBidi"/>
        </w:rPr>
        <w:commentReference w:id="26"/>
      </w:r>
    </w:p>
    <w:p w14:paraId="4765C3E7" w14:textId="77777777" w:rsidR="00E705C8" w:rsidRDefault="00813CBB" w:rsidP="00E705C8">
      <w:pPr>
        <w:spacing w:line="480" w:lineRule="auto"/>
        <w:jc w:val="center"/>
      </w:pPr>
      <w:commentRangeStart w:id="27"/>
      <w:r>
        <w:t>Population and Sampling</w:t>
      </w:r>
      <w:commentRangeEnd w:id="27"/>
      <w:r w:rsidR="00F2153B">
        <w:rPr>
          <w:rStyle w:val="CommentReference"/>
        </w:rPr>
        <w:commentReference w:id="27"/>
      </w:r>
    </w:p>
    <w:p w14:paraId="26194F35" w14:textId="77777777" w:rsidR="00E705C8" w:rsidRDefault="00813CBB" w:rsidP="00E705C8">
      <w:pPr>
        <w:spacing w:line="480" w:lineRule="auto"/>
      </w:pPr>
      <w:r>
        <w:tab/>
      </w:r>
      <w:commentRangeStart w:id="28"/>
      <w:r>
        <w:t>The target population for this study will be 18 to 24-year-old young persons from the First Church of the Open Bible, San Fernando, Trinidad and Tobago.</w:t>
      </w:r>
      <w:commentRangeEnd w:id="28"/>
      <w:r w:rsidR="00F70B25">
        <w:rPr>
          <w:rStyle w:val="CommentReference"/>
        </w:rPr>
        <w:commentReference w:id="28"/>
      </w:r>
    </w:p>
    <w:p w14:paraId="34007960" w14:textId="77777777" w:rsidR="00E705C8" w:rsidRDefault="00813CBB" w:rsidP="00E705C8">
      <w:pPr>
        <w:spacing w:line="480" w:lineRule="auto"/>
        <w:jc w:val="center"/>
      </w:pPr>
      <w:commentRangeStart w:id="29"/>
      <w:r>
        <w:t>Hypotheses</w:t>
      </w:r>
      <w:commentRangeEnd w:id="29"/>
      <w:r w:rsidR="00F2153B">
        <w:rPr>
          <w:rStyle w:val="CommentReference"/>
        </w:rPr>
        <w:commentReference w:id="29"/>
      </w:r>
    </w:p>
    <w:p w14:paraId="113D188B" w14:textId="77777777" w:rsidR="00E705C8" w:rsidRDefault="00813CBB" w:rsidP="00E705C8">
      <w:pPr>
        <w:spacing w:line="480" w:lineRule="auto"/>
        <w:jc w:val="center"/>
      </w:pPr>
      <w:r>
        <w:t>Correlational</w:t>
      </w:r>
    </w:p>
    <w:p w14:paraId="6FE3369A" w14:textId="77777777" w:rsidR="00E705C8" w:rsidRDefault="00813CBB" w:rsidP="00E705C8">
      <w:pPr>
        <w:spacing w:line="480" w:lineRule="auto"/>
      </w:pPr>
      <w:r>
        <w:lastRenderedPageBreak/>
        <w:t>Ho: No statistically significant relationship exists</w:t>
      </w:r>
      <w:r w:rsidR="00702C2D">
        <w:t xml:space="preserve"> between</w:t>
      </w:r>
      <w:r w:rsidR="0055273E">
        <w:t xml:space="preserve"> Mental Health </w:t>
      </w:r>
      <w:r>
        <w:t xml:space="preserve">and </w:t>
      </w:r>
      <w:r w:rsidR="0055273E">
        <w:t xml:space="preserve">Religiosity among 18 24 –to 24-year-old </w:t>
      </w:r>
      <w:r>
        <w:t>Trinidad and Tobago</w:t>
      </w:r>
      <w:r w:rsidR="0055273E">
        <w:t xml:space="preserve"> young persons during the COVID-19 pandemic lockdown</w:t>
      </w:r>
      <w:r>
        <w:t>.</w:t>
      </w:r>
    </w:p>
    <w:p w14:paraId="7AB2B54B" w14:textId="77777777" w:rsidR="00E705C8" w:rsidRDefault="00813CBB" w:rsidP="00E705C8">
      <w:pPr>
        <w:spacing w:line="480" w:lineRule="auto"/>
      </w:pPr>
      <w:r>
        <w:t>Ha: A statistically significant relationship exists between</w:t>
      </w:r>
      <w:r w:rsidR="0055273E">
        <w:t xml:space="preserve"> Mental Health</w:t>
      </w:r>
      <w:r>
        <w:t xml:space="preserve"> and </w:t>
      </w:r>
      <w:r w:rsidR="0055273E">
        <w:t>Religiosity among 18 to 24-year-old young persons of Trinidad and Tobago during the COVID</w:t>
      </w:r>
      <w:r w:rsidR="00702C2D">
        <w:t>-</w:t>
      </w:r>
      <w:r w:rsidR="0055273E">
        <w:t xml:space="preserve">19 pandemic </w:t>
      </w:r>
      <w:r w:rsidR="00580885">
        <w:t>lockdown.</w:t>
      </w:r>
    </w:p>
    <w:p w14:paraId="34E1E81F" w14:textId="77777777" w:rsidR="00E705C8" w:rsidRDefault="00813CBB" w:rsidP="00E705C8">
      <w:pPr>
        <w:spacing w:line="480" w:lineRule="auto"/>
        <w:jc w:val="center"/>
      </w:pPr>
      <w:commentRangeStart w:id="30"/>
      <w:r>
        <w:t>Data Analysis</w:t>
      </w:r>
      <w:commentRangeEnd w:id="30"/>
      <w:r w:rsidR="00A90C8B">
        <w:rPr>
          <w:rStyle w:val="CommentReference"/>
        </w:rPr>
        <w:commentReference w:id="30"/>
      </w:r>
    </w:p>
    <w:p w14:paraId="5992BA10" w14:textId="77777777" w:rsidR="00E705C8" w:rsidRDefault="00813CBB" w:rsidP="00E705C8">
      <w:pPr>
        <w:spacing w:line="480" w:lineRule="auto"/>
      </w:pPr>
      <w:r>
        <w:tab/>
        <w:t>This study will test data for normality and relevant assumptions of appropriate statistical procedures. If data do not meet assumptions for parametric procedures (results apply to population), nonparametric procedures (results apply only to the sample) will be utilized.</w:t>
      </w:r>
    </w:p>
    <w:p w14:paraId="6CF8D89E" w14:textId="77777777" w:rsidR="00E705C8" w:rsidRDefault="00813CBB" w:rsidP="00E705C8">
      <w:pPr>
        <w:rPr>
          <w:rFonts w:ascii="Times New Roman" w:hAnsi="Times New Roman" w:cs="Times New Roman"/>
          <w:color w:val="000000"/>
        </w:rPr>
      </w:pPr>
      <w:commentRangeStart w:id="31"/>
      <w:commentRangeStart w:id="32"/>
      <w:r w:rsidRPr="00F3260C">
        <w:rPr>
          <w:rFonts w:ascii="Times New Roman" w:hAnsi="Times New Roman" w:cs="Times New Roman"/>
          <w:color w:val="000000"/>
        </w:rPr>
        <w:t xml:space="preserve">This study </w:t>
      </w:r>
      <w:commentRangeEnd w:id="31"/>
      <w:r w:rsidR="00A90C8B">
        <w:rPr>
          <w:rStyle w:val="CommentReference"/>
        </w:rPr>
        <w:commentReference w:id="31"/>
      </w:r>
      <w:r w:rsidRPr="00F3260C">
        <w:rPr>
          <w:rFonts w:ascii="Times New Roman" w:hAnsi="Times New Roman" w:cs="Times New Roman"/>
          <w:color w:val="000000"/>
        </w:rPr>
        <w:t xml:space="preserve">will utilize Pearson's Product Moment of Correlation (parametric) </w:t>
      </w:r>
      <w:r>
        <w:rPr>
          <w:rFonts w:ascii="Times New Roman" w:hAnsi="Times New Roman" w:cs="Times New Roman"/>
          <w:color w:val="000000"/>
        </w:rPr>
        <w:t xml:space="preserve">to measure </w:t>
      </w:r>
    </w:p>
    <w:p w14:paraId="16E1CBA8" w14:textId="77777777" w:rsidR="00813CBB" w:rsidRDefault="00813CBB" w:rsidP="00E705C8">
      <w:pPr>
        <w:rPr>
          <w:rFonts w:ascii="Times New Roman" w:hAnsi="Times New Roman" w:cs="Times New Roman"/>
          <w:color w:val="000000"/>
        </w:rPr>
      </w:pPr>
    </w:p>
    <w:p w14:paraId="219B1951" w14:textId="77777777" w:rsidR="00E705C8" w:rsidRDefault="00813CBB" w:rsidP="00E705C8">
      <w:pPr>
        <w:rPr>
          <w:rFonts w:ascii="Times New Roman" w:hAnsi="Times New Roman" w:cs="Times New Roman"/>
          <w:color w:val="000000"/>
        </w:rPr>
      </w:pPr>
      <w:r>
        <w:rPr>
          <w:rFonts w:ascii="Times New Roman" w:hAnsi="Times New Roman" w:cs="Times New Roman"/>
          <w:color w:val="000000"/>
        </w:rPr>
        <w:t xml:space="preserve">the linear relationship between the two variables </w:t>
      </w:r>
      <w:r w:rsidRPr="00F3260C">
        <w:rPr>
          <w:rFonts w:ascii="Times New Roman" w:hAnsi="Times New Roman" w:cs="Times New Roman"/>
          <w:color w:val="000000"/>
        </w:rPr>
        <w:t xml:space="preserve">or Spearman's Rank Correlation </w:t>
      </w:r>
    </w:p>
    <w:p w14:paraId="6F4EB0AA" w14:textId="77777777" w:rsidR="00813CBB" w:rsidRDefault="00813CBB" w:rsidP="00E705C8">
      <w:pPr>
        <w:rPr>
          <w:rFonts w:ascii="Times New Roman" w:hAnsi="Times New Roman" w:cs="Times New Roman"/>
          <w:color w:val="000000"/>
        </w:rPr>
      </w:pPr>
    </w:p>
    <w:p w14:paraId="2E34CE97" w14:textId="57D4B8C8" w:rsidR="00E705C8" w:rsidRPr="009D1D31" w:rsidRDefault="00813CBB" w:rsidP="00E705C8">
      <w:pPr>
        <w:rPr>
          <w:rFonts w:ascii="Times New Roman" w:hAnsi="Times New Roman" w:cs="Times New Roman"/>
          <w:color w:val="000000"/>
        </w:rPr>
      </w:pPr>
      <w:r w:rsidRPr="00F3260C">
        <w:rPr>
          <w:rFonts w:ascii="Times New Roman" w:hAnsi="Times New Roman" w:cs="Times New Roman"/>
          <w:color w:val="000000"/>
        </w:rPr>
        <w:t>(</w:t>
      </w:r>
      <w:r w:rsidR="00552436" w:rsidRPr="00F3260C">
        <w:rPr>
          <w:rFonts w:ascii="Times New Roman" w:hAnsi="Times New Roman" w:cs="Times New Roman"/>
          <w:color w:val="000000"/>
        </w:rPr>
        <w:t>Nonparametric</w:t>
      </w:r>
      <w:r w:rsidRPr="00F3260C">
        <w:rPr>
          <w:rFonts w:ascii="Times New Roman" w:hAnsi="Times New Roman" w:cs="Times New Roman"/>
          <w:color w:val="000000"/>
        </w:rPr>
        <w:t>) to test the hypotheses for statistically significant relationships.</w:t>
      </w:r>
      <w:commentRangeEnd w:id="32"/>
      <w:r w:rsidR="004859FC">
        <w:rPr>
          <w:rStyle w:val="CommentReference"/>
        </w:rPr>
        <w:commentReference w:id="32"/>
      </w:r>
    </w:p>
    <w:p w14:paraId="3AE6503F" w14:textId="77777777" w:rsidR="00E705C8" w:rsidRPr="00F3260C" w:rsidRDefault="00E705C8" w:rsidP="00E705C8">
      <w:pPr>
        <w:rPr>
          <w:rFonts w:ascii="Times New Roman" w:eastAsia="Times New Roman" w:hAnsi="Times New Roman" w:cs="Times New Roman"/>
          <w:sz w:val="20"/>
          <w:szCs w:val="20"/>
        </w:rPr>
      </w:pPr>
    </w:p>
    <w:p w14:paraId="30A14F1D" w14:textId="77777777" w:rsidR="00E705C8" w:rsidRDefault="00E705C8" w:rsidP="00E705C8">
      <w:pPr>
        <w:spacing w:line="480" w:lineRule="auto"/>
      </w:pPr>
    </w:p>
    <w:p w14:paraId="3764D74A" w14:textId="77777777" w:rsidR="00E705C8" w:rsidRDefault="004859FC" w:rsidP="00E705C8">
      <w:pPr>
        <w:spacing w:line="480" w:lineRule="auto"/>
      </w:pPr>
      <w:commentRangeStart w:id="33"/>
      <w:commentRangeEnd w:id="33"/>
      <w:r>
        <w:rPr>
          <w:rStyle w:val="CommentReference"/>
        </w:rPr>
        <w:commentReference w:id="33"/>
      </w:r>
    </w:p>
    <w:p w14:paraId="787B2499" w14:textId="77777777" w:rsidR="009A442F" w:rsidRDefault="009A442F" w:rsidP="00E705C8">
      <w:pPr>
        <w:spacing w:line="480" w:lineRule="auto"/>
      </w:pPr>
    </w:p>
    <w:p w14:paraId="75577151" w14:textId="77777777" w:rsidR="009A442F" w:rsidRDefault="009A442F" w:rsidP="009A442F">
      <w:pPr>
        <w:rPr>
          <w:b/>
          <w:bCs/>
          <w:color w:val="FF0000"/>
        </w:rPr>
      </w:pPr>
      <w:r w:rsidRPr="009A442F">
        <w:rPr>
          <w:b/>
          <w:bCs/>
          <w:color w:val="FF0000"/>
        </w:rPr>
        <w:t xml:space="preserve">Good job on your Prospectus for SR 812-78, Yvette! Note my extensive feedback, especially on punctuation issues. Also, there was no Works Cited list! I look forward to seeing your Works cited. </w:t>
      </w:r>
    </w:p>
    <w:p w14:paraId="2DB2C07B" w14:textId="77777777" w:rsidR="009A442F" w:rsidRDefault="009A442F" w:rsidP="009A442F">
      <w:pPr>
        <w:rPr>
          <w:b/>
          <w:bCs/>
          <w:color w:val="FF0000"/>
        </w:rPr>
      </w:pPr>
    </w:p>
    <w:p w14:paraId="38EDB9E8" w14:textId="7BADCB81" w:rsidR="009A442F" w:rsidRPr="009A442F" w:rsidRDefault="009A442F" w:rsidP="009A442F">
      <w:pPr>
        <w:rPr>
          <w:b/>
          <w:bCs/>
          <w:color w:val="FF0000"/>
        </w:rPr>
      </w:pPr>
      <w:r>
        <w:rPr>
          <w:b/>
          <w:bCs/>
          <w:color w:val="FF0000"/>
        </w:rPr>
        <w:t>Note the</w:t>
      </w:r>
      <w:r w:rsidRPr="009A442F">
        <w:rPr>
          <w:b/>
          <w:bCs/>
          <w:color w:val="FF0000"/>
        </w:rPr>
        <w:t xml:space="preserve"> specific question I listed in the feedback on page 5:</w:t>
      </w:r>
    </w:p>
    <w:p w14:paraId="1301D2F9" w14:textId="77777777" w:rsidR="009A442F" w:rsidRPr="009A442F" w:rsidRDefault="009A442F" w:rsidP="009A442F">
      <w:pPr>
        <w:rPr>
          <w:b/>
          <w:bCs/>
          <w:color w:val="FF0000"/>
        </w:rPr>
      </w:pPr>
      <w:r w:rsidRPr="009A442F">
        <w:rPr>
          <w:b/>
          <w:bCs/>
          <w:color w:val="FF0000"/>
        </w:rPr>
        <w:t xml:space="preserve">Punctuation: Vishkin et al., (2014 as cited in Fatima et al. 2022) stated…. I supposed your practice of repeatedly citing scholars citing other scholars’ older research makes the older research still relevant. I would be curious to know what Dr. Taladay or Dr. J. Reichard would say about the practice? </w:t>
      </w:r>
    </w:p>
    <w:p w14:paraId="48075E31" w14:textId="77777777" w:rsidR="009A442F" w:rsidRPr="009A442F" w:rsidRDefault="009A442F" w:rsidP="009A442F">
      <w:pPr>
        <w:rPr>
          <w:b/>
          <w:bCs/>
          <w:color w:val="FF0000"/>
        </w:rPr>
      </w:pPr>
      <w:r w:rsidRPr="009A442F">
        <w:rPr>
          <w:b/>
          <w:bCs/>
          <w:color w:val="FF0000"/>
        </w:rPr>
        <w:t>Keep pressing on toward your goal of completing your important research!</w:t>
      </w:r>
    </w:p>
    <w:p w14:paraId="27167EDF" w14:textId="5DB55F6E" w:rsidR="009A442F" w:rsidRPr="009A442F" w:rsidRDefault="009A442F" w:rsidP="009A442F">
      <w:pPr>
        <w:rPr>
          <w:b/>
          <w:bCs/>
          <w:color w:val="FF0000"/>
        </w:rPr>
      </w:pPr>
      <w:r w:rsidRPr="009A442F">
        <w:rPr>
          <w:b/>
          <w:bCs/>
          <w:color w:val="FF0000"/>
        </w:rPr>
        <w:t>Prof. David Ward</w:t>
      </w:r>
    </w:p>
    <w:p w14:paraId="32A3FDDC" w14:textId="77777777" w:rsidR="00E705C8" w:rsidRDefault="00E705C8" w:rsidP="001C3BC9">
      <w:pPr>
        <w:pStyle w:val="BodyText"/>
        <w:rPr>
          <w:rFonts w:ascii="Times Roman" w:hAnsi="Times Roman" w:cs="Times Roman"/>
        </w:rPr>
      </w:pPr>
    </w:p>
    <w:p w14:paraId="584EC1CE" w14:textId="77777777" w:rsidR="00426424" w:rsidRDefault="00426424" w:rsidP="000C3ABB">
      <w:pPr>
        <w:spacing w:line="480" w:lineRule="auto"/>
      </w:pPr>
    </w:p>
    <w:sectPr w:rsidR="00426424" w:rsidSect="000931FA">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04-05T11:08:00Z" w:initials="DW">
    <w:p w14:paraId="45308222" w14:textId="252D3A97" w:rsidR="00BD6395" w:rsidRDefault="00BD6395">
      <w:pPr>
        <w:pStyle w:val="CommentText"/>
      </w:pPr>
      <w:r>
        <w:rPr>
          <w:rStyle w:val="CommentReference"/>
        </w:rPr>
        <w:annotationRef/>
      </w:r>
      <w:r>
        <w:t>Problem statement should end at lockdown: “…</w:t>
      </w:r>
      <w:r w:rsidRPr="00BD6395">
        <w:t xml:space="preserve"> </w:t>
      </w:r>
      <w:r>
        <w:t>pandemic lockdown.”</w:t>
      </w:r>
    </w:p>
    <w:p w14:paraId="10BB710B" w14:textId="3B78E1B0" w:rsidR="00BD6395" w:rsidRDefault="00BD6395">
      <w:pPr>
        <w:pStyle w:val="CommentText"/>
      </w:pPr>
      <w:r>
        <w:t>The following sentence is not a problem statement. It is a reason religion promotes mental health.</w:t>
      </w:r>
    </w:p>
    <w:p w14:paraId="2138AC1D" w14:textId="7F90D401" w:rsidR="00BD6395" w:rsidRDefault="00BD6395">
      <w:pPr>
        <w:pStyle w:val="CommentText"/>
      </w:pPr>
      <w:r>
        <w:t xml:space="preserve">“Research </w:t>
      </w:r>
      <w:r>
        <w:rPr>
          <w:rStyle w:val="CommentReference"/>
        </w:rPr>
        <w:annotationRef/>
      </w:r>
      <w:r>
        <w:t>shows that Religiosity serves …”</w:t>
      </w:r>
    </w:p>
  </w:comment>
  <w:comment w:id="1" w:author="David Ward" w:date="2024-04-04T13:05:00Z" w:initials="DW">
    <w:p w14:paraId="1AE29244" w14:textId="77777777" w:rsidR="006E0717" w:rsidRDefault="006E0717">
      <w:pPr>
        <w:pStyle w:val="CommentText"/>
      </w:pPr>
      <w:r>
        <w:rPr>
          <w:rStyle w:val="CommentReference"/>
        </w:rPr>
        <w:annotationRef/>
      </w:r>
      <w:r>
        <w:t>Not bold.</w:t>
      </w:r>
    </w:p>
    <w:p w14:paraId="298919C3" w14:textId="77777777" w:rsidR="006E0717" w:rsidRDefault="006E0717">
      <w:pPr>
        <w:pStyle w:val="CommentText"/>
      </w:pPr>
    </w:p>
    <w:p w14:paraId="2F3B133C" w14:textId="64B025B0" w:rsidR="006E0717" w:rsidRDefault="006E0717">
      <w:pPr>
        <w:pStyle w:val="CommentText"/>
      </w:pPr>
      <w:r>
        <w:t>THERE IS NO WORKS CITED AT THE END?</w:t>
      </w:r>
    </w:p>
  </w:comment>
  <w:comment w:id="2" w:author="David Ward" w:date="2024-04-09T09:54:00Z" w:initials="DW">
    <w:p w14:paraId="2AE4B46F" w14:textId="62C8615A" w:rsidR="009A442F" w:rsidRDefault="009A442F">
      <w:pPr>
        <w:pStyle w:val="CommentText"/>
      </w:pPr>
      <w:r>
        <w:rPr>
          <w:rStyle w:val="CommentReference"/>
        </w:rPr>
        <w:annotationRef/>
      </w:r>
      <w:r>
        <w:t>Should only be ½ inch indent.</w:t>
      </w:r>
    </w:p>
  </w:comment>
  <w:comment w:id="3" w:author="David Ward" w:date="2024-04-09T09:55:00Z" w:initials="DW">
    <w:p w14:paraId="73F1BCBE" w14:textId="72A65F27" w:rsidR="009A442F" w:rsidRDefault="009A442F">
      <w:pPr>
        <w:pStyle w:val="CommentText"/>
      </w:pPr>
      <w:r w:rsidRPr="009A442F">
        <w:t xml:space="preserve">Punctuation: </w:t>
      </w:r>
      <w:r w:rsidRPr="009A442F">
        <w:rPr>
          <w:color w:val="FF0000"/>
        </w:rPr>
        <w:t>(</w:t>
      </w:r>
      <w:r w:rsidRPr="009A442F">
        <w:rPr>
          <w:rStyle w:val="CommentReference"/>
          <w:color w:val="FF0000"/>
        </w:rPr>
        <w:annotationRef/>
      </w:r>
      <w:r w:rsidRPr="009A442F">
        <w:rPr>
          <w:color w:val="FF0000"/>
        </w:rPr>
        <w:t>2013 as cited in</w:t>
      </w:r>
      <w:r w:rsidRPr="009A442F">
        <w:rPr>
          <w:color w:val="FF0000"/>
        </w:rPr>
        <w:t xml:space="preserve"> </w:t>
      </w:r>
      <w:r w:rsidRPr="009A442F">
        <w:t>Upinieks &amp; Ellison, 2022) posited that</w:t>
      </w:r>
      <w:r>
        <w:t>…</w:t>
      </w:r>
    </w:p>
  </w:comment>
  <w:comment w:id="4" w:author="David Ward" w:date="2024-04-09T06:48:00Z" w:initials="DW">
    <w:p w14:paraId="5BD0B722" w14:textId="15C06A74" w:rsidR="004859FC" w:rsidRDefault="004859FC">
      <w:pPr>
        <w:pStyle w:val="CommentText"/>
      </w:pPr>
      <w:r>
        <w:rPr>
          <w:rStyle w:val="CommentReference"/>
        </w:rPr>
        <w:annotationRef/>
      </w:r>
      <w:r>
        <w:t xml:space="preserve">Level One Heading are </w:t>
      </w:r>
      <w:r w:rsidRPr="004859FC">
        <w:rPr>
          <w:b/>
          <w:bCs/>
        </w:rPr>
        <w:t>Bold</w:t>
      </w:r>
      <w:r>
        <w:t>, Centered, Title Case.</w:t>
      </w:r>
    </w:p>
  </w:comment>
  <w:comment w:id="5" w:author="David Ward" w:date="2024-04-09T06:49:00Z" w:initials="DW">
    <w:p w14:paraId="6D1C027D" w14:textId="7E6F819C" w:rsidR="004859FC" w:rsidRDefault="004859FC">
      <w:pPr>
        <w:pStyle w:val="CommentText"/>
      </w:pPr>
      <w:r>
        <w:rPr>
          <w:rStyle w:val="CommentReference"/>
        </w:rPr>
        <w:annotationRef/>
      </w:r>
      <w:r>
        <w:t xml:space="preserve">Level One Heading are </w:t>
      </w:r>
      <w:r w:rsidRPr="004859FC">
        <w:rPr>
          <w:b/>
          <w:bCs/>
        </w:rPr>
        <w:t>Bold</w:t>
      </w:r>
      <w:r>
        <w:t>, Centered, Title Case.</w:t>
      </w:r>
    </w:p>
  </w:comment>
  <w:comment w:id="6" w:author="David Ward" w:date="2024-04-09T06:48:00Z" w:initials="DW">
    <w:p w14:paraId="74B020D0" w14:textId="16CC47B1" w:rsidR="00571B4F" w:rsidRDefault="00571B4F">
      <w:pPr>
        <w:pStyle w:val="CommentText"/>
      </w:pPr>
      <w:r>
        <w:rPr>
          <w:rStyle w:val="CommentReference"/>
        </w:rPr>
        <w:annotationRef/>
      </w:r>
      <w:r w:rsidR="004859FC">
        <w:t xml:space="preserve">Level One Heading are </w:t>
      </w:r>
      <w:r w:rsidR="004859FC" w:rsidRPr="004859FC">
        <w:rPr>
          <w:b/>
          <w:bCs/>
        </w:rPr>
        <w:t>Bold</w:t>
      </w:r>
      <w:r w:rsidR="004859FC">
        <w:t>, Centered, Title Case.</w:t>
      </w:r>
    </w:p>
  </w:comment>
  <w:comment w:id="7" w:author="David Ward" w:date="2024-04-09T06:44:00Z" w:initials="DW">
    <w:p w14:paraId="210C0DD3" w14:textId="77777777" w:rsidR="00571B4F" w:rsidRDefault="00571B4F">
      <w:pPr>
        <w:pStyle w:val="CommentText"/>
      </w:pPr>
      <w:r>
        <w:rPr>
          <w:rStyle w:val="CommentReference"/>
        </w:rPr>
        <w:annotationRef/>
      </w:r>
      <w:r w:rsidR="004859FC">
        <w:t xml:space="preserve">Level One Heading are </w:t>
      </w:r>
      <w:r w:rsidR="004859FC" w:rsidRPr="004859FC">
        <w:rPr>
          <w:b/>
          <w:bCs/>
        </w:rPr>
        <w:t>Bold</w:t>
      </w:r>
      <w:r w:rsidR="004859FC">
        <w:t>, Centered, Title Case.</w:t>
      </w:r>
    </w:p>
    <w:p w14:paraId="6195D93C" w14:textId="58049A9C" w:rsidR="00D95DC6" w:rsidRPr="00571B4F" w:rsidRDefault="00D95DC6">
      <w:pPr>
        <w:pStyle w:val="CommentText"/>
        <w:rPr>
          <w:b/>
          <w:bCs/>
        </w:rPr>
      </w:pPr>
      <w:r>
        <w:t>This is a wonderful foreshadowing for your eventual literature review.</w:t>
      </w:r>
    </w:p>
  </w:comment>
  <w:comment w:id="8" w:author="David Ward" w:date="2024-04-09T09:07:00Z" w:initials="DW">
    <w:p w14:paraId="42DB08D3" w14:textId="400FD7E9" w:rsidR="000045E9" w:rsidRDefault="000045E9">
      <w:pPr>
        <w:pStyle w:val="CommentText"/>
      </w:pPr>
      <w:r>
        <w:rPr>
          <w:rStyle w:val="CommentReference"/>
        </w:rPr>
        <w:annotationRef/>
      </w:r>
      <w:r>
        <w:t>This is a nice clear thesis for your theoretical framework which will go into your literature review Chapter 2 of your dissertation.</w:t>
      </w:r>
    </w:p>
  </w:comment>
  <w:comment w:id="9" w:author="David Ward" w:date="2024-04-09T07:23:00Z" w:initials="DW">
    <w:p w14:paraId="19F5173B" w14:textId="3C3214A2" w:rsidR="00D95DC6" w:rsidRDefault="00D95DC6">
      <w:pPr>
        <w:pStyle w:val="CommentText"/>
      </w:pPr>
      <w:r>
        <w:rPr>
          <w:rStyle w:val="CommentReference"/>
        </w:rPr>
        <w:annotationRef/>
      </w:r>
      <w:r>
        <w:t>Comma needed …</w:t>
      </w:r>
      <w:r w:rsidRPr="00D95DC6">
        <w:rPr>
          <w:color w:val="FF0000"/>
        </w:rPr>
        <w:t>f</w:t>
      </w:r>
      <w:r w:rsidRPr="00D95DC6">
        <w:rPr>
          <w:color w:val="FF0000"/>
        </w:rPr>
        <w:t>eelings</w:t>
      </w:r>
      <w:r w:rsidRPr="00D95DC6">
        <w:rPr>
          <w:color w:val="FF0000"/>
        </w:rPr>
        <w:t>,</w:t>
      </w:r>
      <w:r w:rsidRPr="00D95DC6">
        <w:rPr>
          <w:color w:val="FF0000"/>
        </w:rPr>
        <w:t xml:space="preserve"> and</w:t>
      </w:r>
      <w:r>
        <w:rPr>
          <w:color w:val="FF0000"/>
        </w:rPr>
        <w:t>…</w:t>
      </w:r>
    </w:p>
  </w:comment>
  <w:comment w:id="10" w:author="David Ward" w:date="2024-04-09T07:25:00Z" w:initials="DW">
    <w:p w14:paraId="684E6FED" w14:textId="33F138DE" w:rsidR="00D95DC6" w:rsidRDefault="00D95DC6">
      <w:pPr>
        <w:pStyle w:val="CommentText"/>
      </w:pPr>
      <w:r>
        <w:rPr>
          <w:rStyle w:val="CommentReference"/>
        </w:rPr>
        <w:annotationRef/>
      </w:r>
      <w:r>
        <w:t>…which is the focus of this study.</w:t>
      </w:r>
    </w:p>
  </w:comment>
  <w:comment w:id="11" w:author="David Ward" w:date="2024-04-09T09:10:00Z" w:initials="DW">
    <w:p w14:paraId="2A852BF9" w14:textId="0DBA2A3E" w:rsidR="000045E9" w:rsidRDefault="000045E9">
      <w:pPr>
        <w:pStyle w:val="CommentText"/>
      </w:pPr>
      <w:r>
        <w:rPr>
          <w:rStyle w:val="CommentReference"/>
        </w:rPr>
        <w:annotationRef/>
      </w:r>
      <w:r>
        <w:t>Stylistically, try to avoid numbers right after punctuaction in a compound sentence: …</w:t>
      </w:r>
      <w:r w:rsidRPr="000045E9">
        <w:rPr>
          <w:rFonts w:ascii="Times Roman" w:hAnsi="Times Roman" w:cs="Times Roman"/>
        </w:rPr>
        <w:t xml:space="preserve"> </w:t>
      </w:r>
      <w:r>
        <w:rPr>
          <w:rFonts w:ascii="Times Roman" w:hAnsi="Times Roman" w:cs="Times Roman"/>
        </w:rPr>
        <w:t>pandemic;</w:t>
      </w:r>
      <w:r>
        <w:rPr>
          <w:rFonts w:ascii="Times Roman" w:hAnsi="Times Roman" w:cs="Times Roman"/>
        </w:rPr>
        <w:t xml:space="preserve"> </w:t>
      </w:r>
      <w:r w:rsidRPr="000045E9">
        <w:rPr>
          <w:rFonts w:ascii="Times Roman" w:hAnsi="Times Roman" w:cs="Times Roman"/>
          <w:color w:val="FF0000"/>
        </w:rPr>
        <w:t xml:space="preserve">in fact, </w:t>
      </w:r>
      <w:r w:rsidRPr="000045E9">
        <w:rPr>
          <w:rFonts w:ascii="Times Roman" w:hAnsi="Times Roman" w:cs="Times Roman"/>
          <w:color w:val="FF0000"/>
        </w:rPr>
        <w:t xml:space="preserve"> </w:t>
      </w:r>
      <w:r>
        <w:rPr>
          <w:rFonts w:ascii="Times Roman" w:hAnsi="Times Roman" w:cs="Times Roman"/>
        </w:rPr>
        <w:t>75%</w:t>
      </w:r>
      <w:r>
        <w:rPr>
          <w:rFonts w:ascii="Times Roman" w:hAnsi="Times Roman" w:cs="Times Roman"/>
        </w:rPr>
        <w:t xml:space="preserve"> reported…</w:t>
      </w:r>
    </w:p>
  </w:comment>
  <w:comment w:id="12" w:author="David Ward" w:date="2024-04-09T09:12:00Z" w:initials="DW">
    <w:p w14:paraId="39F34B50" w14:textId="254C6ADD" w:rsidR="000045E9" w:rsidRDefault="000045E9">
      <w:pPr>
        <w:pStyle w:val="CommentText"/>
      </w:pPr>
      <w:r>
        <w:rPr>
          <w:rStyle w:val="CommentReference"/>
        </w:rPr>
        <w:annotationRef/>
      </w:r>
      <w:r>
        <w:t>Word choice: … “shown” is a better word in social research than “proven” since it deals in probabilities.</w:t>
      </w:r>
    </w:p>
  </w:comment>
  <w:comment w:id="13" w:author="David Ward" w:date="2024-04-09T09:13:00Z" w:initials="DW">
    <w:p w14:paraId="03D33BEC" w14:textId="6F7AFB99" w:rsidR="000045E9" w:rsidRDefault="000045E9">
      <w:pPr>
        <w:pStyle w:val="CommentText"/>
      </w:pPr>
      <w:r>
        <w:rPr>
          <w:rStyle w:val="CommentReference"/>
        </w:rPr>
        <w:annotationRef/>
      </w:r>
      <w:r>
        <w:t xml:space="preserve">It would be better to find the </w:t>
      </w:r>
      <w:r>
        <w:t xml:space="preserve">Schwalm et al., </w:t>
      </w:r>
      <w:r>
        <w:t>(</w:t>
      </w:r>
      <w:r>
        <w:t>2021</w:t>
      </w:r>
      <w:r>
        <w:t>) source and cite in directly. Also note:</w:t>
      </w:r>
    </w:p>
    <w:p w14:paraId="230936F1" w14:textId="2C4C0029" w:rsidR="000045E9" w:rsidRDefault="000045E9">
      <w:pPr>
        <w:pStyle w:val="CommentText"/>
      </w:pPr>
      <w:r>
        <w:t xml:space="preserve">Manning </w:t>
      </w:r>
      <w:r w:rsidRPr="000045E9">
        <w:rPr>
          <w:color w:val="FF0000"/>
        </w:rPr>
        <w:t>(</w:t>
      </w:r>
      <w:r w:rsidRPr="000045E9">
        <w:rPr>
          <w:color w:val="FF0000"/>
        </w:rPr>
        <w:t xml:space="preserve">2013 </w:t>
      </w:r>
      <w:r>
        <w:t xml:space="preserve">as cited in Schwalm et al., 2021, p. </w:t>
      </w:r>
      <w:r w:rsidRPr="000045E9">
        <w:rPr>
          <w:color w:val="FF0000"/>
        </w:rPr>
        <w:t>2)</w:t>
      </w:r>
      <w:r w:rsidRPr="000045E9">
        <w:rPr>
          <w:color w:val="FF0000"/>
        </w:rPr>
        <w:t>,</w:t>
      </w:r>
      <w:r w:rsidRPr="000045E9">
        <w:rPr>
          <w:color w:val="FF0000"/>
        </w:rPr>
        <w:t xml:space="preserve"> </w:t>
      </w:r>
      <w:r>
        <w:t xml:space="preserve">described spirituality "as a path to </w:t>
      </w:r>
      <w:r w:rsidRPr="000045E9">
        <w:rPr>
          <w:color w:val="FF0000"/>
        </w:rPr>
        <w:t xml:space="preserve">resilience" </w:t>
      </w:r>
      <w:r w:rsidRPr="000045E9">
        <w:rPr>
          <w:color w:val="FF0000"/>
        </w:rPr>
        <w:t>(</w:t>
      </w:r>
      <w:r w:rsidRPr="000045E9">
        <w:rPr>
          <w:color w:val="FF0000"/>
        </w:rPr>
        <w:t>p. 2</w:t>
      </w:r>
      <w:r w:rsidRPr="000045E9">
        <w:rPr>
          <w:color w:val="FF0000"/>
        </w:rPr>
        <w:t>)</w:t>
      </w:r>
      <w:r w:rsidRPr="000045E9">
        <w:rPr>
          <w:color w:val="FF0000"/>
        </w:rPr>
        <w:t>.</w:t>
      </w:r>
    </w:p>
  </w:comment>
  <w:comment w:id="14" w:author="David Ward" w:date="2024-04-09T09:17:00Z" w:initials="DW">
    <w:p w14:paraId="0E6374C3" w14:textId="1EA1C26E" w:rsidR="002439DC" w:rsidRDefault="000045E9">
      <w:pPr>
        <w:pStyle w:val="CommentText"/>
      </w:pPr>
      <w:r>
        <w:rPr>
          <w:rStyle w:val="CommentReference"/>
        </w:rPr>
        <w:annotationRef/>
      </w:r>
      <w:r w:rsidR="002439DC">
        <w:t>Are these words in a list of five items capitalized in the quote, “</w:t>
      </w:r>
      <w:r w:rsidR="002439DC">
        <w:t>Depression, Anxiety, Stress</w:t>
      </w:r>
      <w:r w:rsidR="002439DC">
        <w:t>”?</w:t>
      </w:r>
    </w:p>
    <w:p w14:paraId="11967C6B" w14:textId="3065DD81" w:rsidR="000045E9" w:rsidRDefault="002439DC">
      <w:pPr>
        <w:pStyle w:val="CommentText"/>
      </w:pPr>
      <w:r>
        <w:t xml:space="preserve">Punctuation: </w:t>
      </w:r>
      <w:r w:rsidR="000045E9">
        <w:t>cited Moreira-Almeida et al.</w:t>
      </w:r>
      <w:r w:rsidR="000045E9" w:rsidRPr="000045E9">
        <w:rPr>
          <w:color w:val="FF0000"/>
        </w:rPr>
        <w:t xml:space="preserve">, </w:t>
      </w:r>
      <w:r w:rsidR="000045E9" w:rsidRPr="000045E9">
        <w:rPr>
          <w:color w:val="FF0000"/>
        </w:rPr>
        <w:t>(</w:t>
      </w:r>
      <w:r w:rsidR="000045E9" w:rsidRPr="000045E9">
        <w:rPr>
          <w:color w:val="FF0000"/>
        </w:rPr>
        <w:t>2014</w:t>
      </w:r>
      <w:r w:rsidR="000045E9" w:rsidRPr="000045E9">
        <w:rPr>
          <w:color w:val="FF0000"/>
        </w:rPr>
        <w:t>)</w:t>
      </w:r>
      <w:r w:rsidR="000045E9" w:rsidRPr="000045E9">
        <w:rPr>
          <w:color w:val="FF0000"/>
        </w:rPr>
        <w:t xml:space="preserve"> </w:t>
      </w:r>
      <w:r w:rsidR="000045E9">
        <w:t>who</w:t>
      </w:r>
    </w:p>
  </w:comment>
  <w:comment w:id="15" w:author="David Ward" w:date="2024-04-09T09:23:00Z" w:initials="DW">
    <w:p w14:paraId="02D85288" w14:textId="63CF58ED" w:rsidR="002439DC" w:rsidRDefault="002439DC">
      <w:pPr>
        <w:pStyle w:val="CommentText"/>
      </w:pPr>
      <w:r>
        <w:rPr>
          <w:rStyle w:val="CommentReference"/>
        </w:rPr>
        <w:annotationRef/>
      </w:r>
      <w:r>
        <w:t xml:space="preserve">Punctuation: </w:t>
      </w:r>
      <w:r w:rsidRPr="002439DC">
        <w:rPr>
          <w:color w:val="FF0000"/>
        </w:rPr>
        <w:t>(</w:t>
      </w:r>
      <w:r w:rsidRPr="002439DC">
        <w:rPr>
          <w:color w:val="FF0000"/>
        </w:rPr>
        <w:t xml:space="preserve">2011 </w:t>
      </w:r>
      <w:r>
        <w:t>cited in Schwalm et al., 2021</w:t>
      </w:r>
      <w:r w:rsidRPr="002439DC">
        <w:rPr>
          <w:color w:val="FF0000"/>
        </w:rPr>
        <w:t>)</w:t>
      </w:r>
      <w:r w:rsidRPr="002439DC">
        <w:rPr>
          <w:color w:val="FF0000"/>
        </w:rPr>
        <w:t xml:space="preserve">, </w:t>
      </w:r>
      <w:r>
        <w:t xml:space="preserve">noted </w:t>
      </w:r>
      <w:r>
        <w:t xml:space="preserve">that </w:t>
      </w:r>
      <w:r w:rsidRPr="002439DC">
        <w:rPr>
          <w:color w:val="FF0000"/>
        </w:rPr>
        <w:t xml:space="preserve">religiosity/spirituality </w:t>
      </w:r>
      <w:r>
        <w:t>can also enable</w:t>
      </w:r>
      <w:r>
        <w:t>….:</w:t>
      </w:r>
    </w:p>
  </w:comment>
  <w:comment w:id="16" w:author="David Ward" w:date="2024-04-09T09:26:00Z" w:initials="DW">
    <w:p w14:paraId="3C8879A8" w14:textId="033A91DB" w:rsidR="002439DC" w:rsidRDefault="002439DC">
      <w:pPr>
        <w:pStyle w:val="CommentText"/>
      </w:pPr>
      <w:r>
        <w:rPr>
          <w:rStyle w:val="CommentReference"/>
        </w:rPr>
        <w:annotationRef/>
      </w:r>
      <w:r>
        <w:t xml:space="preserve">Punctuation: </w:t>
      </w:r>
      <w:r>
        <w:t>…</w:t>
      </w:r>
      <w:r>
        <w:t xml:space="preserve">Xudoyoulova </w:t>
      </w:r>
      <w:r w:rsidRPr="002439DC">
        <w:rPr>
          <w:color w:val="FF0000"/>
        </w:rPr>
        <w:t>(</w:t>
      </w:r>
      <w:r w:rsidRPr="002439DC">
        <w:rPr>
          <w:color w:val="FF0000"/>
        </w:rPr>
        <w:t>2023</w:t>
      </w:r>
      <w:r w:rsidRPr="002439DC">
        <w:rPr>
          <w:color w:val="FF0000"/>
        </w:rPr>
        <w:t>)</w:t>
      </w:r>
      <w:r w:rsidRPr="002439DC">
        <w:rPr>
          <w:color w:val="FF0000"/>
        </w:rPr>
        <w:t xml:space="preserve"> </w:t>
      </w:r>
      <w:r>
        <w:t>identified</w:t>
      </w:r>
      <w:r>
        <w:t>…</w:t>
      </w:r>
    </w:p>
  </w:comment>
  <w:comment w:id="17" w:author="David Ward" w:date="2024-04-09T09:28:00Z" w:initials="DW">
    <w:p w14:paraId="7945E3BC" w14:textId="1E8BD75A" w:rsidR="005825E1" w:rsidRDefault="005825E1">
      <w:pPr>
        <w:pStyle w:val="CommentText"/>
      </w:pPr>
      <w:r>
        <w:rPr>
          <w:rStyle w:val="CommentReference"/>
        </w:rPr>
        <w:annotationRef/>
      </w:r>
      <w:r>
        <w:t xml:space="preserve">Punctuation: Fatima et al. </w:t>
      </w:r>
      <w:r w:rsidRPr="005825E1">
        <w:rPr>
          <w:color w:val="FF0000"/>
        </w:rPr>
        <w:t>(</w:t>
      </w:r>
      <w:r w:rsidRPr="005825E1">
        <w:rPr>
          <w:color w:val="FF0000"/>
        </w:rPr>
        <w:t>2022</w:t>
      </w:r>
      <w:r w:rsidRPr="005825E1">
        <w:rPr>
          <w:color w:val="FF0000"/>
        </w:rPr>
        <w:t>)</w:t>
      </w:r>
      <w:r w:rsidRPr="005825E1">
        <w:rPr>
          <w:color w:val="FF0000"/>
        </w:rPr>
        <w:t xml:space="preserve"> </w:t>
      </w:r>
      <w:r>
        <w:t>who</w:t>
      </w:r>
    </w:p>
  </w:comment>
  <w:comment w:id="18" w:author="David Ward" w:date="2024-04-09T09:31:00Z" w:initials="DW">
    <w:p w14:paraId="15A0660D" w14:textId="0EEBAC07" w:rsidR="002F699C" w:rsidRDefault="002F699C">
      <w:pPr>
        <w:pStyle w:val="CommentText"/>
      </w:pPr>
      <w:r>
        <w:rPr>
          <w:rStyle w:val="CommentReference"/>
        </w:rPr>
        <w:annotationRef/>
      </w:r>
      <w:r>
        <w:t>Punctuation: Vishkin et al</w:t>
      </w:r>
      <w:r w:rsidRPr="002F699C">
        <w:rPr>
          <w:color w:val="FF0000"/>
        </w:rPr>
        <w:t xml:space="preserve">., </w:t>
      </w:r>
      <w:r w:rsidRPr="002F699C">
        <w:rPr>
          <w:color w:val="FF0000"/>
        </w:rPr>
        <w:t>(</w:t>
      </w:r>
      <w:r w:rsidRPr="002F699C">
        <w:rPr>
          <w:color w:val="FF0000"/>
        </w:rPr>
        <w:t xml:space="preserve">2014 as cited in Fatima </w:t>
      </w:r>
      <w:r>
        <w:t>et al. 2022)</w:t>
      </w:r>
      <w:r>
        <w:t xml:space="preserve"> stated…. I supposed your </w:t>
      </w:r>
      <w:r w:rsidR="009A442F">
        <w:t xml:space="preserve">practice of </w:t>
      </w:r>
      <w:r>
        <w:t>rep</w:t>
      </w:r>
      <w:r w:rsidR="009A442F">
        <w:t>e</w:t>
      </w:r>
      <w:r>
        <w:t>ated</w:t>
      </w:r>
      <w:r w:rsidR="009A442F">
        <w:t>ly</w:t>
      </w:r>
      <w:r>
        <w:t xml:space="preserve"> citing scholars citing other </w:t>
      </w:r>
      <w:r w:rsidR="009A442F">
        <w:t>scholars’</w:t>
      </w:r>
      <w:r>
        <w:t xml:space="preserve"> older research makes the older research still relevant. I would be curious to know what Dr. Taladay or Dr. J. Reichard would say about the practice?</w:t>
      </w:r>
    </w:p>
  </w:comment>
  <w:comment w:id="19" w:author="David Ward" w:date="2024-04-09T09:37:00Z" w:initials="DW">
    <w:p w14:paraId="0EA12216" w14:textId="65F87BBD" w:rsidR="002F699C" w:rsidRDefault="002F699C">
      <w:pPr>
        <w:pStyle w:val="CommentText"/>
      </w:pPr>
      <w:r>
        <w:rPr>
          <w:rStyle w:val="CommentReference"/>
        </w:rPr>
        <w:annotationRef/>
      </w:r>
      <w:r>
        <w:t>This is a wonderful point about the benefits of religion</w:t>
      </w:r>
      <w:r w:rsidR="003877EC">
        <w:t xml:space="preserve"> the carries </w:t>
      </w:r>
      <w:r>
        <w:t xml:space="preserve">some </w:t>
      </w:r>
      <w:r w:rsidR="003877EC">
        <w:t>weight</w:t>
      </w:r>
      <w:r>
        <w:t xml:space="preserve"> because Durkheim was one of the fathers of sociology!</w:t>
      </w:r>
    </w:p>
  </w:comment>
  <w:comment w:id="20" w:author="David Ward" w:date="2024-04-09T09:39:00Z" w:initials="DW">
    <w:p w14:paraId="10319B0A" w14:textId="475AEB97" w:rsidR="003877EC" w:rsidRDefault="003877EC">
      <w:pPr>
        <w:pStyle w:val="CommentText"/>
      </w:pPr>
      <w:r>
        <w:rPr>
          <w:rStyle w:val="CommentReference"/>
        </w:rPr>
        <w:annotationRef/>
      </w:r>
      <w:r>
        <w:t xml:space="preserve">Fowler </w:t>
      </w:r>
      <w:r w:rsidRPr="003877EC">
        <w:rPr>
          <w:color w:val="FF0000"/>
        </w:rPr>
        <w:t>(</w:t>
      </w:r>
      <w:r w:rsidRPr="003877EC">
        <w:rPr>
          <w:color w:val="FF0000"/>
        </w:rPr>
        <w:t xml:space="preserve">1981 as cited in </w:t>
      </w:r>
      <w:r>
        <w:t>Hardy et al. 2022, p. 597) developed a</w:t>
      </w:r>
      <w:r>
        <w:t>….</w:t>
      </w:r>
    </w:p>
  </w:comment>
  <w:comment w:id="21" w:author="David Ward" w:date="2024-04-09T09:41:00Z" w:initials="DW">
    <w:p w14:paraId="060CE397" w14:textId="10F23967" w:rsidR="003877EC" w:rsidRDefault="003877EC">
      <w:pPr>
        <w:pStyle w:val="CommentText"/>
      </w:pPr>
      <w:r>
        <w:rPr>
          <w:rStyle w:val="CommentReference"/>
        </w:rPr>
        <w:annotationRef/>
      </w:r>
      <w:r>
        <w:t>This is a strong statement with support, well done!</w:t>
      </w:r>
    </w:p>
  </w:comment>
  <w:comment w:id="22" w:author="David Ward" w:date="2024-04-09T09:43:00Z" w:initials="DW">
    <w:p w14:paraId="5AE269F2" w14:textId="011240E2" w:rsidR="003877EC" w:rsidRDefault="003877EC">
      <w:pPr>
        <w:pStyle w:val="CommentText"/>
      </w:pPr>
      <w:r>
        <w:rPr>
          <w:rStyle w:val="CommentReference"/>
        </w:rPr>
        <w:annotationRef/>
      </w:r>
      <w:r>
        <w:t xml:space="preserve">Punctuation: </w:t>
      </w:r>
      <w:r>
        <w:t xml:space="preserve">Hood, </w:t>
      </w:r>
      <w:r w:rsidRPr="003877EC">
        <w:rPr>
          <w:color w:val="FF0000"/>
        </w:rPr>
        <w:t>(</w:t>
      </w:r>
      <w:r w:rsidRPr="003877EC">
        <w:rPr>
          <w:color w:val="FF0000"/>
        </w:rPr>
        <w:t xml:space="preserve">1990 as cited in </w:t>
      </w:r>
      <w:r>
        <w:t>Hardy et al., 2020)</w:t>
      </w:r>
    </w:p>
  </w:comment>
  <w:comment w:id="23" w:author="David Ward" w:date="2024-04-09T09:44:00Z" w:initials="DW">
    <w:p w14:paraId="0A562D23" w14:textId="53FD331E" w:rsidR="003877EC" w:rsidRDefault="003877EC">
      <w:pPr>
        <w:pStyle w:val="CommentText"/>
      </w:pPr>
      <w:r>
        <w:rPr>
          <w:rStyle w:val="CommentReference"/>
        </w:rPr>
        <w:annotationRef/>
      </w:r>
      <w:r w:rsidRPr="003877EC">
        <w:rPr>
          <w:color w:val="FF0000"/>
        </w:rPr>
        <w:t xml:space="preserve">McMurdie </w:t>
      </w:r>
      <w:r>
        <w:t xml:space="preserve">et al., </w:t>
      </w:r>
      <w:r w:rsidRPr="003877EC">
        <w:rPr>
          <w:color w:val="FF0000"/>
        </w:rPr>
        <w:t>(</w:t>
      </w:r>
      <w:r w:rsidRPr="003877EC">
        <w:rPr>
          <w:color w:val="FF0000"/>
        </w:rPr>
        <w:t>2013 as cited in</w:t>
      </w:r>
      <w:r>
        <w:t xml:space="preserve"> Hardy et al., 2020 ) pointed out that religion can act as a shield</w:t>
      </w:r>
    </w:p>
  </w:comment>
  <w:comment w:id="24" w:author="David Ward" w:date="2024-04-09T06:50:00Z" w:initials="DW">
    <w:p w14:paraId="64BB4F51" w14:textId="03C515BF" w:rsidR="004859FC" w:rsidRDefault="004859FC">
      <w:pPr>
        <w:pStyle w:val="CommentText"/>
      </w:pPr>
      <w:r>
        <w:rPr>
          <w:rStyle w:val="CommentReference"/>
        </w:rPr>
        <w:annotationRef/>
      </w:r>
      <w:r>
        <w:t>Eliminate extra lines before or after Headings</w:t>
      </w:r>
    </w:p>
  </w:comment>
  <w:comment w:id="25" w:author="David Ward" w:date="2024-04-09T06:43:00Z" w:initials="DW">
    <w:p w14:paraId="6FFFCFF3" w14:textId="3AECEAAF" w:rsidR="00571B4F" w:rsidRDefault="00571B4F">
      <w:pPr>
        <w:pStyle w:val="CommentText"/>
      </w:pPr>
      <w:r>
        <w:rPr>
          <w:rStyle w:val="CommentReference"/>
        </w:rPr>
        <w:annotationRef/>
      </w:r>
      <w:r>
        <w:rPr>
          <w:rFonts w:ascii="Times Roman" w:hAnsi="Times Roman" w:cs="Times Roman"/>
        </w:rPr>
        <w:t xml:space="preserve">dimensions by a separate “subscale” (Koenig et al., </w:t>
      </w:r>
      <w:r w:rsidRPr="00571B4F">
        <w:rPr>
          <w:rFonts w:ascii="Times Roman" w:hAnsi="Times Roman" w:cs="Times Roman"/>
          <w:color w:val="FF0000"/>
        </w:rPr>
        <w:t>2010</w:t>
      </w:r>
      <w:r w:rsidRPr="00571B4F">
        <w:rPr>
          <w:rFonts w:ascii="Times Roman" w:hAnsi="Times Roman" w:cs="Times Roman"/>
          <w:color w:val="FF0000"/>
        </w:rPr>
        <w:t>,</w:t>
      </w:r>
      <w:r w:rsidRPr="00571B4F">
        <w:rPr>
          <w:rFonts w:ascii="Times Roman" w:hAnsi="Times Roman" w:cs="Times Roman"/>
          <w:color w:val="FF0000"/>
        </w:rPr>
        <w:t xml:space="preserve"> </w:t>
      </w:r>
      <w:r>
        <w:rPr>
          <w:rFonts w:ascii="Times Roman" w:hAnsi="Times Roman" w:cs="Times Roman"/>
        </w:rPr>
        <w:t>para. 1).</w:t>
      </w:r>
      <w:r>
        <w:rPr>
          <w:rStyle w:val="CommentReference"/>
        </w:rPr>
        <w:annotationRef/>
      </w:r>
    </w:p>
  </w:comment>
  <w:comment w:id="26" w:author="David Ward" w:date="2024-04-09T07:16:00Z" w:initials="DW">
    <w:p w14:paraId="3BF4E747" w14:textId="43193712" w:rsidR="00F70B25" w:rsidRDefault="00F70B25">
      <w:pPr>
        <w:pStyle w:val="CommentText"/>
      </w:pPr>
      <w:r>
        <w:rPr>
          <w:rStyle w:val="CommentReference"/>
        </w:rPr>
        <w:annotationRef/>
      </w:r>
      <w:r>
        <w:t xml:space="preserve"> Do you need a period here, or is this an incomplete sentence?</w:t>
      </w:r>
    </w:p>
  </w:comment>
  <w:comment w:id="27" w:author="David Ward" w:date="2024-04-09T06:27:00Z" w:initials="DW">
    <w:p w14:paraId="0EEDA5F3" w14:textId="3DC62982" w:rsidR="00F2153B" w:rsidRPr="00F2153B" w:rsidRDefault="00F2153B">
      <w:pPr>
        <w:pStyle w:val="CommentText"/>
        <w:rPr>
          <w:b/>
          <w:bCs/>
        </w:rPr>
      </w:pPr>
      <w:r>
        <w:rPr>
          <w:rStyle w:val="CommentReference"/>
        </w:rPr>
        <w:annotationRef/>
      </w:r>
      <w:r w:rsidR="004859FC">
        <w:t xml:space="preserve">Level One Heading are </w:t>
      </w:r>
      <w:r w:rsidR="004859FC" w:rsidRPr="004859FC">
        <w:rPr>
          <w:b/>
          <w:bCs/>
        </w:rPr>
        <w:t>Bold</w:t>
      </w:r>
      <w:r w:rsidR="004859FC">
        <w:t>, Centered, Title Case.</w:t>
      </w:r>
    </w:p>
  </w:comment>
  <w:comment w:id="28" w:author="David Ward" w:date="2024-04-09T07:13:00Z" w:initials="DW">
    <w:p w14:paraId="53D67EB6" w14:textId="44318CD7" w:rsidR="00F70B25" w:rsidRDefault="00F70B25">
      <w:pPr>
        <w:pStyle w:val="CommentText"/>
      </w:pPr>
      <w:r>
        <w:rPr>
          <w:rStyle w:val="CommentReference"/>
        </w:rPr>
        <w:annotationRef/>
      </w:r>
      <w:r>
        <w:t>How many participants are you seeking to involve to acquire a statistically adequate sample?</w:t>
      </w:r>
    </w:p>
  </w:comment>
  <w:comment w:id="29" w:author="David Ward" w:date="2024-04-09T06:28:00Z" w:initials="DW">
    <w:p w14:paraId="5EC71206" w14:textId="77777777" w:rsidR="00F2153B" w:rsidRDefault="00F2153B">
      <w:pPr>
        <w:pStyle w:val="CommentText"/>
      </w:pPr>
      <w:r>
        <w:rPr>
          <w:rStyle w:val="CommentReference"/>
        </w:rPr>
        <w:annotationRef/>
      </w:r>
      <w:r w:rsidR="004859FC">
        <w:t xml:space="preserve">Level One Heading are </w:t>
      </w:r>
      <w:r w:rsidR="004859FC" w:rsidRPr="004859FC">
        <w:rPr>
          <w:b/>
          <w:bCs/>
        </w:rPr>
        <w:t>Bold</w:t>
      </w:r>
      <w:r w:rsidR="004859FC">
        <w:t>, Centered, Title Case.</w:t>
      </w:r>
    </w:p>
    <w:p w14:paraId="058E6A7B" w14:textId="76E8962F" w:rsidR="00F70B25" w:rsidRDefault="00F70B25">
      <w:pPr>
        <w:pStyle w:val="CommentText"/>
      </w:pPr>
      <w:r>
        <w:t xml:space="preserve">Instead of two heading, should you just use one called </w:t>
      </w:r>
      <w:r w:rsidRPr="00F70B25">
        <w:rPr>
          <w:b/>
          <w:bCs/>
        </w:rPr>
        <w:t>Correlational Hypotheses</w:t>
      </w:r>
      <w:r>
        <w:t>?</w:t>
      </w:r>
    </w:p>
  </w:comment>
  <w:comment w:id="30" w:author="David Ward" w:date="2024-04-05T15:02:00Z" w:initials="DW">
    <w:p w14:paraId="3FA0BE1E" w14:textId="1C8832E0" w:rsidR="00F2153B" w:rsidRDefault="00A90C8B">
      <w:pPr>
        <w:pStyle w:val="CommentText"/>
      </w:pPr>
      <w:r>
        <w:rPr>
          <w:rStyle w:val="CommentReference"/>
        </w:rPr>
        <w:annotationRef/>
      </w:r>
      <w:r w:rsidR="004859FC">
        <w:t xml:space="preserve">Level One Heading are </w:t>
      </w:r>
      <w:r w:rsidR="004859FC" w:rsidRPr="004859FC">
        <w:rPr>
          <w:b/>
          <w:bCs/>
        </w:rPr>
        <w:t>Bold</w:t>
      </w:r>
      <w:r w:rsidR="004859FC">
        <w:t>, Centered, Title Case.</w:t>
      </w:r>
    </w:p>
    <w:p w14:paraId="3576BD89" w14:textId="42D6A5BB" w:rsidR="00A90C8B" w:rsidRDefault="00A90C8B">
      <w:pPr>
        <w:pStyle w:val="CommentText"/>
      </w:pPr>
      <w:r>
        <w:t xml:space="preserve">This is a clear statement of the tests you will use for your data analysis. </w:t>
      </w:r>
    </w:p>
  </w:comment>
  <w:comment w:id="31" w:author="David Ward" w:date="2024-04-05T15:01:00Z" w:initials="DW">
    <w:p w14:paraId="1501DE3A" w14:textId="68118D4C" w:rsidR="00A90C8B" w:rsidRDefault="00A90C8B">
      <w:pPr>
        <w:pStyle w:val="CommentText"/>
      </w:pPr>
      <w:r>
        <w:rPr>
          <w:rStyle w:val="CommentReference"/>
        </w:rPr>
        <w:annotationRef/>
      </w:r>
      <w:r>
        <w:t>Indent.</w:t>
      </w:r>
    </w:p>
  </w:comment>
  <w:comment w:id="32" w:author="David Ward" w:date="2024-04-09T06:56:00Z" w:initials="DW">
    <w:p w14:paraId="6C5D054A" w14:textId="1C1193CD" w:rsidR="004859FC" w:rsidRDefault="004859FC">
      <w:pPr>
        <w:pStyle w:val="CommentText"/>
      </w:pPr>
      <w:r>
        <w:rPr>
          <w:rStyle w:val="CommentReference"/>
        </w:rPr>
        <w:annotationRef/>
      </w:r>
      <w:r>
        <w:t xml:space="preserve">You state </w:t>
      </w:r>
      <w:r w:rsidRPr="009B00F4">
        <w:rPr>
          <w:u w:val="single"/>
        </w:rPr>
        <w:t>which</w:t>
      </w:r>
      <w:r>
        <w:t xml:space="preserve"> statistical tests have been selected to analyze your data, and </w:t>
      </w:r>
      <w:r w:rsidRPr="009B00F4">
        <w:rPr>
          <w:u w:val="single"/>
        </w:rPr>
        <w:t>what</w:t>
      </w:r>
      <w:r>
        <w:t xml:space="preserve"> the statistical tests measure. But you do not explain </w:t>
      </w:r>
      <w:r w:rsidRPr="009B00F4">
        <w:rPr>
          <w:u w:val="single"/>
        </w:rPr>
        <w:t>why</w:t>
      </w:r>
      <w:r>
        <w:t xml:space="preserve"> </w:t>
      </w:r>
      <w:r w:rsidR="009B00F4">
        <w:t xml:space="preserve">each test is needed in relation to the purpose of your research. Why will your data analysis tests provide findings that </w:t>
      </w:r>
      <w:r w:rsidR="00F70B25">
        <w:t>support or fail to support why you are studying what you are analyzing?</w:t>
      </w:r>
      <w:r w:rsidR="009B00F4">
        <w:t xml:space="preserve"> </w:t>
      </w:r>
      <w:r w:rsidR="00D95DC6">
        <w:t>This should tie back to your excellent theoretical framework section that shows why your research design is needed to add needed new knowledge.</w:t>
      </w:r>
    </w:p>
  </w:comment>
  <w:comment w:id="33" w:author="David Ward" w:date="2024-04-09T06:52:00Z" w:initials="DW">
    <w:p w14:paraId="301478E4" w14:textId="3EF23160" w:rsidR="004859FC" w:rsidRDefault="004859FC">
      <w:pPr>
        <w:pStyle w:val="CommentText"/>
      </w:pPr>
      <w:r>
        <w:rPr>
          <w:rStyle w:val="CommentReference"/>
        </w:rPr>
        <w:annotationRef/>
      </w:r>
      <w:r>
        <w:t>The Prospectus is missing the Works Cited section. Without it, there is no way to check your in-text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38AC1D" w15:done="0"/>
  <w15:commentEx w15:paraId="2F3B133C" w15:done="0"/>
  <w15:commentEx w15:paraId="2AE4B46F" w15:done="0"/>
  <w15:commentEx w15:paraId="73F1BCBE" w15:done="0"/>
  <w15:commentEx w15:paraId="5BD0B722" w15:done="0"/>
  <w15:commentEx w15:paraId="6D1C027D" w15:done="0"/>
  <w15:commentEx w15:paraId="74B020D0" w15:done="0"/>
  <w15:commentEx w15:paraId="6195D93C" w15:done="0"/>
  <w15:commentEx w15:paraId="42DB08D3" w15:done="0"/>
  <w15:commentEx w15:paraId="19F5173B" w15:done="0"/>
  <w15:commentEx w15:paraId="684E6FED" w15:done="0"/>
  <w15:commentEx w15:paraId="2A852BF9" w15:done="0"/>
  <w15:commentEx w15:paraId="39F34B50" w15:done="0"/>
  <w15:commentEx w15:paraId="230936F1" w15:done="0"/>
  <w15:commentEx w15:paraId="11967C6B" w15:done="0"/>
  <w15:commentEx w15:paraId="02D85288" w15:done="0"/>
  <w15:commentEx w15:paraId="3C8879A8" w15:done="0"/>
  <w15:commentEx w15:paraId="7945E3BC" w15:done="0"/>
  <w15:commentEx w15:paraId="15A0660D" w15:done="0"/>
  <w15:commentEx w15:paraId="0EA12216" w15:done="0"/>
  <w15:commentEx w15:paraId="10319B0A" w15:done="0"/>
  <w15:commentEx w15:paraId="060CE397" w15:done="0"/>
  <w15:commentEx w15:paraId="5AE269F2" w15:done="0"/>
  <w15:commentEx w15:paraId="0A562D23" w15:done="0"/>
  <w15:commentEx w15:paraId="64BB4F51" w15:done="0"/>
  <w15:commentEx w15:paraId="6FFFCFF3" w15:done="0"/>
  <w15:commentEx w15:paraId="3BF4E747" w15:done="0"/>
  <w15:commentEx w15:paraId="0EEDA5F3" w15:done="0"/>
  <w15:commentEx w15:paraId="53D67EB6" w15:done="0"/>
  <w15:commentEx w15:paraId="058E6A7B" w15:done="0"/>
  <w15:commentEx w15:paraId="3576BD89" w15:done="0"/>
  <w15:commentEx w15:paraId="1501DE3A" w15:done="0"/>
  <w15:commentEx w15:paraId="6C5D054A" w15:done="0"/>
  <w15:commentEx w15:paraId="301478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125B50" w16cex:dateUtc="2024-04-05T15:08:00Z"/>
  <w16cex:commentExtensible w16cex:durableId="367A35ED" w16cex:dateUtc="2024-04-04T17:05:00Z"/>
  <w16cex:commentExtensible w16cex:durableId="103726BD" w16cex:dateUtc="2024-04-09T13:54:00Z"/>
  <w16cex:commentExtensible w16cex:durableId="3828009D" w16cex:dateUtc="2024-04-09T13:55:00Z"/>
  <w16cex:commentExtensible w16cex:durableId="126070CA" w16cex:dateUtc="2024-04-09T10:48:00Z"/>
  <w16cex:commentExtensible w16cex:durableId="4BFBB4D9" w16cex:dateUtc="2024-04-09T10:49:00Z"/>
  <w16cex:commentExtensible w16cex:durableId="4E622ECD" w16cex:dateUtc="2024-04-09T10:48:00Z"/>
  <w16cex:commentExtensible w16cex:durableId="53B6955C" w16cex:dateUtc="2024-04-09T10:44:00Z"/>
  <w16cex:commentExtensible w16cex:durableId="745ABA56" w16cex:dateUtc="2024-04-09T13:07:00Z"/>
  <w16cex:commentExtensible w16cex:durableId="6501D80B" w16cex:dateUtc="2024-04-09T11:23:00Z"/>
  <w16cex:commentExtensible w16cex:durableId="5D757E9D" w16cex:dateUtc="2024-04-09T11:25:00Z"/>
  <w16cex:commentExtensible w16cex:durableId="19FE07C9" w16cex:dateUtc="2024-04-09T13:10:00Z"/>
  <w16cex:commentExtensible w16cex:durableId="31197978" w16cex:dateUtc="2024-04-09T13:12:00Z"/>
  <w16cex:commentExtensible w16cex:durableId="11338592" w16cex:dateUtc="2024-04-09T13:13:00Z"/>
  <w16cex:commentExtensible w16cex:durableId="184EA5EF" w16cex:dateUtc="2024-04-09T13:17:00Z"/>
  <w16cex:commentExtensible w16cex:durableId="44DFADE6" w16cex:dateUtc="2024-04-09T13:23:00Z"/>
  <w16cex:commentExtensible w16cex:durableId="352B73DE" w16cex:dateUtc="2024-04-09T13:26:00Z"/>
  <w16cex:commentExtensible w16cex:durableId="2F2EA645" w16cex:dateUtc="2024-04-09T13:28:00Z"/>
  <w16cex:commentExtensible w16cex:durableId="717BE8B8" w16cex:dateUtc="2024-04-09T13:31:00Z"/>
  <w16cex:commentExtensible w16cex:durableId="5F960BD2" w16cex:dateUtc="2024-04-09T13:37:00Z"/>
  <w16cex:commentExtensible w16cex:durableId="0B7575BC" w16cex:dateUtc="2024-04-09T13:39:00Z"/>
  <w16cex:commentExtensible w16cex:durableId="2C4787DD" w16cex:dateUtc="2024-04-09T13:41:00Z"/>
  <w16cex:commentExtensible w16cex:durableId="708CF47D" w16cex:dateUtc="2024-04-09T13:43:00Z"/>
  <w16cex:commentExtensible w16cex:durableId="416EB1CD" w16cex:dateUtc="2024-04-09T13:44:00Z"/>
  <w16cex:commentExtensible w16cex:durableId="489D2421" w16cex:dateUtc="2024-04-09T10:50:00Z"/>
  <w16cex:commentExtensible w16cex:durableId="040A1457" w16cex:dateUtc="2024-04-09T10:43:00Z"/>
  <w16cex:commentExtensible w16cex:durableId="04F3B299" w16cex:dateUtc="2024-04-09T11:16:00Z"/>
  <w16cex:commentExtensible w16cex:durableId="46B40EB7" w16cex:dateUtc="2024-04-09T10:27:00Z"/>
  <w16cex:commentExtensible w16cex:durableId="0323FE57" w16cex:dateUtc="2024-04-09T11:13:00Z"/>
  <w16cex:commentExtensible w16cex:durableId="0A41EFBA" w16cex:dateUtc="2024-04-09T10:28:00Z"/>
  <w16cex:commentExtensible w16cex:durableId="5A195CC5" w16cex:dateUtc="2024-04-05T19:02:00Z"/>
  <w16cex:commentExtensible w16cex:durableId="633C631E" w16cex:dateUtc="2024-04-05T19:01:00Z"/>
  <w16cex:commentExtensible w16cex:durableId="4C4C2F5C" w16cex:dateUtc="2024-04-09T10:56:00Z"/>
  <w16cex:commentExtensible w16cex:durableId="0D040DED" w16cex:dateUtc="2024-04-09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38AC1D" w16cid:durableId="56125B50"/>
  <w16cid:commentId w16cid:paraId="2F3B133C" w16cid:durableId="367A35ED"/>
  <w16cid:commentId w16cid:paraId="2AE4B46F" w16cid:durableId="103726BD"/>
  <w16cid:commentId w16cid:paraId="73F1BCBE" w16cid:durableId="3828009D"/>
  <w16cid:commentId w16cid:paraId="5BD0B722" w16cid:durableId="126070CA"/>
  <w16cid:commentId w16cid:paraId="6D1C027D" w16cid:durableId="4BFBB4D9"/>
  <w16cid:commentId w16cid:paraId="74B020D0" w16cid:durableId="4E622ECD"/>
  <w16cid:commentId w16cid:paraId="6195D93C" w16cid:durableId="53B6955C"/>
  <w16cid:commentId w16cid:paraId="42DB08D3" w16cid:durableId="745ABA56"/>
  <w16cid:commentId w16cid:paraId="19F5173B" w16cid:durableId="6501D80B"/>
  <w16cid:commentId w16cid:paraId="684E6FED" w16cid:durableId="5D757E9D"/>
  <w16cid:commentId w16cid:paraId="2A852BF9" w16cid:durableId="19FE07C9"/>
  <w16cid:commentId w16cid:paraId="39F34B50" w16cid:durableId="31197978"/>
  <w16cid:commentId w16cid:paraId="230936F1" w16cid:durableId="11338592"/>
  <w16cid:commentId w16cid:paraId="11967C6B" w16cid:durableId="184EA5EF"/>
  <w16cid:commentId w16cid:paraId="02D85288" w16cid:durableId="44DFADE6"/>
  <w16cid:commentId w16cid:paraId="3C8879A8" w16cid:durableId="352B73DE"/>
  <w16cid:commentId w16cid:paraId="7945E3BC" w16cid:durableId="2F2EA645"/>
  <w16cid:commentId w16cid:paraId="15A0660D" w16cid:durableId="717BE8B8"/>
  <w16cid:commentId w16cid:paraId="0EA12216" w16cid:durableId="5F960BD2"/>
  <w16cid:commentId w16cid:paraId="10319B0A" w16cid:durableId="0B7575BC"/>
  <w16cid:commentId w16cid:paraId="060CE397" w16cid:durableId="2C4787DD"/>
  <w16cid:commentId w16cid:paraId="5AE269F2" w16cid:durableId="708CF47D"/>
  <w16cid:commentId w16cid:paraId="0A562D23" w16cid:durableId="416EB1CD"/>
  <w16cid:commentId w16cid:paraId="64BB4F51" w16cid:durableId="489D2421"/>
  <w16cid:commentId w16cid:paraId="6FFFCFF3" w16cid:durableId="040A1457"/>
  <w16cid:commentId w16cid:paraId="3BF4E747" w16cid:durableId="04F3B299"/>
  <w16cid:commentId w16cid:paraId="0EEDA5F3" w16cid:durableId="46B40EB7"/>
  <w16cid:commentId w16cid:paraId="53D67EB6" w16cid:durableId="0323FE57"/>
  <w16cid:commentId w16cid:paraId="058E6A7B" w16cid:durableId="0A41EFBA"/>
  <w16cid:commentId w16cid:paraId="3576BD89" w16cid:durableId="5A195CC5"/>
  <w16cid:commentId w16cid:paraId="1501DE3A" w16cid:durableId="633C631E"/>
  <w16cid:commentId w16cid:paraId="6C5D054A" w16cid:durableId="4C4C2F5C"/>
  <w16cid:commentId w16cid:paraId="301478E4" w16cid:durableId="0D040D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D64"/>
    <w:rsid w:val="000045E9"/>
    <w:rsid w:val="00032A1E"/>
    <w:rsid w:val="000730A8"/>
    <w:rsid w:val="000931FA"/>
    <w:rsid w:val="00095AB5"/>
    <w:rsid w:val="000A3165"/>
    <w:rsid w:val="000B370E"/>
    <w:rsid w:val="000B76B4"/>
    <w:rsid w:val="000C3ABB"/>
    <w:rsid w:val="00146ED9"/>
    <w:rsid w:val="00163672"/>
    <w:rsid w:val="001655D4"/>
    <w:rsid w:val="001C3BC9"/>
    <w:rsid w:val="001C3D2F"/>
    <w:rsid w:val="001E2B70"/>
    <w:rsid w:val="001E604D"/>
    <w:rsid w:val="001F2738"/>
    <w:rsid w:val="001F691C"/>
    <w:rsid w:val="0020333A"/>
    <w:rsid w:val="002120CF"/>
    <w:rsid w:val="00222A3A"/>
    <w:rsid w:val="002439DC"/>
    <w:rsid w:val="002A0DEF"/>
    <w:rsid w:val="002B22B3"/>
    <w:rsid w:val="002C067E"/>
    <w:rsid w:val="002C2144"/>
    <w:rsid w:val="002F699C"/>
    <w:rsid w:val="00315956"/>
    <w:rsid w:val="003163CC"/>
    <w:rsid w:val="00316E8A"/>
    <w:rsid w:val="0036254D"/>
    <w:rsid w:val="00383C08"/>
    <w:rsid w:val="003877EC"/>
    <w:rsid w:val="003E6791"/>
    <w:rsid w:val="00423D09"/>
    <w:rsid w:val="00426424"/>
    <w:rsid w:val="00441E3D"/>
    <w:rsid w:val="00472FB6"/>
    <w:rsid w:val="00482C53"/>
    <w:rsid w:val="00483D64"/>
    <w:rsid w:val="00484752"/>
    <w:rsid w:val="004859FC"/>
    <w:rsid w:val="0048720D"/>
    <w:rsid w:val="00490404"/>
    <w:rsid w:val="004A03E8"/>
    <w:rsid w:val="004B2F62"/>
    <w:rsid w:val="004E29CE"/>
    <w:rsid w:val="004E3467"/>
    <w:rsid w:val="004E3E95"/>
    <w:rsid w:val="004F1F90"/>
    <w:rsid w:val="004F2572"/>
    <w:rsid w:val="00501AB7"/>
    <w:rsid w:val="00552436"/>
    <w:rsid w:val="0055273E"/>
    <w:rsid w:val="00571B4F"/>
    <w:rsid w:val="00574C11"/>
    <w:rsid w:val="00577F3C"/>
    <w:rsid w:val="00580885"/>
    <w:rsid w:val="005825E1"/>
    <w:rsid w:val="00584ADE"/>
    <w:rsid w:val="005A6EF1"/>
    <w:rsid w:val="005B2D04"/>
    <w:rsid w:val="005E04FA"/>
    <w:rsid w:val="005E6734"/>
    <w:rsid w:val="005F0348"/>
    <w:rsid w:val="00604CA5"/>
    <w:rsid w:val="00620552"/>
    <w:rsid w:val="0062507F"/>
    <w:rsid w:val="00633F19"/>
    <w:rsid w:val="0063424E"/>
    <w:rsid w:val="00637BD1"/>
    <w:rsid w:val="006735C3"/>
    <w:rsid w:val="0068167A"/>
    <w:rsid w:val="006B5AD5"/>
    <w:rsid w:val="006C3E79"/>
    <w:rsid w:val="006C52A1"/>
    <w:rsid w:val="006E0717"/>
    <w:rsid w:val="006E2151"/>
    <w:rsid w:val="006E37D3"/>
    <w:rsid w:val="00702C2D"/>
    <w:rsid w:val="00762599"/>
    <w:rsid w:val="007747B9"/>
    <w:rsid w:val="007C344E"/>
    <w:rsid w:val="007D35C9"/>
    <w:rsid w:val="00804A2A"/>
    <w:rsid w:val="00805F83"/>
    <w:rsid w:val="00813CBB"/>
    <w:rsid w:val="00824682"/>
    <w:rsid w:val="008274E8"/>
    <w:rsid w:val="008860F2"/>
    <w:rsid w:val="008A7B44"/>
    <w:rsid w:val="008E3507"/>
    <w:rsid w:val="009931AB"/>
    <w:rsid w:val="009A442F"/>
    <w:rsid w:val="009A6B02"/>
    <w:rsid w:val="009B00F4"/>
    <w:rsid w:val="009D1D31"/>
    <w:rsid w:val="009E5791"/>
    <w:rsid w:val="009F38DD"/>
    <w:rsid w:val="00A40EA4"/>
    <w:rsid w:val="00A53A0E"/>
    <w:rsid w:val="00A76025"/>
    <w:rsid w:val="00A90C8B"/>
    <w:rsid w:val="00B11E12"/>
    <w:rsid w:val="00B35D7B"/>
    <w:rsid w:val="00B36ABF"/>
    <w:rsid w:val="00B76D28"/>
    <w:rsid w:val="00BC2690"/>
    <w:rsid w:val="00BD4CE8"/>
    <w:rsid w:val="00BD6395"/>
    <w:rsid w:val="00BE5A0C"/>
    <w:rsid w:val="00BE68C0"/>
    <w:rsid w:val="00C46E6B"/>
    <w:rsid w:val="00C67858"/>
    <w:rsid w:val="00C67FB7"/>
    <w:rsid w:val="00C73A8C"/>
    <w:rsid w:val="00C81064"/>
    <w:rsid w:val="00C97411"/>
    <w:rsid w:val="00CE5732"/>
    <w:rsid w:val="00CE750A"/>
    <w:rsid w:val="00CF514F"/>
    <w:rsid w:val="00D0693D"/>
    <w:rsid w:val="00D06C75"/>
    <w:rsid w:val="00D07137"/>
    <w:rsid w:val="00D23A7F"/>
    <w:rsid w:val="00D25B08"/>
    <w:rsid w:val="00D52654"/>
    <w:rsid w:val="00D70EF7"/>
    <w:rsid w:val="00D729FE"/>
    <w:rsid w:val="00D73115"/>
    <w:rsid w:val="00D95DC6"/>
    <w:rsid w:val="00DA2873"/>
    <w:rsid w:val="00DE6FEF"/>
    <w:rsid w:val="00DF0E71"/>
    <w:rsid w:val="00DF260A"/>
    <w:rsid w:val="00E04CEF"/>
    <w:rsid w:val="00E32B35"/>
    <w:rsid w:val="00E579DA"/>
    <w:rsid w:val="00E705C8"/>
    <w:rsid w:val="00E74579"/>
    <w:rsid w:val="00EA44E2"/>
    <w:rsid w:val="00F15C4C"/>
    <w:rsid w:val="00F2153B"/>
    <w:rsid w:val="00F3260C"/>
    <w:rsid w:val="00F34801"/>
    <w:rsid w:val="00F42465"/>
    <w:rsid w:val="00F532CE"/>
    <w:rsid w:val="00F70B25"/>
    <w:rsid w:val="00F7189E"/>
    <w:rsid w:val="00F8257B"/>
    <w:rsid w:val="00F8697A"/>
    <w:rsid w:val="00F946A4"/>
    <w:rsid w:val="00FB2C68"/>
    <w:rsid w:val="00FB64DC"/>
    <w:rsid w:val="00FC00E4"/>
    <w:rsid w:val="00FF6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DF08B3"/>
  <w14:defaultImageDpi w14:val="300"/>
  <w15:docId w15:val="{6CC3FC47-69F4-4F4C-B5C0-60F64164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3BC9"/>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1C3BC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E0717"/>
    <w:rPr>
      <w:sz w:val="16"/>
      <w:szCs w:val="16"/>
    </w:rPr>
  </w:style>
  <w:style w:type="paragraph" w:styleId="CommentText">
    <w:name w:val="annotation text"/>
    <w:basedOn w:val="Normal"/>
    <w:link w:val="CommentTextChar"/>
    <w:uiPriority w:val="99"/>
    <w:semiHidden/>
    <w:unhideWhenUsed/>
    <w:rsid w:val="006E0717"/>
    <w:rPr>
      <w:sz w:val="20"/>
      <w:szCs w:val="20"/>
    </w:rPr>
  </w:style>
  <w:style w:type="character" w:customStyle="1" w:styleId="CommentTextChar">
    <w:name w:val="Comment Text Char"/>
    <w:basedOn w:val="DefaultParagraphFont"/>
    <w:link w:val="CommentText"/>
    <w:uiPriority w:val="99"/>
    <w:semiHidden/>
    <w:rsid w:val="006E0717"/>
    <w:rPr>
      <w:sz w:val="20"/>
      <w:szCs w:val="20"/>
    </w:rPr>
  </w:style>
  <w:style w:type="paragraph" w:styleId="CommentSubject">
    <w:name w:val="annotation subject"/>
    <w:basedOn w:val="CommentText"/>
    <w:next w:val="CommentText"/>
    <w:link w:val="CommentSubjectChar"/>
    <w:uiPriority w:val="99"/>
    <w:semiHidden/>
    <w:unhideWhenUsed/>
    <w:rsid w:val="006E0717"/>
    <w:rPr>
      <w:b/>
      <w:bCs/>
    </w:rPr>
  </w:style>
  <w:style w:type="character" w:customStyle="1" w:styleId="CommentSubjectChar">
    <w:name w:val="Comment Subject Char"/>
    <w:basedOn w:val="CommentTextChar"/>
    <w:link w:val="CommentSubject"/>
    <w:uiPriority w:val="99"/>
    <w:semiHidden/>
    <w:rsid w:val="006E07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TotalTime>
  <Pages>9</Pages>
  <Words>1950</Words>
  <Characters>10749</Characters>
  <Application>Microsoft Office Word</Application>
  <DocSecurity>0</DocSecurity>
  <Lines>191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Seales</dc:creator>
  <cp:lastModifiedBy>David Ward</cp:lastModifiedBy>
  <cp:revision>42</cp:revision>
  <dcterms:created xsi:type="dcterms:W3CDTF">2023-11-30T14:24:00Z</dcterms:created>
  <dcterms:modified xsi:type="dcterms:W3CDTF">2024-04-09T14:01:00Z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aa9e217df484adfc9dc85e3163ff94fcecc935214fadda052fdc00a7d23c05e2</vt:lpwstr>
  </property>
</Properties>
</file>