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3BCB" w:rsidRDefault="00893BCB">
      <w:pPr>
        <w:keepLines/>
        <w:pBdr>
          <w:top w:val="nil"/>
          <w:left w:val="nil"/>
          <w:bottom w:val="nil"/>
          <w:right w:val="nil"/>
          <w:between w:val="nil"/>
        </w:pBdr>
        <w:tabs>
          <w:tab w:val="right" w:pos="8640"/>
        </w:tabs>
        <w:ind w:left="720" w:hanging="720"/>
      </w:pPr>
    </w:p>
    <w:p w14:paraId="00000002" w14:textId="77777777" w:rsidR="00893BCB" w:rsidRDefault="00893BCB">
      <w:pPr>
        <w:pBdr>
          <w:top w:val="nil"/>
          <w:left w:val="nil"/>
          <w:bottom w:val="nil"/>
          <w:right w:val="nil"/>
          <w:between w:val="nil"/>
        </w:pBdr>
        <w:tabs>
          <w:tab w:val="right" w:pos="8640"/>
          <w:tab w:val="right" w:pos="8640"/>
        </w:tabs>
        <w:jc w:val="center"/>
        <w:rPr>
          <w:color w:val="000000"/>
        </w:rPr>
      </w:pPr>
    </w:p>
    <w:p w14:paraId="00000003" w14:textId="77777777" w:rsidR="00893BCB" w:rsidRDefault="00893BCB">
      <w:pPr>
        <w:pBdr>
          <w:top w:val="nil"/>
          <w:left w:val="nil"/>
          <w:bottom w:val="nil"/>
          <w:right w:val="nil"/>
          <w:between w:val="nil"/>
        </w:pBdr>
        <w:tabs>
          <w:tab w:val="right" w:pos="8640"/>
          <w:tab w:val="right" w:pos="8640"/>
        </w:tabs>
        <w:jc w:val="center"/>
        <w:rPr>
          <w:color w:val="000000"/>
        </w:rPr>
      </w:pPr>
    </w:p>
    <w:p w14:paraId="00000004" w14:textId="77777777" w:rsidR="00893BCB" w:rsidRDefault="00893BCB">
      <w:pPr>
        <w:pBdr>
          <w:top w:val="nil"/>
          <w:left w:val="nil"/>
          <w:bottom w:val="nil"/>
          <w:right w:val="nil"/>
          <w:between w:val="nil"/>
        </w:pBdr>
        <w:tabs>
          <w:tab w:val="right" w:pos="8640"/>
          <w:tab w:val="right" w:pos="8640"/>
        </w:tabs>
        <w:ind w:firstLine="0"/>
        <w:jc w:val="center"/>
        <w:rPr>
          <w:color w:val="000000"/>
        </w:rPr>
      </w:pPr>
    </w:p>
    <w:p w14:paraId="00000005" w14:textId="77777777" w:rsidR="00893BCB" w:rsidRDefault="00893BCB">
      <w:pPr>
        <w:pBdr>
          <w:top w:val="nil"/>
          <w:left w:val="nil"/>
          <w:bottom w:val="nil"/>
          <w:right w:val="nil"/>
          <w:between w:val="nil"/>
        </w:pBdr>
        <w:tabs>
          <w:tab w:val="right" w:pos="8640"/>
          <w:tab w:val="right" w:pos="8640"/>
        </w:tabs>
        <w:ind w:firstLine="0"/>
        <w:jc w:val="center"/>
        <w:rPr>
          <w:color w:val="000000"/>
        </w:rPr>
      </w:pPr>
    </w:p>
    <w:p w14:paraId="00000006" w14:textId="77777777" w:rsidR="00893BCB" w:rsidRDefault="00893BCB">
      <w:pPr>
        <w:pBdr>
          <w:top w:val="nil"/>
          <w:left w:val="nil"/>
          <w:bottom w:val="nil"/>
          <w:right w:val="nil"/>
          <w:between w:val="nil"/>
        </w:pBdr>
        <w:tabs>
          <w:tab w:val="right" w:pos="8640"/>
          <w:tab w:val="right" w:pos="8640"/>
        </w:tabs>
        <w:ind w:firstLine="0"/>
        <w:jc w:val="center"/>
        <w:rPr>
          <w:color w:val="000000"/>
        </w:rPr>
      </w:pPr>
    </w:p>
    <w:p w14:paraId="00000007" w14:textId="67B740FC" w:rsidR="00893BCB" w:rsidRDefault="00024C02">
      <w:pPr>
        <w:spacing w:line="240" w:lineRule="auto"/>
        <w:ind w:firstLine="0"/>
        <w:jc w:val="center"/>
      </w:pPr>
      <w:r>
        <w:t>Statistics for Social Research II</w:t>
      </w:r>
    </w:p>
    <w:p w14:paraId="00000008" w14:textId="77777777" w:rsidR="00893BCB" w:rsidRDefault="00893BCB">
      <w:pPr>
        <w:spacing w:line="240" w:lineRule="auto"/>
        <w:ind w:firstLine="0"/>
        <w:jc w:val="center"/>
      </w:pPr>
    </w:p>
    <w:p w14:paraId="00000009" w14:textId="2DFAE8A0" w:rsidR="00893BCB" w:rsidRDefault="00450E92">
      <w:pPr>
        <w:spacing w:line="240" w:lineRule="auto"/>
        <w:ind w:firstLine="0"/>
        <w:jc w:val="center"/>
      </w:pPr>
      <w:r>
        <w:t>Tamar M. Shaw</w:t>
      </w:r>
    </w:p>
    <w:p w14:paraId="0000000A" w14:textId="77777777" w:rsidR="00893BCB" w:rsidRDefault="00893BCB">
      <w:pPr>
        <w:spacing w:line="240" w:lineRule="auto"/>
        <w:ind w:firstLine="0"/>
        <w:jc w:val="center"/>
      </w:pPr>
    </w:p>
    <w:p w14:paraId="0000000B" w14:textId="77777777" w:rsidR="00893BCB" w:rsidRDefault="00000000">
      <w:pPr>
        <w:spacing w:line="240" w:lineRule="auto"/>
        <w:ind w:firstLine="0"/>
        <w:jc w:val="center"/>
      </w:pPr>
      <w:r>
        <w:t>Omega Graduate School</w:t>
      </w:r>
    </w:p>
    <w:p w14:paraId="0000000C" w14:textId="77777777" w:rsidR="00893BCB" w:rsidRDefault="00893BCB">
      <w:pPr>
        <w:spacing w:line="240" w:lineRule="auto"/>
        <w:ind w:firstLine="0"/>
        <w:jc w:val="center"/>
      </w:pPr>
    </w:p>
    <w:p w14:paraId="0000000E" w14:textId="6F43EDFF" w:rsidR="00893BCB" w:rsidRDefault="00000000">
      <w:pPr>
        <w:spacing w:line="240" w:lineRule="auto"/>
        <w:ind w:firstLine="0"/>
        <w:jc w:val="center"/>
      </w:pPr>
      <w:r>
        <w:t>Date</w:t>
      </w:r>
      <w:r w:rsidR="00024C02">
        <w:t>: September 30, 2023</w:t>
      </w:r>
    </w:p>
    <w:p w14:paraId="0000000F" w14:textId="77777777" w:rsidR="00893BCB" w:rsidRDefault="00893BCB">
      <w:pPr>
        <w:spacing w:line="240" w:lineRule="auto"/>
        <w:ind w:firstLine="0"/>
        <w:jc w:val="center"/>
      </w:pPr>
    </w:p>
    <w:p w14:paraId="00000010" w14:textId="77777777" w:rsidR="00893BCB" w:rsidRDefault="00893BCB">
      <w:pPr>
        <w:spacing w:line="240" w:lineRule="auto"/>
        <w:ind w:firstLine="0"/>
        <w:jc w:val="center"/>
      </w:pPr>
    </w:p>
    <w:p w14:paraId="00000011" w14:textId="77777777" w:rsidR="00893BCB" w:rsidRDefault="00893BCB">
      <w:pPr>
        <w:spacing w:line="240" w:lineRule="auto"/>
        <w:ind w:firstLine="0"/>
        <w:jc w:val="center"/>
      </w:pPr>
    </w:p>
    <w:p w14:paraId="00000012" w14:textId="77777777" w:rsidR="00893BCB" w:rsidRDefault="00893BCB">
      <w:pPr>
        <w:spacing w:line="240" w:lineRule="auto"/>
        <w:ind w:firstLine="0"/>
        <w:jc w:val="center"/>
      </w:pPr>
    </w:p>
    <w:p w14:paraId="00000015" w14:textId="7C800782" w:rsidR="00893BCB" w:rsidRDefault="00000000">
      <w:pPr>
        <w:spacing w:line="240" w:lineRule="auto"/>
        <w:ind w:firstLine="0"/>
        <w:jc w:val="center"/>
      </w:pPr>
      <w:r>
        <w:t>Professor</w:t>
      </w:r>
    </w:p>
    <w:p w14:paraId="45DF8717" w14:textId="77777777" w:rsidR="00024C02" w:rsidRDefault="00024C02">
      <w:pPr>
        <w:spacing w:line="240" w:lineRule="auto"/>
        <w:ind w:firstLine="0"/>
        <w:jc w:val="center"/>
      </w:pPr>
    </w:p>
    <w:p w14:paraId="00000017" w14:textId="1F066A0B" w:rsidR="00893BCB" w:rsidRDefault="00450E92">
      <w:pPr>
        <w:pBdr>
          <w:top w:val="nil"/>
          <w:left w:val="nil"/>
          <w:bottom w:val="nil"/>
          <w:right w:val="nil"/>
          <w:between w:val="nil"/>
        </w:pBdr>
        <w:tabs>
          <w:tab w:val="right" w:pos="8640"/>
          <w:tab w:val="right" w:pos="8640"/>
        </w:tabs>
        <w:ind w:firstLine="0"/>
        <w:jc w:val="center"/>
      </w:pPr>
      <w:r>
        <w:t>Sean Taladay, Ed.D.</w:t>
      </w:r>
    </w:p>
    <w:p w14:paraId="00000018" w14:textId="77777777" w:rsidR="00893BCB" w:rsidRDefault="00000000">
      <w:pPr>
        <w:tabs>
          <w:tab w:val="right" w:pos="8640"/>
          <w:tab w:val="right" w:pos="8640"/>
        </w:tabs>
        <w:spacing w:line="240" w:lineRule="auto"/>
        <w:ind w:firstLine="0"/>
      </w:pPr>
      <w:r>
        <w:br w:type="page"/>
      </w:r>
    </w:p>
    <w:p w14:paraId="336BC6AC" w14:textId="77777777" w:rsidR="00450E92" w:rsidRPr="00F23B14" w:rsidRDefault="00450E92" w:rsidP="00F23B14">
      <w:pPr>
        <w:tabs>
          <w:tab w:val="right" w:pos="8640"/>
          <w:tab w:val="right" w:pos="8640"/>
        </w:tabs>
        <w:ind w:firstLine="0"/>
        <w:rPr>
          <w:b/>
          <w:bCs/>
        </w:rPr>
      </w:pPr>
      <w:r w:rsidRPr="00F23B14">
        <w:rPr>
          <w:b/>
          <w:bCs/>
        </w:rPr>
        <w:lastRenderedPageBreak/>
        <w:t>Assignment #3 – Essay</w:t>
      </w:r>
    </w:p>
    <w:p w14:paraId="291C220A" w14:textId="587EBB9F" w:rsidR="00450E92" w:rsidRDefault="00450E92" w:rsidP="00F23B14">
      <w:pPr>
        <w:tabs>
          <w:tab w:val="right" w:pos="8640"/>
          <w:tab w:val="right" w:pos="8640"/>
        </w:tabs>
        <w:ind w:firstLine="0"/>
      </w:pPr>
      <w:r>
        <w:t>In Core 4, continue analyzing the fictional study "Religiosity and Social Behavior in a Diverse</w:t>
      </w:r>
      <w:r w:rsidR="00F23B14">
        <w:t xml:space="preserve"> </w:t>
      </w:r>
      <w:r>
        <w:t>Community," focusing on statistical tests and assumptions. Begin by conducting assumptions</w:t>
      </w:r>
      <w:r w:rsidR="00F23B14">
        <w:t xml:space="preserve"> </w:t>
      </w:r>
      <w:r>
        <w:t xml:space="preserve">tests on the collected samples to ensure the data </w:t>
      </w:r>
      <w:proofErr w:type="gramStart"/>
      <w:r>
        <w:t>meet</w:t>
      </w:r>
      <w:proofErr w:type="gramEnd"/>
      <w:r>
        <w:t xml:space="preserve"> the requirements for the selected</w:t>
      </w:r>
      <w:r w:rsidR="00F23B14">
        <w:t xml:space="preserve"> </w:t>
      </w:r>
      <w:r>
        <w:t>statistical procedures. Interpret histograms and box-whisker plots to assess normality and</w:t>
      </w:r>
      <w:r w:rsidR="00F23B14">
        <w:t xml:space="preserve"> </w:t>
      </w:r>
      <w:r>
        <w:t>identify potential outliers. Determine when to use parametric procedures (e.g., t-tests,</w:t>
      </w:r>
    </w:p>
    <w:p w14:paraId="76272F64" w14:textId="794D1645" w:rsidR="00450E92" w:rsidRDefault="00450E92" w:rsidP="00F23B14">
      <w:pPr>
        <w:tabs>
          <w:tab w:val="right" w:pos="8640"/>
          <w:tab w:val="right" w:pos="8640"/>
        </w:tabs>
        <w:ind w:firstLine="0"/>
      </w:pPr>
      <w:r>
        <w:t>Pearson's r) and nonparametric procedures based on the distribution and assumptions of the</w:t>
      </w:r>
      <w:r w:rsidR="00F23B14">
        <w:t xml:space="preserve"> </w:t>
      </w:r>
      <w:r>
        <w:t>data. Discuss the rationale behind your choices. For each hypothesis in the study, decide</w:t>
      </w:r>
    </w:p>
    <w:p w14:paraId="5852087C" w14:textId="77777777" w:rsidR="00450E92" w:rsidRDefault="00450E92" w:rsidP="00F23B14">
      <w:pPr>
        <w:tabs>
          <w:tab w:val="right" w:pos="8640"/>
          <w:tab w:val="right" w:pos="8640"/>
        </w:tabs>
        <w:ind w:firstLine="0"/>
      </w:pPr>
      <w:r>
        <w:t>whether a parametric or nonparametric test is appropriate, and conduct the respective</w:t>
      </w:r>
    </w:p>
    <w:p w14:paraId="5E1C724F" w14:textId="77777777" w:rsidR="00450E92" w:rsidRDefault="00450E92" w:rsidP="00F23B14">
      <w:pPr>
        <w:tabs>
          <w:tab w:val="right" w:pos="8640"/>
          <w:tab w:val="right" w:pos="8640"/>
        </w:tabs>
        <w:ind w:firstLine="0"/>
      </w:pPr>
      <w:r>
        <w:t>statistical analysis using the software. Provide a clear interpretation of the results. The</w:t>
      </w:r>
    </w:p>
    <w:p w14:paraId="045A24CF" w14:textId="77777777" w:rsidR="00450E92" w:rsidRDefault="00450E92" w:rsidP="00F23B14">
      <w:pPr>
        <w:tabs>
          <w:tab w:val="right" w:pos="8640"/>
          <w:tab w:val="right" w:pos="8640"/>
        </w:tabs>
        <w:ind w:firstLine="0"/>
      </w:pPr>
      <w:r>
        <w:t>provided Essential Elements (Assumptions Testing, Parametric vs. Nonparametric, T-test and</w:t>
      </w:r>
    </w:p>
    <w:p w14:paraId="1142C017" w14:textId="256AB503" w:rsidR="00450E92" w:rsidRDefault="00450E92" w:rsidP="00F23B14">
      <w:pPr>
        <w:tabs>
          <w:tab w:val="right" w:pos="8640"/>
          <w:tab w:val="right" w:pos="8640"/>
        </w:tabs>
        <w:ind w:firstLine="0"/>
      </w:pPr>
      <w:r>
        <w:t xml:space="preserve">Pearson's r) will guide you in completing this </w:t>
      </w:r>
      <w:r w:rsidR="00F23B14">
        <w:t>assignment. The</w:t>
      </w:r>
      <w:r>
        <w:t xml:space="preserve"> assignment should be 5-7</w:t>
      </w:r>
    </w:p>
    <w:p w14:paraId="48CFF03F" w14:textId="77777777" w:rsidR="00450E92" w:rsidRDefault="00450E92" w:rsidP="00F23B14">
      <w:pPr>
        <w:tabs>
          <w:tab w:val="right" w:pos="8640"/>
          <w:tab w:val="right" w:pos="8640"/>
        </w:tabs>
        <w:ind w:firstLine="0"/>
      </w:pPr>
      <w:r>
        <w:t>pages long. Include graphs and tables from your statistical software and narrative descriptions</w:t>
      </w:r>
    </w:p>
    <w:p w14:paraId="0000001B" w14:textId="6C407C12" w:rsidR="00893BCB" w:rsidRDefault="00450E92" w:rsidP="00F23B14">
      <w:pPr>
        <w:tabs>
          <w:tab w:val="right" w:pos="8640"/>
          <w:tab w:val="right" w:pos="8640"/>
        </w:tabs>
        <w:ind w:firstLine="0"/>
      </w:pPr>
      <w:r>
        <w:t>of the data. Use proper APA formatting.</w:t>
      </w:r>
    </w:p>
    <w:p w14:paraId="0000001C" w14:textId="77777777" w:rsidR="00893BCB" w:rsidRDefault="00893BCB">
      <w:pPr>
        <w:tabs>
          <w:tab w:val="right" w:pos="8640"/>
          <w:tab w:val="right" w:pos="8640"/>
        </w:tabs>
      </w:pPr>
    </w:p>
    <w:p w14:paraId="0000001D" w14:textId="77777777" w:rsidR="00893BCB" w:rsidRDefault="00893BCB">
      <w:pPr>
        <w:tabs>
          <w:tab w:val="right" w:pos="8640"/>
          <w:tab w:val="right" w:pos="8640"/>
        </w:tabs>
      </w:pPr>
    </w:p>
    <w:p w14:paraId="0000001E" w14:textId="77777777" w:rsidR="00893BCB" w:rsidRDefault="00893BCB">
      <w:pPr>
        <w:tabs>
          <w:tab w:val="right" w:pos="8640"/>
          <w:tab w:val="right" w:pos="8640"/>
        </w:tabs>
      </w:pPr>
    </w:p>
    <w:p w14:paraId="0000001F" w14:textId="77777777" w:rsidR="00893BCB" w:rsidRDefault="00893BCB">
      <w:pPr>
        <w:tabs>
          <w:tab w:val="right" w:pos="8640"/>
          <w:tab w:val="right" w:pos="8640"/>
        </w:tabs>
      </w:pPr>
    </w:p>
    <w:p w14:paraId="00000020" w14:textId="77777777" w:rsidR="00893BCB" w:rsidRDefault="00893BCB">
      <w:pPr>
        <w:tabs>
          <w:tab w:val="right" w:pos="8640"/>
          <w:tab w:val="right" w:pos="8640"/>
        </w:tabs>
      </w:pPr>
    </w:p>
    <w:p w14:paraId="00000021" w14:textId="77777777" w:rsidR="00893BCB" w:rsidRDefault="00893BCB">
      <w:pPr>
        <w:tabs>
          <w:tab w:val="right" w:pos="8640"/>
          <w:tab w:val="right" w:pos="8640"/>
        </w:tabs>
      </w:pPr>
    </w:p>
    <w:p w14:paraId="00000022" w14:textId="77777777" w:rsidR="00893BCB" w:rsidRDefault="00893BCB">
      <w:pPr>
        <w:tabs>
          <w:tab w:val="right" w:pos="8640"/>
          <w:tab w:val="right" w:pos="8640"/>
        </w:tabs>
      </w:pPr>
    </w:p>
    <w:p w14:paraId="00000023" w14:textId="77777777" w:rsidR="00893BCB" w:rsidRDefault="00893BCB">
      <w:pPr>
        <w:tabs>
          <w:tab w:val="right" w:pos="8640"/>
          <w:tab w:val="right" w:pos="8640"/>
        </w:tabs>
      </w:pPr>
    </w:p>
    <w:p w14:paraId="00000024" w14:textId="77777777" w:rsidR="00893BCB" w:rsidRDefault="00893BCB">
      <w:pPr>
        <w:tabs>
          <w:tab w:val="right" w:pos="8640"/>
          <w:tab w:val="right" w:pos="8640"/>
        </w:tabs>
      </w:pPr>
    </w:p>
    <w:p w14:paraId="51914DDF" w14:textId="724DFE94" w:rsidR="000376B7" w:rsidRPr="0007202D" w:rsidRDefault="000376B7" w:rsidP="000376B7">
      <w:pPr>
        <w:tabs>
          <w:tab w:val="right" w:pos="8640"/>
          <w:tab w:val="right" w:pos="8640"/>
        </w:tabs>
        <w:jc w:val="center"/>
        <w:rPr>
          <w:b/>
          <w:bCs/>
        </w:rPr>
      </w:pPr>
      <w:r w:rsidRPr="0007202D">
        <w:rPr>
          <w:b/>
          <w:bCs/>
        </w:rPr>
        <w:t>Possible Effect</w:t>
      </w:r>
      <w:r w:rsidR="00B552C4" w:rsidRPr="0007202D">
        <w:rPr>
          <w:b/>
          <w:bCs/>
        </w:rPr>
        <w:t xml:space="preserve">s of </w:t>
      </w:r>
      <w:r w:rsidRPr="0007202D">
        <w:rPr>
          <w:b/>
          <w:bCs/>
        </w:rPr>
        <w:t>Cultural and Racial-Ethnic Socialization</w:t>
      </w:r>
    </w:p>
    <w:p w14:paraId="00000025" w14:textId="49BEF2CF" w:rsidR="00893BCB" w:rsidRDefault="000376B7" w:rsidP="000376B7">
      <w:pPr>
        <w:tabs>
          <w:tab w:val="right" w:pos="8640"/>
          <w:tab w:val="right" w:pos="8640"/>
        </w:tabs>
        <w:jc w:val="center"/>
        <w:rPr>
          <w:b/>
          <w:bCs/>
        </w:rPr>
      </w:pPr>
      <w:r w:rsidRPr="0007202D">
        <w:rPr>
          <w:b/>
          <w:bCs/>
        </w:rPr>
        <w:t>on Families in Subsidized Housing</w:t>
      </w:r>
    </w:p>
    <w:p w14:paraId="00000026" w14:textId="00F01492" w:rsidR="00893BCB" w:rsidRPr="00187A3E" w:rsidRDefault="0007202D">
      <w:pPr>
        <w:tabs>
          <w:tab w:val="right" w:pos="8640"/>
          <w:tab w:val="right" w:pos="8640"/>
        </w:tabs>
      </w:pPr>
      <w:r w:rsidRPr="00187A3E">
        <w:t xml:space="preserve">There are many factors that can affect the quality of life and success of children and families living in subsidized housing. Messages, attitudes, and modeling about money or financial socialization; communication, habits, and attitudes about religion or religious socialization; and even attitudes, practices, and communication regarding sexual behavior also known as sexual socialization. The condition of the apartment, the lack of or pervasiveness of crime, the family’s mental health, and the family dynamic, in general, are also important factors that contribute to or diminish a healthy quality of life and future success.  </w:t>
      </w:r>
    </w:p>
    <w:p w14:paraId="3D769977" w14:textId="7A36917F" w:rsidR="00B2465A" w:rsidRDefault="0055542A" w:rsidP="00B56040">
      <w:pPr>
        <w:tabs>
          <w:tab w:val="right" w:pos="8640"/>
          <w:tab w:val="right" w:pos="8640"/>
        </w:tabs>
      </w:pPr>
      <w:r w:rsidRPr="00187A3E">
        <w:t xml:space="preserve">While there is sufficient literature on Racial-Ethnic Socialization (RES), there is a paucity of literature </w:t>
      </w:r>
      <w:r w:rsidR="00925C8E" w:rsidRPr="00187A3E">
        <w:t xml:space="preserve">on cultural socialization and </w:t>
      </w:r>
      <w:r w:rsidRPr="00187A3E">
        <w:t xml:space="preserve">the effects of both socialization strategies in low-income families </w:t>
      </w:r>
      <w:r w:rsidR="0007202D" w:rsidRPr="00187A3E">
        <w:t>and</w:t>
      </w:r>
      <w:r w:rsidRPr="00187A3E">
        <w:t xml:space="preserve"> families living in subsidized housing.</w:t>
      </w:r>
      <w:r w:rsidR="0007202D">
        <w:t xml:space="preserve"> My goal is to investigate RES studies and what implications they may have on this subset.</w:t>
      </w:r>
      <w:r w:rsidRPr="00187A3E">
        <w:t xml:space="preserve"> </w:t>
      </w:r>
      <w:r w:rsidR="00925C8E" w:rsidRPr="00187A3E">
        <w:t xml:space="preserve">In order to make up for the dearth of research on cultural socialization as an independent factor, for the purposes of this essay, I will choose articles that focus on any socialization method </w:t>
      </w:r>
      <w:proofErr w:type="gramStart"/>
      <w:r w:rsidR="00925C8E" w:rsidRPr="00187A3E">
        <w:t>similar to</w:t>
      </w:r>
      <w:proofErr w:type="gramEnd"/>
      <w:r w:rsidR="00925C8E" w:rsidRPr="00187A3E">
        <w:t xml:space="preserve"> cultural socialization. </w:t>
      </w:r>
    </w:p>
    <w:p w14:paraId="532FA1B1" w14:textId="0981390F" w:rsidR="00B56040" w:rsidRPr="00187A3E" w:rsidRDefault="00B56040" w:rsidP="00B56040">
      <w:pPr>
        <w:tabs>
          <w:tab w:val="right" w:pos="8640"/>
          <w:tab w:val="right" w:pos="8640"/>
        </w:tabs>
        <w:rPr>
          <w:shd w:val="clear" w:color="auto" w:fill="D2F4FC"/>
        </w:rPr>
      </w:pPr>
      <w:r w:rsidRPr="00187A3E">
        <w:t xml:space="preserve">It is important to note that much of the current literature draws on the research of </w:t>
      </w:r>
      <w:r w:rsidRPr="00187A3E">
        <w:rPr>
          <w:shd w:val="clear" w:color="auto" w:fill="FFFFFF"/>
        </w:rPr>
        <w:t xml:space="preserve">Atkin et al. (2022) where they identify nine themes of racial-ethnic socialization: cultural socialization, racial identity socialization, preparation for bias socialization, colorblind socialization, race-conscious socialization, diversity appreciation socialization, negative socialization, exposure to diversity socialization, and silent socialization. This informs me that cultural socialization, my primary interest for this essay is </w:t>
      </w:r>
      <w:proofErr w:type="gramStart"/>
      <w:r w:rsidRPr="00187A3E">
        <w:rPr>
          <w:shd w:val="clear" w:color="auto" w:fill="FFFFFF"/>
        </w:rPr>
        <w:t>actually a</w:t>
      </w:r>
      <w:proofErr w:type="gramEnd"/>
      <w:r w:rsidRPr="00187A3E">
        <w:rPr>
          <w:shd w:val="clear" w:color="auto" w:fill="FFFFFF"/>
        </w:rPr>
        <w:t xml:space="preserve"> sub-scale of (RES) racial-ethnic socialization.</w:t>
      </w:r>
    </w:p>
    <w:p w14:paraId="00000029" w14:textId="655AD7AB" w:rsidR="00893BCB" w:rsidRPr="00187A3E" w:rsidRDefault="00893BCB">
      <w:pPr>
        <w:tabs>
          <w:tab w:val="right" w:pos="8640"/>
          <w:tab w:val="right" w:pos="8640"/>
        </w:tabs>
      </w:pPr>
    </w:p>
    <w:p w14:paraId="1496E640" w14:textId="77777777" w:rsidR="003C51E2" w:rsidRPr="00187A3E" w:rsidRDefault="003C51E2">
      <w:pPr>
        <w:tabs>
          <w:tab w:val="right" w:pos="8640"/>
          <w:tab w:val="right" w:pos="8640"/>
        </w:tabs>
      </w:pPr>
    </w:p>
    <w:p w14:paraId="38A1640C" w14:textId="0173D628" w:rsidR="00B2465A" w:rsidRDefault="003C51E2" w:rsidP="00023E03">
      <w:pPr>
        <w:tabs>
          <w:tab w:val="right" w:pos="8640"/>
          <w:tab w:val="right" w:pos="8640"/>
        </w:tabs>
      </w:pPr>
      <w:r w:rsidRPr="00187A3E">
        <w:t xml:space="preserve">One socialization </w:t>
      </w:r>
      <w:r w:rsidR="00743308" w:rsidRPr="00187A3E">
        <w:t>process that is not widely studied is emotion socialization. Rapp et al</w:t>
      </w:r>
      <w:r w:rsidR="00AF0F1A" w:rsidRPr="00187A3E">
        <w:t>.</w:t>
      </w:r>
      <w:r w:rsidR="00743308" w:rsidRPr="00187A3E">
        <w:t xml:space="preserve"> (2022) describe</w:t>
      </w:r>
      <w:r w:rsidR="00024C02">
        <w:t>s</w:t>
      </w:r>
      <w:r w:rsidR="00743308" w:rsidRPr="00187A3E">
        <w:t xml:space="preserve"> this activity as “how a parent reacts to their child’s expression of emotions” (p. 255). </w:t>
      </w:r>
      <w:r w:rsidRPr="00187A3E">
        <w:t xml:space="preserve">Rapp et </w:t>
      </w:r>
      <w:r w:rsidR="00AF0F1A" w:rsidRPr="00187A3E">
        <w:t>al.</w:t>
      </w:r>
      <w:r w:rsidRPr="00187A3E">
        <w:t xml:space="preserve"> (2022) </w:t>
      </w:r>
      <w:r w:rsidR="00743308" w:rsidRPr="00187A3E">
        <w:t>suggest</w:t>
      </w:r>
      <w:r w:rsidRPr="00187A3E">
        <w:t xml:space="preserve"> that culture can make a difference in how youth interpret parent’s responses to their emotions.</w:t>
      </w:r>
      <w:r w:rsidR="00743308" w:rsidRPr="00187A3E">
        <w:t xml:space="preserve"> </w:t>
      </w:r>
      <w:r w:rsidR="00023E03" w:rsidRPr="00187A3E">
        <w:t xml:space="preserve">In </w:t>
      </w:r>
      <w:r w:rsidR="00743308" w:rsidRPr="00187A3E">
        <w:t xml:space="preserve">Rapp et </w:t>
      </w:r>
      <w:r w:rsidR="00023E03" w:rsidRPr="00187A3E">
        <w:t>al.</w:t>
      </w:r>
      <w:r w:rsidR="00743308" w:rsidRPr="00187A3E">
        <w:t xml:space="preserve"> (2022)</w:t>
      </w:r>
      <w:r w:rsidR="00023E03" w:rsidRPr="00187A3E">
        <w:t xml:space="preserve">, the cultures represented in the study are Latinx, Asian-American, and non-Latinx White. Reward, punishment, and override were the emotion socialization strategies measured. </w:t>
      </w:r>
      <w:proofErr w:type="gramStart"/>
      <w:r w:rsidR="00B67E55" w:rsidRPr="00187A3E">
        <w:t>Reward</w:t>
      </w:r>
      <w:proofErr w:type="gramEnd"/>
      <w:r w:rsidR="00B67E55" w:rsidRPr="00187A3E">
        <w:t xml:space="preserve"> would be a supportive parental emotional response and punishment would be non-supportive. Override, surprisingly, </w:t>
      </w:r>
      <w:r w:rsidR="00FC30D0" w:rsidRPr="00187A3E">
        <w:t>based on previous research,</w:t>
      </w:r>
      <w:r w:rsidR="00B67E55" w:rsidRPr="00187A3E">
        <w:t xml:space="preserve"> is considered supportive. </w:t>
      </w:r>
    </w:p>
    <w:p w14:paraId="0892CC11" w14:textId="77777777" w:rsidR="0007202D" w:rsidRDefault="00B67E55" w:rsidP="0007202D">
      <w:pPr>
        <w:tabs>
          <w:tab w:val="right" w:pos="8640"/>
          <w:tab w:val="right" w:pos="8640"/>
        </w:tabs>
      </w:pPr>
      <w:r w:rsidRPr="00187A3E">
        <w:t xml:space="preserve">Rapp et al. (2022) describe override as either the parents dismissing the child’s emotion or distracting them from it.  </w:t>
      </w:r>
      <w:r w:rsidR="00023E03" w:rsidRPr="00187A3E">
        <w:t>It was found that each of these latent variables (unobvious or hidden variables) was able to be measured as found by the</w:t>
      </w:r>
      <w:r w:rsidR="0007202D">
        <w:t>ir</w:t>
      </w:r>
      <w:r w:rsidR="00023E03" w:rsidRPr="00187A3E">
        <w:t xml:space="preserve"> Cronbach alpha score. This test measures </w:t>
      </w:r>
      <w:r w:rsidR="00C779F3" w:rsidRPr="00187A3E">
        <w:t xml:space="preserve">the </w:t>
      </w:r>
      <w:r w:rsidR="00023E03" w:rsidRPr="00187A3E">
        <w:t>reliability</w:t>
      </w:r>
      <w:r w:rsidR="00C779F3" w:rsidRPr="00187A3E">
        <w:t xml:space="preserve"> of multiple-question Likert scale surveys or</w:t>
      </w:r>
      <w:r w:rsidR="00023E03" w:rsidRPr="00187A3E">
        <w:t xml:space="preserve"> whether the variable of interest can be accurately measured.</w:t>
      </w:r>
      <w:r w:rsidR="00E61FA6">
        <w:t xml:space="preserve"> </w:t>
      </w:r>
    </w:p>
    <w:p w14:paraId="0000002D" w14:textId="5C3F6F04" w:rsidR="00893BCB" w:rsidRPr="00187A3E" w:rsidRDefault="00023E03" w:rsidP="0007202D">
      <w:pPr>
        <w:tabs>
          <w:tab w:val="right" w:pos="8640"/>
          <w:tab w:val="right" w:pos="8640"/>
        </w:tabs>
      </w:pPr>
      <w:r w:rsidRPr="00187A3E">
        <w:t>Reward was α</w:t>
      </w:r>
      <w:r w:rsidR="00C779F3" w:rsidRPr="00187A3E">
        <w:t xml:space="preserve"> = 0.78, Punishment was α = .064, and Override was α = 0.81. Usually, if the score is above .70 it is considered acceptable, and internal consistency is found. </w:t>
      </w:r>
    </w:p>
    <w:p w14:paraId="4557D209" w14:textId="77777777" w:rsidR="00391F90" w:rsidRDefault="00FC30D0" w:rsidP="00B2465A">
      <w:pPr>
        <w:tabs>
          <w:tab w:val="right" w:pos="8640"/>
          <w:tab w:val="right" w:pos="8640"/>
        </w:tabs>
        <w:ind w:firstLine="0"/>
      </w:pPr>
      <w:r w:rsidRPr="00187A3E">
        <w:t>Rapp et al. (2022) in their study examined FRN (</w:t>
      </w:r>
      <w:r w:rsidR="008729D8" w:rsidRPr="00187A3E">
        <w:t>feedback-related</w:t>
      </w:r>
      <w:r w:rsidRPr="00187A3E">
        <w:t xml:space="preserve"> negativity) as well as collectivism (the attitudes of the cultural, and family group as a whole). </w:t>
      </w:r>
      <w:r w:rsidR="00E61FA6">
        <w:t xml:space="preserve">FRN measures neural responses. This study intrigued me simply because children living in subsidized housing and children who do </w:t>
      </w:r>
      <w:r w:rsidR="000D3469">
        <w:t>not</w:t>
      </w:r>
      <w:r w:rsidR="0007202D">
        <w:t>,</w:t>
      </w:r>
      <w:r w:rsidR="000D3469">
        <w:t xml:space="preserve"> may </w:t>
      </w:r>
      <w:r w:rsidR="00E61FA6">
        <w:t xml:space="preserve">take on their environment and cultural behaviors </w:t>
      </w:r>
      <w:r w:rsidR="000D3469">
        <w:t xml:space="preserve">(collectivism) </w:t>
      </w:r>
      <w:r w:rsidR="00E61FA6">
        <w:t xml:space="preserve">which may or may not be healthy. </w:t>
      </w:r>
    </w:p>
    <w:p w14:paraId="7FE37730" w14:textId="77777777" w:rsidR="00391F90" w:rsidRDefault="00391F90" w:rsidP="00B2465A">
      <w:pPr>
        <w:tabs>
          <w:tab w:val="right" w:pos="8640"/>
          <w:tab w:val="right" w:pos="8640"/>
        </w:tabs>
        <w:ind w:firstLine="0"/>
      </w:pPr>
    </w:p>
    <w:p w14:paraId="0FCD7D01" w14:textId="77777777" w:rsidR="00391F90" w:rsidRDefault="00391F90" w:rsidP="00B2465A">
      <w:pPr>
        <w:tabs>
          <w:tab w:val="right" w:pos="8640"/>
          <w:tab w:val="right" w:pos="8640"/>
        </w:tabs>
        <w:ind w:firstLine="0"/>
      </w:pPr>
    </w:p>
    <w:p w14:paraId="557E9B1C" w14:textId="77777777" w:rsidR="00391F90" w:rsidRDefault="00391F90" w:rsidP="00B2465A">
      <w:pPr>
        <w:tabs>
          <w:tab w:val="right" w:pos="8640"/>
          <w:tab w:val="right" w:pos="8640"/>
        </w:tabs>
        <w:ind w:firstLine="0"/>
      </w:pPr>
      <w:r>
        <w:tab/>
      </w:r>
      <w:r w:rsidR="00E61FA6">
        <w:t>Also, the feedback and socialization they receive when they return home after a day of experiencing bullying, harassment, discrimination</w:t>
      </w:r>
      <w:r w:rsidR="000D3469">
        <w:t>,</w:t>
      </w:r>
      <w:r w:rsidR="00E61FA6">
        <w:t xml:space="preserve"> or other events penetrate the psyche. </w:t>
      </w:r>
      <w:r w:rsidR="000D3469">
        <w:t>If the culture/attitudes of the child’s environment and their respective homes tend to be negative, pessimistic, dismissive, or unencouraging, they take these values on. An encouraging, attentive, and uplifting culture can buoy the child’s spirit enough so that they are stronger and more prepared for the next day.</w:t>
      </w:r>
      <w:r>
        <w:t xml:space="preserve"> </w:t>
      </w:r>
    </w:p>
    <w:p w14:paraId="0000002E" w14:textId="67AC3BCA" w:rsidR="00893BCB" w:rsidRPr="00391F90" w:rsidRDefault="00FC30D0" w:rsidP="00B2465A">
      <w:pPr>
        <w:tabs>
          <w:tab w:val="right" w:pos="8640"/>
          <w:tab w:val="right" w:pos="8640"/>
        </w:tabs>
        <w:ind w:firstLine="0"/>
      </w:pPr>
      <w:r w:rsidRPr="00187A3E">
        <w:t>Rapp et al. (2022) found that “override responses were associated with enhanced FRN following peer rejection for youth who endorsed low and moderate levels of collectivism” (p. 263). The children who embraced low or moderate collectivism perceived the use of their parent’s override strategy toward their negative emotions as non-supportive in contrast to previously mentioned studies.</w:t>
      </w:r>
      <w:r w:rsidR="00A34577" w:rsidRPr="00187A3E">
        <w:t xml:space="preserve"> Rapp et al. (2022) assert that race/ethnicity and collectivism are not synonymous</w:t>
      </w:r>
      <w:r w:rsidR="003C51E2" w:rsidRPr="00024C02">
        <w:rPr>
          <w:color w:val="FF0000"/>
        </w:rPr>
        <w:t xml:space="preserve"> </w:t>
      </w:r>
    </w:p>
    <w:p w14:paraId="08BF5B07" w14:textId="75115C22" w:rsidR="008729D8" w:rsidRDefault="008729D8">
      <w:pPr>
        <w:tabs>
          <w:tab w:val="right" w:pos="8640"/>
          <w:tab w:val="right" w:pos="8640"/>
        </w:tabs>
      </w:pPr>
      <w:r w:rsidRPr="00187A3E">
        <w:t xml:space="preserve">It seems that </w:t>
      </w:r>
      <w:r w:rsidR="00391F90">
        <w:t>in literature</w:t>
      </w:r>
      <w:r w:rsidRPr="00187A3E">
        <w:t xml:space="preserve"> evaluating ethnic-racial socialization among black people, </w:t>
      </w:r>
      <w:r w:rsidR="00391F90">
        <w:tab/>
      </w:r>
      <w:r w:rsidRPr="00187A3E">
        <w:t xml:space="preserve">Latinos, or Asians, </w:t>
      </w:r>
      <w:r w:rsidR="000D3469">
        <w:t xml:space="preserve">studying the </w:t>
      </w:r>
      <w:r w:rsidRPr="00187A3E">
        <w:t xml:space="preserve">socialization in White families is not considered necessary or not studied as much. Additionally, </w:t>
      </w:r>
      <w:r w:rsidR="00E62EDF" w:rsidRPr="00187A3E">
        <w:t>the White</w:t>
      </w:r>
      <w:r w:rsidRPr="00187A3E">
        <w:t xml:space="preserve"> family's interactions with others or their perceptions of other ethnicities are considered the baseline influence for the ethnic-racial socialization of non-whites. This social context proves crucial for many of the mixed-income housing strategies of HUD and other housing agencies. White families in the U.S. tend to hold higher incomes than non-whites</w:t>
      </w:r>
      <w:r w:rsidR="00391F90">
        <w:t>, therefore the occupancy of non-whites, who tend to have a lesser income, would account for less occupancy in an apartment complex</w:t>
      </w:r>
      <w:r w:rsidRPr="00187A3E">
        <w:t xml:space="preserve">. A White family's socialization outcomes and their parental socialization strategies affect the dynamic of culturally diverse, mixed-income apartment complexes. </w:t>
      </w:r>
    </w:p>
    <w:p w14:paraId="7D036DA9" w14:textId="77777777" w:rsidR="00391F90" w:rsidRPr="00187A3E" w:rsidRDefault="00391F90">
      <w:pPr>
        <w:tabs>
          <w:tab w:val="right" w:pos="8640"/>
          <w:tab w:val="right" w:pos="8640"/>
        </w:tabs>
      </w:pPr>
    </w:p>
    <w:p w14:paraId="529C8A78" w14:textId="77777777" w:rsidR="00B2465A" w:rsidRDefault="008E6341" w:rsidP="00C43533">
      <w:pPr>
        <w:tabs>
          <w:tab w:val="right" w:pos="8640"/>
          <w:tab w:val="right" w:pos="8640"/>
        </w:tabs>
      </w:pPr>
      <w:r w:rsidRPr="00187A3E">
        <w:rPr>
          <w:shd w:val="clear" w:color="auto" w:fill="FFFFFF"/>
        </w:rPr>
        <w:t>Nieri, &amp; Huft, J. (2023) present</w:t>
      </w:r>
      <w:r w:rsidR="00E62EDF" w:rsidRPr="00187A3E">
        <w:rPr>
          <w:shd w:val="clear" w:color="auto" w:fill="FFFFFF"/>
        </w:rPr>
        <w:t>ed</w:t>
      </w:r>
      <w:r w:rsidRPr="00187A3E">
        <w:rPr>
          <w:shd w:val="clear" w:color="auto" w:fill="FFFFFF"/>
        </w:rPr>
        <w:t xml:space="preserve"> a study of contextual factors in (ERS) ethnic-racial socialization in white families. To reiterate the definition of ERS, Nieri &amp; Huft (2023) describe it as </w:t>
      </w:r>
      <w:r w:rsidRPr="00187A3E">
        <w:t xml:space="preserve">“parents’ strategies to teach their children about their own and other people’s ethnicity or race” (p.2 ). </w:t>
      </w:r>
      <w:r w:rsidR="002D4499" w:rsidRPr="00187A3E">
        <w:t xml:space="preserve">The results </w:t>
      </w:r>
      <w:r w:rsidR="00C43533" w:rsidRPr="00187A3E">
        <w:t>of</w:t>
      </w:r>
      <w:r w:rsidR="002D4499" w:rsidRPr="00187A3E">
        <w:t xml:space="preserve"> this study were intriguing. Using the </w:t>
      </w:r>
      <w:proofErr w:type="gramStart"/>
      <w:r w:rsidR="002D4499" w:rsidRPr="00187A3E">
        <w:t>most commonly studied</w:t>
      </w:r>
      <w:proofErr w:type="gramEnd"/>
      <w:r w:rsidR="002D4499" w:rsidRPr="00187A3E">
        <w:t xml:space="preserve"> ethnic-racial socialization strategies, eight were chosen to measure in </w:t>
      </w:r>
      <w:r w:rsidR="00C43533" w:rsidRPr="00187A3E">
        <w:t>relation to the ethnic-racial compositions of neighborhoods, schools, and social networks</w:t>
      </w:r>
      <w:r w:rsidR="002D4499" w:rsidRPr="00187A3E">
        <w:t>. The</w:t>
      </w:r>
      <w:r w:rsidR="00C43533" w:rsidRPr="00187A3E">
        <w:t xml:space="preserve"> strategies</w:t>
      </w:r>
      <w:r w:rsidR="002D4499" w:rsidRPr="00187A3E">
        <w:t xml:space="preserve"> were as follows: cultural socialization, promotion of mistrust, preparation for bias, egalitarianism, mainstream socialization, exposure to diversity, silent racial socialization, and antiracism socialization. </w:t>
      </w:r>
    </w:p>
    <w:p w14:paraId="3E6C650E" w14:textId="2287E658" w:rsidR="00C43533" w:rsidRPr="00187A3E" w:rsidRDefault="00C43533" w:rsidP="00C43533">
      <w:pPr>
        <w:tabs>
          <w:tab w:val="right" w:pos="8640"/>
          <w:tab w:val="right" w:pos="8640"/>
        </w:tabs>
      </w:pPr>
      <w:r w:rsidRPr="00187A3E">
        <w:t>The measurement reliability for each socialization practice was tested using Cronbach’s alpha</w:t>
      </w:r>
      <w:r w:rsidR="00CE7031" w:rsidRPr="00187A3E">
        <w:t xml:space="preserve">. </w:t>
      </w:r>
      <w:r w:rsidR="00BF63E2" w:rsidRPr="00187A3E">
        <w:t xml:space="preserve">Three items (essentially questions) were used to measure </w:t>
      </w:r>
      <w:r w:rsidR="00CE7031" w:rsidRPr="00187A3E">
        <w:t>P</w:t>
      </w:r>
      <w:r w:rsidR="00BF63E2" w:rsidRPr="00187A3E">
        <w:t xml:space="preserve">romotion of mistrust, </w:t>
      </w:r>
      <w:r w:rsidR="00BF63E2" w:rsidRPr="00187A3E">
        <w:sym w:font="Symbol" w:char="F061"/>
      </w:r>
      <w:r w:rsidR="00BF63E2" w:rsidRPr="00187A3E">
        <w:t xml:space="preserve"> = 0.909</w:t>
      </w:r>
      <w:r w:rsidR="00CE7031" w:rsidRPr="00187A3E">
        <w:t xml:space="preserve">. Exposure to diversity consisted of four items with </w:t>
      </w:r>
      <w:r w:rsidR="00CE7031" w:rsidRPr="00187A3E">
        <w:sym w:font="Symbol" w:char="F061"/>
      </w:r>
      <w:r w:rsidR="00CE7031" w:rsidRPr="00187A3E">
        <w:t xml:space="preserve"> = 0.864. Antiracism socialization was </w:t>
      </w:r>
      <w:r w:rsidR="00CE7031" w:rsidRPr="00187A3E">
        <w:sym w:font="Symbol" w:char="F061"/>
      </w:r>
      <w:r w:rsidR="00CE7031" w:rsidRPr="00187A3E">
        <w:t xml:space="preserve"> 0.846.  Each socialization scored above 0.70 which indicates good reliability. </w:t>
      </w:r>
    </w:p>
    <w:p w14:paraId="0BE3B48F" w14:textId="112E6143" w:rsidR="00BD660B" w:rsidRDefault="00BD660B" w:rsidP="00931703">
      <w:pPr>
        <w:tabs>
          <w:tab w:val="right" w:pos="8640"/>
          <w:tab w:val="right" w:pos="8640"/>
        </w:tabs>
      </w:pPr>
      <w:r w:rsidRPr="00187A3E">
        <w:t xml:space="preserve">In the following table of </w:t>
      </w:r>
      <w:r w:rsidRPr="00187A3E">
        <w:rPr>
          <w:shd w:val="clear" w:color="auto" w:fill="FFFFFF"/>
        </w:rPr>
        <w:t xml:space="preserve">Nieri, &amp; Huft, J. (2023), we </w:t>
      </w:r>
      <w:proofErr w:type="gramStart"/>
      <w:r w:rsidRPr="00187A3E">
        <w:rPr>
          <w:shd w:val="clear" w:color="auto" w:fill="FFFFFF"/>
        </w:rPr>
        <w:t>are able to</w:t>
      </w:r>
      <w:proofErr w:type="gramEnd"/>
      <w:r w:rsidRPr="00187A3E">
        <w:rPr>
          <w:shd w:val="clear" w:color="auto" w:fill="FFFFFF"/>
        </w:rPr>
        <w:t xml:space="preserve"> analyze statistical descriptives of socialization practices of the three compositional makeups mentioned above. </w:t>
      </w:r>
      <w:r w:rsidR="008C27C5" w:rsidRPr="00187A3E">
        <w:t xml:space="preserve">Each compositional makeup shows negative correlations. In neighborhood and high school composition, promotion of mistrust and preparation of bias were the two </w:t>
      </w:r>
      <w:r w:rsidR="00931703" w:rsidRPr="00187A3E">
        <w:t xml:space="preserve">statistically significant </w:t>
      </w:r>
      <w:r w:rsidR="008C27C5" w:rsidRPr="00187A3E">
        <w:t>correlations</w:t>
      </w:r>
      <w:r w:rsidR="00931703" w:rsidRPr="00187A3E">
        <w:t xml:space="preserve">, and in social network, the correlation was statistically significant for promotion of mistrust, preparation for bias, exposure to diversity, silent racial socialization, and antiracism socialization, as you can tell by the numbers that are either -0.101 or closest to it. This means that within these domains,  </w:t>
      </w:r>
      <w:r w:rsidR="00A523C2" w:rsidRPr="00187A3E">
        <w:t>specific</w:t>
      </w:r>
      <w:r w:rsidR="00931703" w:rsidRPr="00187A3E">
        <w:t xml:space="preserve"> ethnic-racial socialization practices almost did not exist. In other </w:t>
      </w:r>
      <w:r w:rsidR="00A523C2" w:rsidRPr="00187A3E">
        <w:t>words,</w:t>
      </w:r>
      <w:r w:rsidR="00931703" w:rsidRPr="00187A3E">
        <w:t xml:space="preserve"> </w:t>
      </w:r>
      <w:r w:rsidR="00A523C2" w:rsidRPr="00187A3E">
        <w:t>“</w:t>
      </w:r>
      <w:r w:rsidR="00931703" w:rsidRPr="00187A3E">
        <w:t>T</w:t>
      </w:r>
      <w:r w:rsidRPr="00187A3E">
        <w:t>he higher the percentage of white friends and acquaintances, the less frequent was the socialization” (</w:t>
      </w:r>
      <w:r w:rsidRPr="00187A3E">
        <w:rPr>
          <w:shd w:val="clear" w:color="auto" w:fill="FFFFFF"/>
        </w:rPr>
        <w:t xml:space="preserve">Nieri, &amp; Huft, J., 2023, </w:t>
      </w:r>
      <w:r w:rsidRPr="00187A3E">
        <w:t>p. 6).</w:t>
      </w:r>
    </w:p>
    <w:p w14:paraId="726EBF00" w14:textId="77777777" w:rsidR="00391F90" w:rsidRDefault="00391F90" w:rsidP="00931703">
      <w:pPr>
        <w:tabs>
          <w:tab w:val="right" w:pos="8640"/>
          <w:tab w:val="right" w:pos="8640"/>
        </w:tabs>
      </w:pPr>
    </w:p>
    <w:p w14:paraId="38C7EE3B" w14:textId="60BEF391" w:rsidR="00174271" w:rsidRDefault="00174271" w:rsidP="00174271">
      <w:pPr>
        <w:tabs>
          <w:tab w:val="right" w:pos="8640"/>
          <w:tab w:val="right" w:pos="8640"/>
        </w:tabs>
        <w:ind w:firstLine="0"/>
        <w:rPr>
          <w:b/>
          <w:bCs/>
        </w:rPr>
      </w:pPr>
      <w:r w:rsidRPr="000504B5">
        <w:rPr>
          <w:b/>
          <w:bCs/>
        </w:rPr>
        <w:t>Table 2.  Pearson correlations of perceived ERS with ethnic-racial composition</w:t>
      </w:r>
    </w:p>
    <w:tbl>
      <w:tblPr>
        <w:tblStyle w:val="TableGrid"/>
        <w:tblW w:w="8995" w:type="dxa"/>
        <w:tblLook w:val="04A0" w:firstRow="1" w:lastRow="0" w:firstColumn="1" w:lastColumn="0" w:noHBand="0" w:noVBand="1"/>
      </w:tblPr>
      <w:tblGrid>
        <w:gridCol w:w="2771"/>
        <w:gridCol w:w="2084"/>
        <w:gridCol w:w="1980"/>
        <w:gridCol w:w="2160"/>
      </w:tblGrid>
      <w:tr w:rsidR="000504B5" w14:paraId="5ACDB3D1" w14:textId="77777777" w:rsidTr="00A52C83">
        <w:trPr>
          <w:trHeight w:val="436"/>
        </w:trPr>
        <w:tc>
          <w:tcPr>
            <w:tcW w:w="2771" w:type="dxa"/>
          </w:tcPr>
          <w:p w14:paraId="388CC350" w14:textId="77777777" w:rsidR="000504B5" w:rsidRDefault="000504B5">
            <w:pPr>
              <w:tabs>
                <w:tab w:val="right" w:pos="8640"/>
                <w:tab w:val="right" w:pos="8640"/>
              </w:tabs>
              <w:ind w:firstLine="0"/>
            </w:pPr>
          </w:p>
        </w:tc>
        <w:tc>
          <w:tcPr>
            <w:tcW w:w="2084" w:type="dxa"/>
          </w:tcPr>
          <w:p w14:paraId="10721EDF" w14:textId="77777777" w:rsidR="000504B5" w:rsidRPr="00A52C83" w:rsidRDefault="000504B5">
            <w:pPr>
              <w:tabs>
                <w:tab w:val="right" w:pos="8640"/>
                <w:tab w:val="right" w:pos="8640"/>
              </w:tabs>
              <w:ind w:firstLine="0"/>
              <w:rPr>
                <w:b/>
                <w:bCs/>
              </w:rPr>
            </w:pPr>
            <w:r w:rsidRPr="00A52C83">
              <w:rPr>
                <w:b/>
                <w:bCs/>
              </w:rPr>
              <w:t xml:space="preserve">% White </w:t>
            </w:r>
          </w:p>
          <w:p w14:paraId="0B2D98ED" w14:textId="47BCE6AF" w:rsidR="000504B5" w:rsidRPr="00A52C83" w:rsidRDefault="000504B5">
            <w:pPr>
              <w:tabs>
                <w:tab w:val="right" w:pos="8640"/>
                <w:tab w:val="right" w:pos="8640"/>
              </w:tabs>
              <w:ind w:firstLine="0"/>
              <w:rPr>
                <w:b/>
                <w:bCs/>
              </w:rPr>
            </w:pPr>
            <w:r w:rsidRPr="00A52C83">
              <w:rPr>
                <w:b/>
                <w:bCs/>
              </w:rPr>
              <w:t>Neighborhood</w:t>
            </w:r>
          </w:p>
        </w:tc>
        <w:tc>
          <w:tcPr>
            <w:tcW w:w="1980" w:type="dxa"/>
          </w:tcPr>
          <w:p w14:paraId="12DFDB15" w14:textId="77777777" w:rsidR="000504B5" w:rsidRPr="00A52C83" w:rsidRDefault="000504B5">
            <w:pPr>
              <w:tabs>
                <w:tab w:val="right" w:pos="8640"/>
                <w:tab w:val="right" w:pos="8640"/>
              </w:tabs>
              <w:ind w:firstLine="0"/>
              <w:rPr>
                <w:b/>
                <w:bCs/>
              </w:rPr>
            </w:pPr>
            <w:r w:rsidRPr="00A52C83">
              <w:rPr>
                <w:b/>
                <w:bCs/>
              </w:rPr>
              <w:t>% White</w:t>
            </w:r>
          </w:p>
          <w:p w14:paraId="6F506CCC" w14:textId="086F141A" w:rsidR="000504B5" w:rsidRPr="00A52C83" w:rsidRDefault="000504B5">
            <w:pPr>
              <w:tabs>
                <w:tab w:val="right" w:pos="8640"/>
                <w:tab w:val="right" w:pos="8640"/>
              </w:tabs>
              <w:ind w:firstLine="0"/>
              <w:rPr>
                <w:b/>
                <w:bCs/>
              </w:rPr>
            </w:pPr>
            <w:r w:rsidRPr="00A52C83">
              <w:rPr>
                <w:b/>
                <w:bCs/>
              </w:rPr>
              <w:t>High School</w:t>
            </w:r>
          </w:p>
        </w:tc>
        <w:tc>
          <w:tcPr>
            <w:tcW w:w="2160" w:type="dxa"/>
          </w:tcPr>
          <w:p w14:paraId="3364BEAE" w14:textId="77777777" w:rsidR="000504B5" w:rsidRPr="00A52C83" w:rsidRDefault="000504B5">
            <w:pPr>
              <w:tabs>
                <w:tab w:val="right" w:pos="8640"/>
                <w:tab w:val="right" w:pos="8640"/>
              </w:tabs>
              <w:ind w:firstLine="0"/>
              <w:rPr>
                <w:b/>
                <w:bCs/>
              </w:rPr>
            </w:pPr>
            <w:r w:rsidRPr="00A52C83">
              <w:rPr>
                <w:b/>
                <w:bCs/>
              </w:rPr>
              <w:t xml:space="preserve">% White Family </w:t>
            </w:r>
          </w:p>
          <w:p w14:paraId="7B6AD0DB" w14:textId="7FA68C63" w:rsidR="000504B5" w:rsidRPr="00A52C83" w:rsidRDefault="000504B5">
            <w:pPr>
              <w:tabs>
                <w:tab w:val="right" w:pos="8640"/>
                <w:tab w:val="right" w:pos="8640"/>
              </w:tabs>
              <w:ind w:firstLine="0"/>
              <w:rPr>
                <w:b/>
                <w:bCs/>
              </w:rPr>
            </w:pPr>
            <w:r w:rsidRPr="00A52C83">
              <w:rPr>
                <w:b/>
                <w:bCs/>
              </w:rPr>
              <w:t>Social Network</w:t>
            </w:r>
          </w:p>
        </w:tc>
      </w:tr>
      <w:tr w:rsidR="000504B5" w14:paraId="3B6A93D2" w14:textId="77777777" w:rsidTr="00A52C83">
        <w:trPr>
          <w:trHeight w:val="436"/>
        </w:trPr>
        <w:tc>
          <w:tcPr>
            <w:tcW w:w="2771" w:type="dxa"/>
          </w:tcPr>
          <w:p w14:paraId="68F9172F" w14:textId="206CD121" w:rsidR="000504B5" w:rsidRDefault="000504B5" w:rsidP="000504B5">
            <w:pPr>
              <w:tabs>
                <w:tab w:val="right" w:pos="8640"/>
                <w:tab w:val="right" w:pos="8640"/>
              </w:tabs>
              <w:ind w:firstLine="0"/>
            </w:pPr>
            <w:r>
              <w:t>Cultural socialization</w:t>
            </w:r>
          </w:p>
        </w:tc>
        <w:tc>
          <w:tcPr>
            <w:tcW w:w="2084" w:type="dxa"/>
          </w:tcPr>
          <w:p w14:paraId="36FB5353" w14:textId="03E4129E" w:rsidR="000504B5" w:rsidRDefault="000504B5" w:rsidP="000504B5">
            <w:pPr>
              <w:tabs>
                <w:tab w:val="right" w:pos="8640"/>
                <w:tab w:val="right" w:pos="8640"/>
              </w:tabs>
              <w:ind w:firstLine="0"/>
            </w:pPr>
            <w:r w:rsidRPr="001B3C7A">
              <w:t xml:space="preserve">−0.056 </w:t>
            </w:r>
          </w:p>
        </w:tc>
        <w:tc>
          <w:tcPr>
            <w:tcW w:w="1980" w:type="dxa"/>
          </w:tcPr>
          <w:p w14:paraId="62B85B2F" w14:textId="0539017D" w:rsidR="000504B5" w:rsidRDefault="000504B5" w:rsidP="000504B5">
            <w:pPr>
              <w:tabs>
                <w:tab w:val="right" w:pos="8640"/>
                <w:tab w:val="right" w:pos="8640"/>
              </w:tabs>
              <w:ind w:firstLine="0"/>
            </w:pPr>
            <w:r w:rsidRPr="001B3C7A">
              <w:t xml:space="preserve"> −0.051  </w:t>
            </w:r>
          </w:p>
        </w:tc>
        <w:tc>
          <w:tcPr>
            <w:tcW w:w="2160" w:type="dxa"/>
          </w:tcPr>
          <w:p w14:paraId="558F1794" w14:textId="1EFA5037" w:rsidR="000504B5" w:rsidRDefault="000504B5" w:rsidP="000504B5">
            <w:pPr>
              <w:tabs>
                <w:tab w:val="right" w:pos="8640"/>
                <w:tab w:val="right" w:pos="8640"/>
              </w:tabs>
              <w:ind w:firstLine="0"/>
            </w:pPr>
            <w:r w:rsidRPr="001B3C7A">
              <w:t xml:space="preserve">−0.062 </w:t>
            </w:r>
          </w:p>
        </w:tc>
      </w:tr>
      <w:tr w:rsidR="000504B5" w14:paraId="231FAE2C" w14:textId="77777777" w:rsidTr="00A52C83">
        <w:trPr>
          <w:trHeight w:val="496"/>
        </w:trPr>
        <w:tc>
          <w:tcPr>
            <w:tcW w:w="2771" w:type="dxa"/>
          </w:tcPr>
          <w:p w14:paraId="02B5C45F" w14:textId="4CD92D56" w:rsidR="000504B5" w:rsidRDefault="000504B5" w:rsidP="000504B5">
            <w:pPr>
              <w:tabs>
                <w:tab w:val="right" w:pos="8640"/>
                <w:tab w:val="right" w:pos="8640"/>
              </w:tabs>
              <w:ind w:firstLine="0"/>
            </w:pPr>
            <w:r>
              <w:t>Promotion of mistrust</w:t>
            </w:r>
          </w:p>
        </w:tc>
        <w:tc>
          <w:tcPr>
            <w:tcW w:w="2084" w:type="dxa"/>
          </w:tcPr>
          <w:p w14:paraId="123B2544" w14:textId="777D0D3C" w:rsidR="000504B5" w:rsidRDefault="000504B5" w:rsidP="000504B5">
            <w:pPr>
              <w:tabs>
                <w:tab w:val="right" w:pos="8640"/>
                <w:tab w:val="right" w:pos="8640"/>
              </w:tabs>
              <w:ind w:firstLine="0"/>
            </w:pPr>
            <w:r w:rsidRPr="0048247F">
              <w:t xml:space="preserve">−0.119 ** </w:t>
            </w:r>
          </w:p>
        </w:tc>
        <w:tc>
          <w:tcPr>
            <w:tcW w:w="1980" w:type="dxa"/>
          </w:tcPr>
          <w:p w14:paraId="02115064" w14:textId="23803B0C" w:rsidR="000504B5" w:rsidRDefault="000504B5" w:rsidP="000504B5">
            <w:pPr>
              <w:tabs>
                <w:tab w:val="right" w:pos="8640"/>
                <w:tab w:val="right" w:pos="8640"/>
              </w:tabs>
              <w:ind w:firstLine="0"/>
            </w:pPr>
            <w:r w:rsidRPr="0048247F">
              <w:t xml:space="preserve"> −0.113 ** </w:t>
            </w:r>
          </w:p>
        </w:tc>
        <w:tc>
          <w:tcPr>
            <w:tcW w:w="2160" w:type="dxa"/>
          </w:tcPr>
          <w:p w14:paraId="6D45B6A9" w14:textId="264BC556" w:rsidR="000504B5" w:rsidRDefault="000504B5" w:rsidP="000504B5">
            <w:pPr>
              <w:tabs>
                <w:tab w:val="right" w:pos="8640"/>
                <w:tab w:val="right" w:pos="8640"/>
              </w:tabs>
              <w:ind w:firstLine="0"/>
            </w:pPr>
            <w:r w:rsidRPr="0048247F">
              <w:t>−0.075 *</w:t>
            </w:r>
          </w:p>
        </w:tc>
      </w:tr>
      <w:tr w:rsidR="00BD660B" w14:paraId="7266D79C" w14:textId="77777777" w:rsidTr="00A52C83">
        <w:trPr>
          <w:trHeight w:val="436"/>
        </w:trPr>
        <w:tc>
          <w:tcPr>
            <w:tcW w:w="2771" w:type="dxa"/>
          </w:tcPr>
          <w:p w14:paraId="116991DF" w14:textId="07C737B0" w:rsidR="00BD660B" w:rsidRDefault="00BD660B" w:rsidP="00BD660B">
            <w:pPr>
              <w:tabs>
                <w:tab w:val="right" w:pos="8640"/>
                <w:tab w:val="right" w:pos="8640"/>
              </w:tabs>
              <w:ind w:firstLine="0"/>
            </w:pPr>
            <w:r>
              <w:t>Preparation for bias</w:t>
            </w:r>
          </w:p>
        </w:tc>
        <w:tc>
          <w:tcPr>
            <w:tcW w:w="2084" w:type="dxa"/>
          </w:tcPr>
          <w:p w14:paraId="1A0DE138" w14:textId="5DDE9AA3" w:rsidR="00BD660B" w:rsidRDefault="00BD660B" w:rsidP="00BD660B">
            <w:pPr>
              <w:tabs>
                <w:tab w:val="right" w:pos="8640"/>
                <w:tab w:val="right" w:pos="8640"/>
              </w:tabs>
              <w:ind w:firstLine="0"/>
            </w:pPr>
            <w:r w:rsidRPr="00275535">
              <w:t xml:space="preserve">−0.090 ** </w:t>
            </w:r>
          </w:p>
        </w:tc>
        <w:tc>
          <w:tcPr>
            <w:tcW w:w="1980" w:type="dxa"/>
          </w:tcPr>
          <w:p w14:paraId="2185E694" w14:textId="1152FE4E" w:rsidR="00BD660B" w:rsidRDefault="00BD660B" w:rsidP="00BD660B">
            <w:pPr>
              <w:tabs>
                <w:tab w:val="right" w:pos="8640"/>
                <w:tab w:val="right" w:pos="8640"/>
              </w:tabs>
              <w:ind w:firstLine="0"/>
            </w:pPr>
            <w:r w:rsidRPr="00275535">
              <w:t xml:space="preserve">−0.088 ** </w:t>
            </w:r>
          </w:p>
        </w:tc>
        <w:tc>
          <w:tcPr>
            <w:tcW w:w="2160" w:type="dxa"/>
          </w:tcPr>
          <w:p w14:paraId="28EB8F50" w14:textId="3D616EA6" w:rsidR="00BD660B" w:rsidRDefault="00BD660B" w:rsidP="00BD660B">
            <w:pPr>
              <w:tabs>
                <w:tab w:val="right" w:pos="8640"/>
                <w:tab w:val="right" w:pos="8640"/>
              </w:tabs>
              <w:ind w:firstLine="0"/>
            </w:pPr>
            <w:r w:rsidRPr="00275535">
              <w:t>−0.100 **</w:t>
            </w:r>
          </w:p>
        </w:tc>
      </w:tr>
      <w:tr w:rsidR="00BD660B" w14:paraId="7300BC73" w14:textId="77777777" w:rsidTr="00A52C83">
        <w:trPr>
          <w:trHeight w:val="416"/>
        </w:trPr>
        <w:tc>
          <w:tcPr>
            <w:tcW w:w="2771" w:type="dxa"/>
          </w:tcPr>
          <w:p w14:paraId="6E6A6219" w14:textId="7F61D071" w:rsidR="00BD660B" w:rsidRDefault="00BD660B" w:rsidP="00BD660B">
            <w:pPr>
              <w:tabs>
                <w:tab w:val="right" w:pos="8640"/>
                <w:tab w:val="right" w:pos="8640"/>
              </w:tabs>
              <w:ind w:firstLine="0"/>
            </w:pPr>
            <w:r>
              <w:t>Egalitarianism</w:t>
            </w:r>
          </w:p>
        </w:tc>
        <w:tc>
          <w:tcPr>
            <w:tcW w:w="2084" w:type="dxa"/>
          </w:tcPr>
          <w:p w14:paraId="02423E9D" w14:textId="228ABE7D" w:rsidR="00BD660B" w:rsidRDefault="00BD660B" w:rsidP="00BD660B">
            <w:pPr>
              <w:tabs>
                <w:tab w:val="right" w:pos="8640"/>
                <w:tab w:val="right" w:pos="8640"/>
              </w:tabs>
              <w:ind w:firstLine="0"/>
            </w:pPr>
            <w:r w:rsidRPr="00C24FA8">
              <w:t xml:space="preserve">−0.048 </w:t>
            </w:r>
          </w:p>
        </w:tc>
        <w:tc>
          <w:tcPr>
            <w:tcW w:w="1980" w:type="dxa"/>
          </w:tcPr>
          <w:p w14:paraId="4268C54E" w14:textId="43D02DD6" w:rsidR="00BD660B" w:rsidRDefault="00BD660B" w:rsidP="00BD660B">
            <w:pPr>
              <w:tabs>
                <w:tab w:val="right" w:pos="8640"/>
                <w:tab w:val="right" w:pos="8640"/>
              </w:tabs>
              <w:ind w:firstLine="0"/>
            </w:pPr>
            <w:r w:rsidRPr="00C24FA8">
              <w:t xml:space="preserve"> −0.026 </w:t>
            </w:r>
          </w:p>
        </w:tc>
        <w:tc>
          <w:tcPr>
            <w:tcW w:w="2160" w:type="dxa"/>
          </w:tcPr>
          <w:p w14:paraId="48662AFD" w14:textId="39DE6DC0" w:rsidR="00BD660B" w:rsidRDefault="00BD660B" w:rsidP="00BD660B">
            <w:pPr>
              <w:tabs>
                <w:tab w:val="right" w:pos="8640"/>
                <w:tab w:val="right" w:pos="8640"/>
              </w:tabs>
              <w:ind w:firstLine="0"/>
            </w:pPr>
            <w:r w:rsidRPr="00C24FA8">
              <w:t xml:space="preserve">−0.055 </w:t>
            </w:r>
          </w:p>
        </w:tc>
      </w:tr>
      <w:tr w:rsidR="00BD660B" w14:paraId="5991EE64" w14:textId="77777777" w:rsidTr="00A52C83">
        <w:trPr>
          <w:trHeight w:val="436"/>
        </w:trPr>
        <w:tc>
          <w:tcPr>
            <w:tcW w:w="2771" w:type="dxa"/>
          </w:tcPr>
          <w:p w14:paraId="7E4A8B0C" w14:textId="4E90B78F" w:rsidR="00BD660B" w:rsidRDefault="00BD660B" w:rsidP="00BD660B">
            <w:pPr>
              <w:tabs>
                <w:tab w:val="right" w:pos="8640"/>
                <w:tab w:val="right" w:pos="8640"/>
              </w:tabs>
              <w:ind w:firstLine="0"/>
            </w:pPr>
            <w:r>
              <w:t>Mainstream socialization</w:t>
            </w:r>
          </w:p>
        </w:tc>
        <w:tc>
          <w:tcPr>
            <w:tcW w:w="2084" w:type="dxa"/>
          </w:tcPr>
          <w:p w14:paraId="0CC5548E" w14:textId="69D9F5CA" w:rsidR="00BD660B" w:rsidRDefault="00BD660B" w:rsidP="00BD660B">
            <w:pPr>
              <w:tabs>
                <w:tab w:val="right" w:pos="8640"/>
                <w:tab w:val="right" w:pos="8640"/>
              </w:tabs>
              <w:ind w:firstLine="0"/>
            </w:pPr>
            <w:r w:rsidRPr="007E2039">
              <w:t xml:space="preserve">−0.007 </w:t>
            </w:r>
          </w:p>
        </w:tc>
        <w:tc>
          <w:tcPr>
            <w:tcW w:w="1980" w:type="dxa"/>
          </w:tcPr>
          <w:p w14:paraId="0949958B" w14:textId="6CA47EC0" w:rsidR="00BD660B" w:rsidRDefault="00BD660B" w:rsidP="00BD660B">
            <w:pPr>
              <w:tabs>
                <w:tab w:val="right" w:pos="8640"/>
                <w:tab w:val="right" w:pos="8640"/>
              </w:tabs>
              <w:ind w:firstLine="0"/>
            </w:pPr>
            <w:r w:rsidRPr="007E2039">
              <w:t xml:space="preserve">0.033  </w:t>
            </w:r>
          </w:p>
        </w:tc>
        <w:tc>
          <w:tcPr>
            <w:tcW w:w="2160" w:type="dxa"/>
          </w:tcPr>
          <w:p w14:paraId="66FAB3AF" w14:textId="1809745D" w:rsidR="00BD660B" w:rsidRDefault="00BD660B" w:rsidP="00BD660B">
            <w:pPr>
              <w:tabs>
                <w:tab w:val="right" w:pos="8640"/>
                <w:tab w:val="right" w:pos="8640"/>
              </w:tabs>
              <w:ind w:firstLine="0"/>
            </w:pPr>
            <w:r w:rsidRPr="007E2039">
              <w:t xml:space="preserve"> −0.006 </w:t>
            </w:r>
          </w:p>
        </w:tc>
      </w:tr>
      <w:tr w:rsidR="00BD660B" w14:paraId="41E3D886" w14:textId="77777777" w:rsidTr="00A52C83">
        <w:trPr>
          <w:trHeight w:val="436"/>
        </w:trPr>
        <w:tc>
          <w:tcPr>
            <w:tcW w:w="2771" w:type="dxa"/>
          </w:tcPr>
          <w:p w14:paraId="4E734C9E" w14:textId="1ED4DAAF" w:rsidR="00BD660B" w:rsidRDefault="00BD660B" w:rsidP="00BD660B">
            <w:pPr>
              <w:tabs>
                <w:tab w:val="right" w:pos="8640"/>
                <w:tab w:val="right" w:pos="8640"/>
              </w:tabs>
              <w:ind w:firstLine="0"/>
            </w:pPr>
            <w:r>
              <w:t>Exposure to diversity</w:t>
            </w:r>
          </w:p>
        </w:tc>
        <w:tc>
          <w:tcPr>
            <w:tcW w:w="2084" w:type="dxa"/>
          </w:tcPr>
          <w:p w14:paraId="384F1E85" w14:textId="6C158379" w:rsidR="00BD660B" w:rsidRDefault="00BD660B" w:rsidP="00BD660B">
            <w:pPr>
              <w:tabs>
                <w:tab w:val="right" w:pos="8640"/>
                <w:tab w:val="right" w:pos="8640"/>
              </w:tabs>
              <w:ind w:firstLine="0"/>
            </w:pPr>
            <w:r w:rsidRPr="003A2064">
              <w:t xml:space="preserve">−0.043 </w:t>
            </w:r>
          </w:p>
        </w:tc>
        <w:tc>
          <w:tcPr>
            <w:tcW w:w="1980" w:type="dxa"/>
          </w:tcPr>
          <w:p w14:paraId="4E5294FB" w14:textId="28133539" w:rsidR="00BD660B" w:rsidRDefault="00BD660B" w:rsidP="00BD660B">
            <w:pPr>
              <w:tabs>
                <w:tab w:val="right" w:pos="8640"/>
                <w:tab w:val="right" w:pos="8640"/>
              </w:tabs>
              <w:ind w:firstLine="0"/>
            </w:pPr>
            <w:r w:rsidRPr="003A2064">
              <w:t xml:space="preserve">−0.045 </w:t>
            </w:r>
          </w:p>
        </w:tc>
        <w:tc>
          <w:tcPr>
            <w:tcW w:w="2160" w:type="dxa"/>
          </w:tcPr>
          <w:p w14:paraId="512A31A8" w14:textId="6B484406" w:rsidR="00BD660B" w:rsidRDefault="00BD660B" w:rsidP="00BD660B">
            <w:pPr>
              <w:tabs>
                <w:tab w:val="right" w:pos="8640"/>
                <w:tab w:val="right" w:pos="8640"/>
              </w:tabs>
              <w:ind w:firstLine="0"/>
            </w:pPr>
            <w:r w:rsidRPr="003A2064">
              <w:t xml:space="preserve"> −0.082 *</w:t>
            </w:r>
          </w:p>
        </w:tc>
      </w:tr>
      <w:tr w:rsidR="000504B5" w14:paraId="5574E158" w14:textId="77777777" w:rsidTr="00A52C83">
        <w:trPr>
          <w:trHeight w:val="436"/>
        </w:trPr>
        <w:tc>
          <w:tcPr>
            <w:tcW w:w="2771" w:type="dxa"/>
          </w:tcPr>
          <w:p w14:paraId="7E1CFC0B" w14:textId="7F09D8D3" w:rsidR="000504B5" w:rsidRDefault="000504B5">
            <w:pPr>
              <w:tabs>
                <w:tab w:val="right" w:pos="8640"/>
                <w:tab w:val="right" w:pos="8640"/>
              </w:tabs>
              <w:ind w:firstLine="0"/>
            </w:pPr>
            <w:r>
              <w:t>Silent racial socialization</w:t>
            </w:r>
          </w:p>
        </w:tc>
        <w:tc>
          <w:tcPr>
            <w:tcW w:w="2084" w:type="dxa"/>
          </w:tcPr>
          <w:p w14:paraId="38FE3772" w14:textId="360D16D0" w:rsidR="000504B5" w:rsidRDefault="0013029C">
            <w:pPr>
              <w:tabs>
                <w:tab w:val="right" w:pos="8640"/>
                <w:tab w:val="right" w:pos="8640"/>
              </w:tabs>
              <w:ind w:firstLine="0"/>
            </w:pPr>
            <w:r w:rsidRPr="00E15B20">
              <w:t>−0.055</w:t>
            </w:r>
          </w:p>
        </w:tc>
        <w:tc>
          <w:tcPr>
            <w:tcW w:w="1980" w:type="dxa"/>
          </w:tcPr>
          <w:p w14:paraId="0BA1D73A" w14:textId="534DA82C" w:rsidR="000504B5" w:rsidRDefault="0013029C">
            <w:pPr>
              <w:tabs>
                <w:tab w:val="right" w:pos="8640"/>
                <w:tab w:val="right" w:pos="8640"/>
              </w:tabs>
              <w:ind w:firstLine="0"/>
            </w:pPr>
            <w:r w:rsidRPr="00E15B20">
              <w:t>−0.053</w:t>
            </w:r>
          </w:p>
        </w:tc>
        <w:tc>
          <w:tcPr>
            <w:tcW w:w="2160" w:type="dxa"/>
          </w:tcPr>
          <w:p w14:paraId="5ACA7222" w14:textId="75F0C417" w:rsidR="000504B5" w:rsidRDefault="0013029C">
            <w:pPr>
              <w:tabs>
                <w:tab w:val="right" w:pos="8640"/>
                <w:tab w:val="right" w:pos="8640"/>
              </w:tabs>
              <w:ind w:firstLine="0"/>
            </w:pPr>
            <w:r w:rsidRPr="00E15B20">
              <w:t>−0.073 *</w:t>
            </w:r>
          </w:p>
        </w:tc>
      </w:tr>
      <w:tr w:rsidR="0013029C" w14:paraId="76EB86E9" w14:textId="77777777" w:rsidTr="00A52C83">
        <w:trPr>
          <w:trHeight w:val="436"/>
        </w:trPr>
        <w:tc>
          <w:tcPr>
            <w:tcW w:w="2771" w:type="dxa"/>
          </w:tcPr>
          <w:p w14:paraId="2971A856" w14:textId="42EA59D3" w:rsidR="0013029C" w:rsidRDefault="0013029C" w:rsidP="0013029C">
            <w:pPr>
              <w:tabs>
                <w:tab w:val="right" w:pos="8640"/>
                <w:tab w:val="right" w:pos="8640"/>
              </w:tabs>
              <w:ind w:firstLine="0"/>
            </w:pPr>
            <w:r>
              <w:t>Antiracism socialization</w:t>
            </w:r>
          </w:p>
        </w:tc>
        <w:tc>
          <w:tcPr>
            <w:tcW w:w="2084" w:type="dxa"/>
          </w:tcPr>
          <w:p w14:paraId="0853C4B6" w14:textId="2473EDD9" w:rsidR="0013029C" w:rsidRDefault="0013029C" w:rsidP="0013029C">
            <w:pPr>
              <w:tabs>
                <w:tab w:val="right" w:pos="8640"/>
                <w:tab w:val="right" w:pos="8640"/>
              </w:tabs>
              <w:ind w:firstLine="0"/>
            </w:pPr>
            <w:r w:rsidRPr="007A6885">
              <w:t xml:space="preserve">−0.009 </w:t>
            </w:r>
          </w:p>
        </w:tc>
        <w:tc>
          <w:tcPr>
            <w:tcW w:w="1980" w:type="dxa"/>
          </w:tcPr>
          <w:p w14:paraId="10AE28F3" w14:textId="34F2B577" w:rsidR="0013029C" w:rsidRDefault="0013029C" w:rsidP="0013029C">
            <w:pPr>
              <w:tabs>
                <w:tab w:val="right" w:pos="8640"/>
                <w:tab w:val="right" w:pos="8640"/>
              </w:tabs>
              <w:ind w:firstLine="0"/>
            </w:pPr>
            <w:r w:rsidRPr="007A6885">
              <w:t xml:space="preserve"> −0.034</w:t>
            </w:r>
          </w:p>
        </w:tc>
        <w:tc>
          <w:tcPr>
            <w:tcW w:w="2160" w:type="dxa"/>
          </w:tcPr>
          <w:p w14:paraId="0465B9EA" w14:textId="451A39E6" w:rsidR="0013029C" w:rsidRDefault="0013029C" w:rsidP="0013029C">
            <w:pPr>
              <w:tabs>
                <w:tab w:val="right" w:pos="8640"/>
                <w:tab w:val="right" w:pos="8640"/>
              </w:tabs>
              <w:ind w:firstLine="0"/>
            </w:pPr>
            <w:r w:rsidRPr="007A6885">
              <w:t xml:space="preserve"> −0.101 **</w:t>
            </w:r>
          </w:p>
        </w:tc>
      </w:tr>
    </w:tbl>
    <w:p w14:paraId="67443B3F" w14:textId="440B7CA7" w:rsidR="00174271" w:rsidRDefault="00BD660B" w:rsidP="000504B5">
      <w:pPr>
        <w:tabs>
          <w:tab w:val="right" w:pos="8640"/>
          <w:tab w:val="right" w:pos="8640"/>
        </w:tabs>
        <w:ind w:firstLine="0"/>
        <w:rPr>
          <w:shd w:val="clear" w:color="auto" w:fill="FFFFFF"/>
        </w:rPr>
      </w:pPr>
      <w:r>
        <w:t xml:space="preserve">Note. * p &lt; 0.05 (2-tailed). ** p &lt; 0.01 (2-tailed). </w:t>
      </w:r>
      <w:r w:rsidR="000504B5">
        <w:rPr>
          <w:shd w:val="clear" w:color="auto" w:fill="FFFFFF"/>
        </w:rPr>
        <w:t>(</w:t>
      </w:r>
      <w:r w:rsidR="000504B5" w:rsidRPr="008E6341">
        <w:rPr>
          <w:shd w:val="clear" w:color="auto" w:fill="FFFFFF"/>
        </w:rPr>
        <w:t>Nieri, &amp; Huft, J.</w:t>
      </w:r>
      <w:r w:rsidR="000504B5">
        <w:rPr>
          <w:shd w:val="clear" w:color="auto" w:fill="FFFFFF"/>
        </w:rPr>
        <w:t xml:space="preserve">, </w:t>
      </w:r>
      <w:r w:rsidR="000504B5" w:rsidRPr="008E6341">
        <w:rPr>
          <w:shd w:val="clear" w:color="auto" w:fill="FFFFFF"/>
        </w:rPr>
        <w:t>2023</w:t>
      </w:r>
      <w:r w:rsidR="000504B5">
        <w:rPr>
          <w:shd w:val="clear" w:color="auto" w:fill="FFFFFF"/>
        </w:rPr>
        <w:t>, p. 6</w:t>
      </w:r>
      <w:r w:rsidR="000504B5" w:rsidRPr="008E6341">
        <w:rPr>
          <w:shd w:val="clear" w:color="auto" w:fill="FFFFFF"/>
        </w:rPr>
        <w:t>)</w:t>
      </w:r>
    </w:p>
    <w:p w14:paraId="2AB0D993" w14:textId="77777777" w:rsidR="00391F90" w:rsidRDefault="00391F90" w:rsidP="000504B5">
      <w:pPr>
        <w:tabs>
          <w:tab w:val="right" w:pos="8640"/>
          <w:tab w:val="right" w:pos="8640"/>
        </w:tabs>
        <w:ind w:firstLine="0"/>
      </w:pPr>
    </w:p>
    <w:p w14:paraId="528F4EC3" w14:textId="74FBEECE" w:rsidR="00E62EDF" w:rsidRPr="00187A3E" w:rsidRDefault="00E62EDF">
      <w:pPr>
        <w:tabs>
          <w:tab w:val="right" w:pos="8640"/>
          <w:tab w:val="right" w:pos="8640"/>
        </w:tabs>
      </w:pPr>
      <w:r w:rsidRPr="00187A3E">
        <w:t>The results of this study perhaps make a case for mixed-income properties where people of various ethnicities are sort of forced to live in the same building and hopefully learn respect for each other’s culture. Activities, focus groups, and even cultural art installations, planned by the property manager may enhance ethnic-racial socialization efforts</w:t>
      </w:r>
      <w:r w:rsidR="00B42810" w:rsidRPr="00187A3E">
        <w:t xml:space="preserve"> such as exposure to diversity or antiracism socialization</w:t>
      </w:r>
      <w:r w:rsidRPr="00187A3E">
        <w:t xml:space="preserve"> as well as increase opportunities for social capital.</w:t>
      </w:r>
    </w:p>
    <w:p w14:paraId="5F05448D" w14:textId="77777777" w:rsidR="00B2465A" w:rsidRDefault="00EF4560" w:rsidP="003C637A">
      <w:pPr>
        <w:tabs>
          <w:tab w:val="right" w:pos="8640"/>
          <w:tab w:val="right" w:pos="8640"/>
        </w:tabs>
      </w:pPr>
      <w:r w:rsidRPr="00187A3E">
        <w:t xml:space="preserve">As stated previously, </w:t>
      </w:r>
      <w:r w:rsidR="006A3E48" w:rsidRPr="00187A3E">
        <w:t>African American</w:t>
      </w:r>
      <w:r w:rsidRPr="00187A3E">
        <w:t xml:space="preserve"> families are my target subset. The African American male should lead the family and he may or may not be present within families living in subsidized housing. The ethnic-racial socialization practices of the African American father and husband make a tremendous impact on family interactions with other races, the individual family members as well as the community. Cooper et al. (2019) </w:t>
      </w:r>
      <w:r w:rsidR="006A3E48" w:rsidRPr="00187A3E">
        <w:t>conducted a qua</w:t>
      </w:r>
      <w:r w:rsidR="00B56040" w:rsidRPr="00187A3E">
        <w:t>ntitative</w:t>
      </w:r>
      <w:r w:rsidR="006A3E48" w:rsidRPr="00187A3E">
        <w:t xml:space="preserve"> study of</w:t>
      </w:r>
      <w:r w:rsidRPr="00187A3E">
        <w:t xml:space="preserve"> </w:t>
      </w:r>
      <w:r w:rsidR="006A3E48" w:rsidRPr="00187A3E">
        <w:t xml:space="preserve">black father’s racial identity beliefs and their association with various sociodemographic factors. </w:t>
      </w:r>
    </w:p>
    <w:p w14:paraId="781CA3CB" w14:textId="333DA590" w:rsidR="006A3E48" w:rsidRPr="00187A3E" w:rsidRDefault="006A3E48" w:rsidP="003C637A">
      <w:pPr>
        <w:tabs>
          <w:tab w:val="right" w:pos="8640"/>
          <w:tab w:val="right" w:pos="8640"/>
        </w:tabs>
      </w:pPr>
      <w:r w:rsidRPr="00187A3E">
        <w:t xml:space="preserve">Participants were fathers </w:t>
      </w:r>
      <w:r w:rsidR="00B2465A">
        <w:t>with an average</w:t>
      </w:r>
      <w:r w:rsidRPr="00187A3E">
        <w:t xml:space="preserve"> of thirty-two (</w:t>
      </w:r>
      <w:r w:rsidRPr="00187A3E">
        <w:rPr>
          <w:i/>
          <w:iCs/>
        </w:rPr>
        <w:t xml:space="preserve">M </w:t>
      </w:r>
      <w:r w:rsidRPr="00187A3E">
        <w:t>= 32.2</w:t>
      </w:r>
      <w:r w:rsidR="003C637A" w:rsidRPr="00187A3E">
        <w:t>;</w:t>
      </w:r>
      <w:r w:rsidRPr="00187A3E">
        <w:t xml:space="preserve"> </w:t>
      </w:r>
      <w:r w:rsidRPr="00187A3E">
        <w:rPr>
          <w:i/>
          <w:iCs/>
        </w:rPr>
        <w:t>SD</w:t>
      </w:r>
      <w:r w:rsidRPr="00187A3E">
        <w:t xml:space="preserve"> </w:t>
      </w:r>
      <w:r w:rsidR="003C637A" w:rsidRPr="00187A3E">
        <w:t xml:space="preserve">= 8.24) and adolescents averaging </w:t>
      </w:r>
      <w:r w:rsidR="00B56040" w:rsidRPr="00187A3E">
        <w:t xml:space="preserve">an </w:t>
      </w:r>
      <w:r w:rsidR="003C637A" w:rsidRPr="00187A3E">
        <w:t>age</w:t>
      </w:r>
      <w:r w:rsidR="00B56040" w:rsidRPr="00187A3E">
        <w:t xml:space="preserve"> of</w:t>
      </w:r>
      <w:r w:rsidR="003C637A" w:rsidRPr="00187A3E">
        <w:t xml:space="preserve"> 13 (M = 12.6; SD = 2.20). The men and young males were recruited from community centers, barber shops, churches, and businesses.  Cooper et al. (2019) formulated a hypothesis that fathers with a more balanced and positive view of race report greater ethnic-racial messages. The three socio-demographic factors</w:t>
      </w:r>
      <w:r w:rsidR="006D43E5" w:rsidRPr="00187A3E">
        <w:t xml:space="preserve">/variables </w:t>
      </w:r>
      <w:r w:rsidR="003C637A" w:rsidRPr="00187A3E">
        <w:t>were age, education, and residential status.</w:t>
      </w:r>
    </w:p>
    <w:p w14:paraId="36CF1FF9" w14:textId="5576A5F4" w:rsidR="00DB23E9" w:rsidRPr="00187A3E" w:rsidRDefault="00E76C31" w:rsidP="006D43E5">
      <w:pPr>
        <w:tabs>
          <w:tab w:val="right" w:pos="8640"/>
          <w:tab w:val="right" w:pos="8640"/>
        </w:tabs>
      </w:pPr>
      <w:r w:rsidRPr="00187A3E">
        <w:t xml:space="preserve">Cooper et al. (2019) used the Lesane Brown et al. (2008) 40-item Racial Socialization scale along with six subscales to assess the father’s self-reported ethnic-racial socialization practices. </w:t>
      </w:r>
      <w:r w:rsidR="006D43E5" w:rsidRPr="00187A3E">
        <w:t xml:space="preserve">Both </w:t>
      </w:r>
      <w:r w:rsidRPr="00187A3E">
        <w:t>scales proved a reliable measuring tool with</w:t>
      </w:r>
      <w:r w:rsidR="006D43E5" w:rsidRPr="00187A3E">
        <w:t xml:space="preserve"> each item for th</w:t>
      </w:r>
      <w:r w:rsidR="00B552C4">
        <w:t>e</w:t>
      </w:r>
      <w:r w:rsidR="006D43E5" w:rsidRPr="00187A3E">
        <w:t xml:space="preserve"> variable resulting in</w:t>
      </w:r>
      <w:r w:rsidRPr="00187A3E">
        <w:t xml:space="preserve"> </w:t>
      </w:r>
      <w:r w:rsidRPr="00187A3E">
        <w:sym w:font="Symbol" w:char="F061"/>
      </w:r>
      <w:r w:rsidRPr="00187A3E">
        <w:t xml:space="preserve"> measuring above 0.74.</w:t>
      </w:r>
      <w:r w:rsidR="006D43E5" w:rsidRPr="00187A3E">
        <w:t xml:space="preserve"> The (Sellers et al. 1997) Multidimensional Inventory of Black Identity scale was used to assess racial identity.</w:t>
      </w:r>
    </w:p>
    <w:p w14:paraId="3DC0364F" w14:textId="77777777" w:rsidR="00B2465A" w:rsidRDefault="0038445D" w:rsidP="006D43E5">
      <w:pPr>
        <w:tabs>
          <w:tab w:val="right" w:pos="8640"/>
          <w:tab w:val="right" w:pos="8640"/>
        </w:tabs>
      </w:pPr>
      <w:r w:rsidRPr="00187A3E">
        <w:t xml:space="preserve">In order to explain the descriptive results of this study, the below table from the article has been provided. Cooper et al. (2019) used a hierarchical regression model for bivariate analyses. Using the hierarchical regression model informs the reader that the researcher </w:t>
      </w:r>
      <w:r w:rsidR="003E7612" w:rsidRPr="00187A3E">
        <w:t>measured sets of variables in a series of steps, in this case, three steps where additional predictors are added. One can see by examining the table that the first step included sociodemographic</w:t>
      </w:r>
      <w:r w:rsidR="00D15BE4" w:rsidRPr="00187A3E">
        <w:t xml:space="preserve"> covariates</w:t>
      </w:r>
      <w:r w:rsidR="003E7612" w:rsidRPr="00187A3E">
        <w:t>: age, gender</w:t>
      </w:r>
      <w:r w:rsidR="00D15BE4" w:rsidRPr="00187A3E">
        <w:t>,</w:t>
      </w:r>
      <w:r w:rsidR="003E7612" w:rsidRPr="00187A3E">
        <w:t xml:space="preserve"> education</w:t>
      </w:r>
      <w:r w:rsidR="00D15BE4" w:rsidRPr="00187A3E">
        <w:t>, and residential status</w:t>
      </w:r>
      <w:r w:rsidR="003E7612" w:rsidRPr="00187A3E">
        <w:t xml:space="preserve">. </w:t>
      </w:r>
      <w:r w:rsidR="00D15BE4" w:rsidRPr="00187A3E">
        <w:t xml:space="preserve">Racial identity was included in the second step using the subscales centrality, public and private regard. </w:t>
      </w:r>
    </w:p>
    <w:p w14:paraId="7E99AE96" w14:textId="6823BAC0" w:rsidR="0038445D" w:rsidRDefault="00D15BE4" w:rsidP="006D43E5">
      <w:pPr>
        <w:tabs>
          <w:tab w:val="right" w:pos="8640"/>
          <w:tab w:val="right" w:pos="8640"/>
        </w:tabs>
      </w:pPr>
      <w:r w:rsidRPr="00187A3E">
        <w:t xml:space="preserve">The author wanted to examine how the sociodemographic factors were associated with the six ethnic-racial socialization </w:t>
      </w:r>
      <w:r w:rsidR="00B62091" w:rsidRPr="00187A3E">
        <w:t>practices,</w:t>
      </w:r>
      <w:r w:rsidRPr="00187A3E">
        <w:t xml:space="preserve"> so these six </w:t>
      </w:r>
      <w:r w:rsidR="00A22AF9" w:rsidRPr="00187A3E">
        <w:t xml:space="preserve">(ERS) </w:t>
      </w:r>
      <w:r w:rsidRPr="00187A3E">
        <w:t>practices were included in the third step of the regression model.</w:t>
      </w:r>
      <w:r w:rsidR="00A22AF9" w:rsidRPr="00187A3E">
        <w:t xml:space="preserve"> This model allows us to analyze the relationship between dependent and independent variables. </w:t>
      </w:r>
      <w:r w:rsidR="00852A92" w:rsidRPr="00187A3E">
        <w:t xml:space="preserve">Probability values of significance and extreme significance denoting we </w:t>
      </w:r>
      <w:proofErr w:type="gramStart"/>
      <w:r w:rsidR="00852A92" w:rsidRPr="00187A3E">
        <w:t>are able to</w:t>
      </w:r>
      <w:proofErr w:type="gramEnd"/>
      <w:r w:rsidR="00852A92" w:rsidRPr="00187A3E">
        <w:t xml:space="preserve"> reject the null hypothesis are given underneath the table.</w:t>
      </w:r>
    </w:p>
    <w:p w14:paraId="210ED51B" w14:textId="77777777" w:rsidR="00B552C4" w:rsidRDefault="00B552C4" w:rsidP="006D43E5">
      <w:pPr>
        <w:tabs>
          <w:tab w:val="right" w:pos="8640"/>
          <w:tab w:val="right" w:pos="8640"/>
        </w:tabs>
      </w:pPr>
    </w:p>
    <w:p w14:paraId="4078B62A" w14:textId="77777777" w:rsidR="00B552C4" w:rsidRPr="00187A3E" w:rsidRDefault="00B552C4" w:rsidP="006D43E5">
      <w:pPr>
        <w:tabs>
          <w:tab w:val="right" w:pos="8640"/>
          <w:tab w:val="right" w:pos="8640"/>
        </w:tabs>
      </w:pPr>
    </w:p>
    <w:p w14:paraId="4E54ADBB" w14:textId="77777777" w:rsidR="00852A92" w:rsidRDefault="00852A92" w:rsidP="006D43E5">
      <w:pPr>
        <w:tabs>
          <w:tab w:val="right" w:pos="8640"/>
          <w:tab w:val="right" w:pos="8640"/>
        </w:tabs>
      </w:pPr>
    </w:p>
    <w:tbl>
      <w:tblPr>
        <w:tblStyle w:val="TableGrid0"/>
        <w:tblW w:w="9865" w:type="dxa"/>
        <w:tblInd w:w="0" w:type="dxa"/>
        <w:tblCellMar>
          <w:top w:w="51" w:type="dxa"/>
          <w:bottom w:w="31" w:type="dxa"/>
          <w:right w:w="1" w:type="dxa"/>
        </w:tblCellMar>
        <w:tblLook w:val="04A0" w:firstRow="1" w:lastRow="0" w:firstColumn="1" w:lastColumn="0" w:noHBand="0" w:noVBand="1"/>
      </w:tblPr>
      <w:tblGrid>
        <w:gridCol w:w="1674"/>
        <w:gridCol w:w="702"/>
        <w:gridCol w:w="694"/>
        <w:gridCol w:w="702"/>
        <w:gridCol w:w="702"/>
        <w:gridCol w:w="703"/>
        <w:gridCol w:w="627"/>
        <w:gridCol w:w="695"/>
        <w:gridCol w:w="573"/>
        <w:gridCol w:w="571"/>
        <w:gridCol w:w="703"/>
        <w:gridCol w:w="703"/>
        <w:gridCol w:w="513"/>
        <w:gridCol w:w="303"/>
      </w:tblGrid>
      <w:tr w:rsidR="00DB23E9" w14:paraId="394A283A" w14:textId="77777777" w:rsidTr="0038445D">
        <w:trPr>
          <w:trHeight w:val="479"/>
        </w:trPr>
        <w:tc>
          <w:tcPr>
            <w:tcW w:w="5177" w:type="dxa"/>
            <w:gridSpan w:val="6"/>
            <w:tcBorders>
              <w:top w:val="single" w:sz="8" w:space="0" w:color="000000"/>
              <w:left w:val="nil"/>
              <w:bottom w:val="single" w:sz="5" w:space="0" w:color="000000"/>
              <w:right w:val="nil"/>
            </w:tcBorders>
            <w:vAlign w:val="bottom"/>
          </w:tcPr>
          <w:p w14:paraId="611CFDA9" w14:textId="77777777" w:rsidR="00DB23E9" w:rsidRDefault="00DB23E9" w:rsidP="00DB23E9">
            <w:pPr>
              <w:spacing w:line="259" w:lineRule="auto"/>
            </w:pPr>
            <w:r>
              <w:rPr>
                <w:rFonts w:ascii="Calibri" w:eastAsia="Calibri" w:hAnsi="Calibri" w:cs="Calibri"/>
                <w:sz w:val="17"/>
              </w:rPr>
              <w:t xml:space="preserve">Table 1 </w:t>
            </w:r>
            <w:r>
              <w:rPr>
                <w:sz w:val="17"/>
              </w:rPr>
              <w:t>Correlations, means (standard deviations) among study variables</w:t>
            </w:r>
          </w:p>
        </w:tc>
        <w:tc>
          <w:tcPr>
            <w:tcW w:w="627" w:type="dxa"/>
            <w:tcBorders>
              <w:top w:val="single" w:sz="8" w:space="0" w:color="000000"/>
              <w:left w:val="nil"/>
              <w:bottom w:val="single" w:sz="5" w:space="0" w:color="000000"/>
              <w:right w:val="nil"/>
            </w:tcBorders>
          </w:tcPr>
          <w:p w14:paraId="303C2E70" w14:textId="77777777" w:rsidR="00DB23E9" w:rsidRDefault="00DB23E9" w:rsidP="00DB23E9">
            <w:pPr>
              <w:spacing w:after="160" w:line="259" w:lineRule="auto"/>
            </w:pPr>
          </w:p>
        </w:tc>
        <w:tc>
          <w:tcPr>
            <w:tcW w:w="695" w:type="dxa"/>
            <w:tcBorders>
              <w:top w:val="single" w:sz="8" w:space="0" w:color="000000"/>
              <w:left w:val="nil"/>
              <w:bottom w:val="single" w:sz="5" w:space="0" w:color="000000"/>
              <w:right w:val="nil"/>
            </w:tcBorders>
          </w:tcPr>
          <w:p w14:paraId="0FCE43B3" w14:textId="77777777" w:rsidR="00DB23E9" w:rsidRDefault="00DB23E9" w:rsidP="00DB23E9">
            <w:pPr>
              <w:spacing w:after="160" w:line="259" w:lineRule="auto"/>
            </w:pPr>
          </w:p>
        </w:tc>
        <w:tc>
          <w:tcPr>
            <w:tcW w:w="573" w:type="dxa"/>
            <w:tcBorders>
              <w:top w:val="single" w:sz="8" w:space="0" w:color="000000"/>
              <w:left w:val="nil"/>
              <w:bottom w:val="single" w:sz="5" w:space="0" w:color="000000"/>
              <w:right w:val="nil"/>
            </w:tcBorders>
          </w:tcPr>
          <w:p w14:paraId="7707E8AA" w14:textId="77777777" w:rsidR="00DB23E9" w:rsidRDefault="00DB23E9" w:rsidP="00DB23E9">
            <w:pPr>
              <w:spacing w:after="160" w:line="259" w:lineRule="auto"/>
            </w:pPr>
          </w:p>
        </w:tc>
        <w:tc>
          <w:tcPr>
            <w:tcW w:w="571" w:type="dxa"/>
            <w:tcBorders>
              <w:top w:val="single" w:sz="8" w:space="0" w:color="000000"/>
              <w:left w:val="nil"/>
              <w:bottom w:val="single" w:sz="5" w:space="0" w:color="000000"/>
              <w:right w:val="nil"/>
            </w:tcBorders>
          </w:tcPr>
          <w:p w14:paraId="0575BC45" w14:textId="77777777" w:rsidR="00DB23E9" w:rsidRDefault="00DB23E9" w:rsidP="00DB23E9">
            <w:pPr>
              <w:spacing w:after="160" w:line="259" w:lineRule="auto"/>
            </w:pPr>
          </w:p>
        </w:tc>
        <w:tc>
          <w:tcPr>
            <w:tcW w:w="703" w:type="dxa"/>
            <w:tcBorders>
              <w:top w:val="single" w:sz="8" w:space="0" w:color="000000"/>
              <w:left w:val="nil"/>
              <w:bottom w:val="single" w:sz="5" w:space="0" w:color="000000"/>
              <w:right w:val="nil"/>
            </w:tcBorders>
          </w:tcPr>
          <w:p w14:paraId="10C455F2" w14:textId="77777777" w:rsidR="00DB23E9" w:rsidRDefault="00DB23E9" w:rsidP="00DB23E9">
            <w:pPr>
              <w:spacing w:after="160" w:line="259" w:lineRule="auto"/>
            </w:pPr>
          </w:p>
        </w:tc>
        <w:tc>
          <w:tcPr>
            <w:tcW w:w="703" w:type="dxa"/>
            <w:tcBorders>
              <w:top w:val="single" w:sz="8" w:space="0" w:color="000000"/>
              <w:left w:val="nil"/>
              <w:bottom w:val="single" w:sz="5" w:space="0" w:color="000000"/>
              <w:right w:val="nil"/>
            </w:tcBorders>
          </w:tcPr>
          <w:p w14:paraId="5721E534" w14:textId="77777777" w:rsidR="00DB23E9" w:rsidRDefault="00DB23E9" w:rsidP="00DB23E9">
            <w:pPr>
              <w:spacing w:after="160" w:line="259" w:lineRule="auto"/>
            </w:pPr>
          </w:p>
        </w:tc>
        <w:tc>
          <w:tcPr>
            <w:tcW w:w="513" w:type="dxa"/>
            <w:tcBorders>
              <w:top w:val="single" w:sz="8" w:space="0" w:color="000000"/>
              <w:left w:val="nil"/>
              <w:bottom w:val="single" w:sz="5" w:space="0" w:color="000000"/>
              <w:right w:val="nil"/>
            </w:tcBorders>
          </w:tcPr>
          <w:p w14:paraId="4A62CFE3" w14:textId="77777777" w:rsidR="00DB23E9" w:rsidRDefault="00DB23E9" w:rsidP="00DB23E9">
            <w:pPr>
              <w:spacing w:after="160" w:line="259" w:lineRule="auto"/>
            </w:pPr>
          </w:p>
        </w:tc>
        <w:tc>
          <w:tcPr>
            <w:tcW w:w="303" w:type="dxa"/>
            <w:tcBorders>
              <w:top w:val="single" w:sz="8" w:space="0" w:color="000000"/>
              <w:left w:val="nil"/>
              <w:bottom w:val="single" w:sz="5" w:space="0" w:color="000000"/>
              <w:right w:val="nil"/>
            </w:tcBorders>
          </w:tcPr>
          <w:p w14:paraId="4BCE02B1" w14:textId="77777777" w:rsidR="00DB23E9" w:rsidRDefault="00DB23E9" w:rsidP="00DB23E9">
            <w:pPr>
              <w:spacing w:after="160" w:line="259" w:lineRule="auto"/>
            </w:pPr>
          </w:p>
        </w:tc>
      </w:tr>
      <w:tr w:rsidR="00DB23E9" w14:paraId="6BC78120" w14:textId="77777777" w:rsidTr="0038445D">
        <w:trPr>
          <w:trHeight w:val="332"/>
        </w:trPr>
        <w:tc>
          <w:tcPr>
            <w:tcW w:w="1674" w:type="dxa"/>
            <w:tcBorders>
              <w:top w:val="single" w:sz="5" w:space="0" w:color="000000"/>
              <w:left w:val="nil"/>
              <w:bottom w:val="single" w:sz="8" w:space="0" w:color="000000"/>
              <w:right w:val="nil"/>
            </w:tcBorders>
          </w:tcPr>
          <w:p w14:paraId="6CF6106F" w14:textId="77777777" w:rsidR="00DB23E9" w:rsidRDefault="00DB23E9" w:rsidP="00DB23E9">
            <w:pPr>
              <w:spacing w:after="160" w:line="259" w:lineRule="auto"/>
            </w:pPr>
          </w:p>
        </w:tc>
        <w:tc>
          <w:tcPr>
            <w:tcW w:w="702" w:type="dxa"/>
            <w:tcBorders>
              <w:top w:val="single" w:sz="5" w:space="0" w:color="000000"/>
              <w:left w:val="nil"/>
              <w:bottom w:val="single" w:sz="8" w:space="0" w:color="000000"/>
              <w:right w:val="nil"/>
            </w:tcBorders>
          </w:tcPr>
          <w:p w14:paraId="36E16A96" w14:textId="77777777" w:rsidR="00DB23E9" w:rsidRDefault="00DB23E9" w:rsidP="00DB23E9">
            <w:pPr>
              <w:spacing w:line="259" w:lineRule="auto"/>
            </w:pPr>
            <w:r>
              <w:rPr>
                <w:sz w:val="17"/>
              </w:rPr>
              <w:t>1</w:t>
            </w:r>
          </w:p>
        </w:tc>
        <w:tc>
          <w:tcPr>
            <w:tcW w:w="694" w:type="dxa"/>
            <w:tcBorders>
              <w:top w:val="single" w:sz="5" w:space="0" w:color="000000"/>
              <w:left w:val="nil"/>
              <w:bottom w:val="single" w:sz="8" w:space="0" w:color="000000"/>
              <w:right w:val="nil"/>
            </w:tcBorders>
          </w:tcPr>
          <w:p w14:paraId="00C2C481" w14:textId="77777777" w:rsidR="00DB23E9" w:rsidRDefault="00DB23E9" w:rsidP="00DB23E9">
            <w:pPr>
              <w:spacing w:line="259" w:lineRule="auto"/>
            </w:pPr>
            <w:r>
              <w:rPr>
                <w:sz w:val="17"/>
              </w:rPr>
              <w:t>2</w:t>
            </w:r>
          </w:p>
        </w:tc>
        <w:tc>
          <w:tcPr>
            <w:tcW w:w="702" w:type="dxa"/>
            <w:tcBorders>
              <w:top w:val="single" w:sz="5" w:space="0" w:color="000000"/>
              <w:left w:val="nil"/>
              <w:bottom w:val="single" w:sz="8" w:space="0" w:color="000000"/>
              <w:right w:val="nil"/>
            </w:tcBorders>
          </w:tcPr>
          <w:p w14:paraId="4AF92B54" w14:textId="77777777" w:rsidR="00DB23E9" w:rsidRDefault="00DB23E9" w:rsidP="00DB23E9">
            <w:pPr>
              <w:spacing w:line="259" w:lineRule="auto"/>
            </w:pPr>
            <w:r>
              <w:rPr>
                <w:sz w:val="17"/>
              </w:rPr>
              <w:t>3</w:t>
            </w:r>
          </w:p>
        </w:tc>
        <w:tc>
          <w:tcPr>
            <w:tcW w:w="702" w:type="dxa"/>
            <w:tcBorders>
              <w:top w:val="single" w:sz="5" w:space="0" w:color="000000"/>
              <w:left w:val="nil"/>
              <w:bottom w:val="single" w:sz="8" w:space="0" w:color="000000"/>
              <w:right w:val="nil"/>
            </w:tcBorders>
          </w:tcPr>
          <w:p w14:paraId="540024A2" w14:textId="77777777" w:rsidR="00DB23E9" w:rsidRDefault="00DB23E9" w:rsidP="00DB23E9">
            <w:pPr>
              <w:spacing w:line="259" w:lineRule="auto"/>
            </w:pPr>
            <w:r>
              <w:rPr>
                <w:sz w:val="17"/>
              </w:rPr>
              <w:t>4</w:t>
            </w:r>
          </w:p>
        </w:tc>
        <w:tc>
          <w:tcPr>
            <w:tcW w:w="703" w:type="dxa"/>
            <w:tcBorders>
              <w:top w:val="single" w:sz="5" w:space="0" w:color="000000"/>
              <w:left w:val="nil"/>
              <w:bottom w:val="single" w:sz="8" w:space="0" w:color="000000"/>
              <w:right w:val="nil"/>
            </w:tcBorders>
          </w:tcPr>
          <w:p w14:paraId="248A4E78" w14:textId="77777777" w:rsidR="00DB23E9" w:rsidRDefault="00DB23E9" w:rsidP="00DB23E9">
            <w:pPr>
              <w:spacing w:line="259" w:lineRule="auto"/>
            </w:pPr>
            <w:r>
              <w:rPr>
                <w:sz w:val="17"/>
              </w:rPr>
              <w:t>5</w:t>
            </w:r>
          </w:p>
        </w:tc>
        <w:tc>
          <w:tcPr>
            <w:tcW w:w="627" w:type="dxa"/>
            <w:tcBorders>
              <w:top w:val="single" w:sz="5" w:space="0" w:color="000000"/>
              <w:left w:val="nil"/>
              <w:bottom w:val="single" w:sz="8" w:space="0" w:color="000000"/>
              <w:right w:val="nil"/>
            </w:tcBorders>
          </w:tcPr>
          <w:p w14:paraId="68F10F7B" w14:textId="77777777" w:rsidR="00DB23E9" w:rsidRDefault="00DB23E9" w:rsidP="00DB23E9">
            <w:pPr>
              <w:spacing w:line="259" w:lineRule="auto"/>
            </w:pPr>
            <w:r>
              <w:rPr>
                <w:sz w:val="17"/>
              </w:rPr>
              <w:t>6</w:t>
            </w:r>
          </w:p>
        </w:tc>
        <w:tc>
          <w:tcPr>
            <w:tcW w:w="695" w:type="dxa"/>
            <w:tcBorders>
              <w:top w:val="single" w:sz="5" w:space="0" w:color="000000"/>
              <w:left w:val="nil"/>
              <w:bottom w:val="single" w:sz="8" w:space="0" w:color="000000"/>
              <w:right w:val="nil"/>
            </w:tcBorders>
          </w:tcPr>
          <w:p w14:paraId="02EBE33D" w14:textId="77777777" w:rsidR="00DB23E9" w:rsidRDefault="00DB23E9" w:rsidP="00DB23E9">
            <w:pPr>
              <w:spacing w:line="259" w:lineRule="auto"/>
            </w:pPr>
            <w:r>
              <w:rPr>
                <w:sz w:val="17"/>
              </w:rPr>
              <w:t>7</w:t>
            </w:r>
          </w:p>
        </w:tc>
        <w:tc>
          <w:tcPr>
            <w:tcW w:w="573" w:type="dxa"/>
            <w:tcBorders>
              <w:top w:val="single" w:sz="5" w:space="0" w:color="000000"/>
              <w:left w:val="nil"/>
              <w:bottom w:val="single" w:sz="8" w:space="0" w:color="000000"/>
              <w:right w:val="nil"/>
            </w:tcBorders>
          </w:tcPr>
          <w:p w14:paraId="2E7950CF" w14:textId="77777777" w:rsidR="00DB23E9" w:rsidRDefault="00DB23E9" w:rsidP="00DB23E9">
            <w:pPr>
              <w:spacing w:line="259" w:lineRule="auto"/>
            </w:pPr>
            <w:r>
              <w:rPr>
                <w:sz w:val="17"/>
              </w:rPr>
              <w:t>8</w:t>
            </w:r>
          </w:p>
        </w:tc>
        <w:tc>
          <w:tcPr>
            <w:tcW w:w="571" w:type="dxa"/>
            <w:tcBorders>
              <w:top w:val="single" w:sz="5" w:space="0" w:color="000000"/>
              <w:left w:val="nil"/>
              <w:bottom w:val="single" w:sz="8" w:space="0" w:color="000000"/>
              <w:right w:val="nil"/>
            </w:tcBorders>
          </w:tcPr>
          <w:p w14:paraId="7F1DF123" w14:textId="77777777" w:rsidR="00DB23E9" w:rsidRDefault="00DB23E9" w:rsidP="00DB23E9">
            <w:pPr>
              <w:spacing w:line="259" w:lineRule="auto"/>
            </w:pPr>
            <w:r>
              <w:rPr>
                <w:sz w:val="17"/>
              </w:rPr>
              <w:t>9</w:t>
            </w:r>
          </w:p>
        </w:tc>
        <w:tc>
          <w:tcPr>
            <w:tcW w:w="703" w:type="dxa"/>
            <w:tcBorders>
              <w:top w:val="single" w:sz="5" w:space="0" w:color="000000"/>
              <w:left w:val="nil"/>
              <w:bottom w:val="single" w:sz="8" w:space="0" w:color="000000"/>
              <w:right w:val="nil"/>
            </w:tcBorders>
          </w:tcPr>
          <w:p w14:paraId="3AB8B7B0" w14:textId="77777777" w:rsidR="00DB23E9" w:rsidRDefault="00DB23E9" w:rsidP="00DB23E9">
            <w:pPr>
              <w:spacing w:line="259" w:lineRule="auto"/>
            </w:pPr>
            <w:r>
              <w:rPr>
                <w:sz w:val="17"/>
              </w:rPr>
              <w:t>10</w:t>
            </w:r>
          </w:p>
        </w:tc>
        <w:tc>
          <w:tcPr>
            <w:tcW w:w="703" w:type="dxa"/>
            <w:tcBorders>
              <w:top w:val="single" w:sz="5" w:space="0" w:color="000000"/>
              <w:left w:val="nil"/>
              <w:bottom w:val="single" w:sz="8" w:space="0" w:color="000000"/>
              <w:right w:val="nil"/>
            </w:tcBorders>
          </w:tcPr>
          <w:p w14:paraId="5B6BAB09" w14:textId="77777777" w:rsidR="00DB23E9" w:rsidRDefault="00DB23E9" w:rsidP="00DB23E9">
            <w:pPr>
              <w:spacing w:line="259" w:lineRule="auto"/>
            </w:pPr>
            <w:r>
              <w:rPr>
                <w:sz w:val="17"/>
              </w:rPr>
              <w:t>11</w:t>
            </w:r>
          </w:p>
        </w:tc>
        <w:tc>
          <w:tcPr>
            <w:tcW w:w="513" w:type="dxa"/>
            <w:tcBorders>
              <w:top w:val="single" w:sz="5" w:space="0" w:color="000000"/>
              <w:left w:val="nil"/>
              <w:bottom w:val="single" w:sz="8" w:space="0" w:color="000000"/>
              <w:right w:val="nil"/>
            </w:tcBorders>
          </w:tcPr>
          <w:p w14:paraId="4C8D58C7" w14:textId="77777777" w:rsidR="00DB23E9" w:rsidRDefault="00DB23E9" w:rsidP="00DB23E9">
            <w:pPr>
              <w:spacing w:line="259" w:lineRule="auto"/>
            </w:pPr>
            <w:r>
              <w:rPr>
                <w:sz w:val="17"/>
              </w:rPr>
              <w:t>12</w:t>
            </w:r>
          </w:p>
        </w:tc>
        <w:tc>
          <w:tcPr>
            <w:tcW w:w="303" w:type="dxa"/>
            <w:tcBorders>
              <w:top w:val="single" w:sz="5" w:space="0" w:color="000000"/>
              <w:left w:val="nil"/>
              <w:bottom w:val="single" w:sz="8" w:space="0" w:color="000000"/>
              <w:right w:val="nil"/>
            </w:tcBorders>
          </w:tcPr>
          <w:p w14:paraId="6593A255" w14:textId="77777777" w:rsidR="00DB23E9" w:rsidRDefault="00DB23E9" w:rsidP="00DB23E9">
            <w:pPr>
              <w:spacing w:line="259" w:lineRule="auto"/>
            </w:pPr>
            <w:r>
              <w:rPr>
                <w:sz w:val="17"/>
              </w:rPr>
              <w:t>13</w:t>
            </w:r>
          </w:p>
        </w:tc>
      </w:tr>
      <w:tr w:rsidR="00DB23E9" w14:paraId="245710ED" w14:textId="77777777" w:rsidTr="0038445D">
        <w:trPr>
          <w:trHeight w:val="339"/>
        </w:trPr>
        <w:tc>
          <w:tcPr>
            <w:tcW w:w="1674" w:type="dxa"/>
            <w:tcBorders>
              <w:top w:val="single" w:sz="8" w:space="0" w:color="000000"/>
              <w:left w:val="nil"/>
              <w:bottom w:val="nil"/>
              <w:right w:val="nil"/>
            </w:tcBorders>
          </w:tcPr>
          <w:p w14:paraId="5FB19831" w14:textId="77777777" w:rsidR="00DB23E9" w:rsidRDefault="00DB23E9" w:rsidP="00DB23E9">
            <w:pPr>
              <w:spacing w:line="259" w:lineRule="auto"/>
            </w:pPr>
            <w:r>
              <w:rPr>
                <w:sz w:val="17"/>
              </w:rPr>
              <w:t>1. Father age</w:t>
            </w:r>
          </w:p>
        </w:tc>
        <w:tc>
          <w:tcPr>
            <w:tcW w:w="702" w:type="dxa"/>
            <w:tcBorders>
              <w:top w:val="single" w:sz="8" w:space="0" w:color="000000"/>
              <w:left w:val="nil"/>
              <w:bottom w:val="nil"/>
              <w:right w:val="nil"/>
            </w:tcBorders>
          </w:tcPr>
          <w:p w14:paraId="3B287B79" w14:textId="77777777" w:rsidR="00DB23E9" w:rsidRDefault="00DB23E9" w:rsidP="00DB23E9">
            <w:pPr>
              <w:spacing w:line="259" w:lineRule="auto"/>
              <w:ind w:left="130"/>
            </w:pPr>
            <w:r>
              <w:rPr>
                <w:sz w:val="17"/>
              </w:rPr>
              <w:t>1.00</w:t>
            </w:r>
          </w:p>
        </w:tc>
        <w:tc>
          <w:tcPr>
            <w:tcW w:w="694" w:type="dxa"/>
            <w:tcBorders>
              <w:top w:val="single" w:sz="8" w:space="0" w:color="000000"/>
              <w:left w:val="nil"/>
              <w:bottom w:val="nil"/>
              <w:right w:val="nil"/>
            </w:tcBorders>
          </w:tcPr>
          <w:p w14:paraId="1B15AB79" w14:textId="77777777" w:rsidR="00DB23E9" w:rsidRDefault="00DB23E9" w:rsidP="00DB23E9">
            <w:pPr>
              <w:spacing w:after="160" w:line="259" w:lineRule="auto"/>
            </w:pPr>
          </w:p>
        </w:tc>
        <w:tc>
          <w:tcPr>
            <w:tcW w:w="702" w:type="dxa"/>
            <w:tcBorders>
              <w:top w:val="single" w:sz="8" w:space="0" w:color="000000"/>
              <w:left w:val="nil"/>
              <w:bottom w:val="nil"/>
              <w:right w:val="nil"/>
            </w:tcBorders>
          </w:tcPr>
          <w:p w14:paraId="2960049E" w14:textId="77777777" w:rsidR="00DB23E9" w:rsidRDefault="00DB23E9" w:rsidP="00DB23E9">
            <w:pPr>
              <w:spacing w:after="160" w:line="259" w:lineRule="auto"/>
            </w:pPr>
          </w:p>
        </w:tc>
        <w:tc>
          <w:tcPr>
            <w:tcW w:w="702" w:type="dxa"/>
            <w:tcBorders>
              <w:top w:val="single" w:sz="8" w:space="0" w:color="000000"/>
              <w:left w:val="nil"/>
              <w:bottom w:val="nil"/>
              <w:right w:val="nil"/>
            </w:tcBorders>
          </w:tcPr>
          <w:p w14:paraId="639DFC0F" w14:textId="77777777" w:rsidR="00DB23E9" w:rsidRDefault="00DB23E9" w:rsidP="00DB23E9">
            <w:pPr>
              <w:spacing w:after="160" w:line="259" w:lineRule="auto"/>
            </w:pPr>
          </w:p>
        </w:tc>
        <w:tc>
          <w:tcPr>
            <w:tcW w:w="703" w:type="dxa"/>
            <w:tcBorders>
              <w:top w:val="single" w:sz="8" w:space="0" w:color="000000"/>
              <w:left w:val="nil"/>
              <w:bottom w:val="nil"/>
              <w:right w:val="nil"/>
            </w:tcBorders>
          </w:tcPr>
          <w:p w14:paraId="3EDBC369" w14:textId="77777777" w:rsidR="00DB23E9" w:rsidRDefault="00DB23E9" w:rsidP="00DB23E9">
            <w:pPr>
              <w:spacing w:after="160" w:line="259" w:lineRule="auto"/>
            </w:pPr>
          </w:p>
        </w:tc>
        <w:tc>
          <w:tcPr>
            <w:tcW w:w="627" w:type="dxa"/>
            <w:tcBorders>
              <w:top w:val="single" w:sz="8" w:space="0" w:color="000000"/>
              <w:left w:val="nil"/>
              <w:bottom w:val="nil"/>
              <w:right w:val="nil"/>
            </w:tcBorders>
          </w:tcPr>
          <w:p w14:paraId="0FE46592" w14:textId="77777777" w:rsidR="00DB23E9" w:rsidRDefault="00DB23E9" w:rsidP="00DB23E9">
            <w:pPr>
              <w:spacing w:after="160" w:line="259" w:lineRule="auto"/>
            </w:pPr>
          </w:p>
        </w:tc>
        <w:tc>
          <w:tcPr>
            <w:tcW w:w="695" w:type="dxa"/>
            <w:tcBorders>
              <w:top w:val="single" w:sz="8" w:space="0" w:color="000000"/>
              <w:left w:val="nil"/>
              <w:bottom w:val="nil"/>
              <w:right w:val="nil"/>
            </w:tcBorders>
          </w:tcPr>
          <w:p w14:paraId="48193E06" w14:textId="77777777" w:rsidR="00DB23E9" w:rsidRDefault="00DB23E9" w:rsidP="00DB23E9">
            <w:pPr>
              <w:spacing w:after="160" w:line="259" w:lineRule="auto"/>
            </w:pPr>
          </w:p>
        </w:tc>
        <w:tc>
          <w:tcPr>
            <w:tcW w:w="573" w:type="dxa"/>
            <w:tcBorders>
              <w:top w:val="single" w:sz="8" w:space="0" w:color="000000"/>
              <w:left w:val="nil"/>
              <w:bottom w:val="nil"/>
              <w:right w:val="nil"/>
            </w:tcBorders>
          </w:tcPr>
          <w:p w14:paraId="0B6D3790" w14:textId="77777777" w:rsidR="00DB23E9" w:rsidRDefault="00DB23E9" w:rsidP="00DB23E9">
            <w:pPr>
              <w:spacing w:after="160" w:line="259" w:lineRule="auto"/>
            </w:pPr>
          </w:p>
        </w:tc>
        <w:tc>
          <w:tcPr>
            <w:tcW w:w="571" w:type="dxa"/>
            <w:tcBorders>
              <w:top w:val="single" w:sz="8" w:space="0" w:color="000000"/>
              <w:left w:val="nil"/>
              <w:bottom w:val="nil"/>
              <w:right w:val="nil"/>
            </w:tcBorders>
          </w:tcPr>
          <w:p w14:paraId="77F93872" w14:textId="77777777" w:rsidR="00DB23E9" w:rsidRDefault="00DB23E9" w:rsidP="00DB23E9">
            <w:pPr>
              <w:spacing w:after="160" w:line="259" w:lineRule="auto"/>
            </w:pPr>
          </w:p>
        </w:tc>
        <w:tc>
          <w:tcPr>
            <w:tcW w:w="703" w:type="dxa"/>
            <w:tcBorders>
              <w:top w:val="single" w:sz="8" w:space="0" w:color="000000"/>
              <w:left w:val="nil"/>
              <w:bottom w:val="nil"/>
              <w:right w:val="nil"/>
            </w:tcBorders>
          </w:tcPr>
          <w:p w14:paraId="2EF762E7" w14:textId="77777777" w:rsidR="00DB23E9" w:rsidRDefault="00DB23E9" w:rsidP="00DB23E9">
            <w:pPr>
              <w:spacing w:after="160" w:line="259" w:lineRule="auto"/>
            </w:pPr>
          </w:p>
        </w:tc>
        <w:tc>
          <w:tcPr>
            <w:tcW w:w="703" w:type="dxa"/>
            <w:tcBorders>
              <w:top w:val="single" w:sz="8" w:space="0" w:color="000000"/>
              <w:left w:val="nil"/>
              <w:bottom w:val="nil"/>
              <w:right w:val="nil"/>
            </w:tcBorders>
          </w:tcPr>
          <w:p w14:paraId="639A0A90" w14:textId="77777777" w:rsidR="00DB23E9" w:rsidRDefault="00DB23E9" w:rsidP="00DB23E9">
            <w:pPr>
              <w:spacing w:after="160" w:line="259" w:lineRule="auto"/>
            </w:pPr>
          </w:p>
        </w:tc>
        <w:tc>
          <w:tcPr>
            <w:tcW w:w="513" w:type="dxa"/>
            <w:tcBorders>
              <w:top w:val="single" w:sz="8" w:space="0" w:color="000000"/>
              <w:left w:val="nil"/>
              <w:bottom w:val="nil"/>
              <w:right w:val="nil"/>
            </w:tcBorders>
          </w:tcPr>
          <w:p w14:paraId="27941D91" w14:textId="77777777" w:rsidR="00DB23E9" w:rsidRDefault="00DB23E9" w:rsidP="00DB23E9">
            <w:pPr>
              <w:spacing w:after="160" w:line="259" w:lineRule="auto"/>
            </w:pPr>
          </w:p>
        </w:tc>
        <w:tc>
          <w:tcPr>
            <w:tcW w:w="303" w:type="dxa"/>
            <w:tcBorders>
              <w:top w:val="single" w:sz="8" w:space="0" w:color="000000"/>
              <w:left w:val="nil"/>
              <w:bottom w:val="nil"/>
              <w:right w:val="nil"/>
            </w:tcBorders>
          </w:tcPr>
          <w:p w14:paraId="783F02B0" w14:textId="77777777" w:rsidR="00DB23E9" w:rsidRDefault="00DB23E9" w:rsidP="00DB23E9">
            <w:pPr>
              <w:spacing w:after="160" w:line="259" w:lineRule="auto"/>
            </w:pPr>
          </w:p>
        </w:tc>
      </w:tr>
      <w:tr w:rsidR="00DB23E9" w14:paraId="6293391A" w14:textId="77777777" w:rsidTr="0038445D">
        <w:trPr>
          <w:trHeight w:val="241"/>
        </w:trPr>
        <w:tc>
          <w:tcPr>
            <w:tcW w:w="1674" w:type="dxa"/>
            <w:tcBorders>
              <w:top w:val="nil"/>
              <w:left w:val="nil"/>
              <w:bottom w:val="nil"/>
              <w:right w:val="nil"/>
            </w:tcBorders>
          </w:tcPr>
          <w:p w14:paraId="3B3118A8" w14:textId="77777777" w:rsidR="00DB23E9" w:rsidRDefault="00DB23E9" w:rsidP="00DB23E9">
            <w:pPr>
              <w:spacing w:line="259" w:lineRule="auto"/>
            </w:pPr>
            <w:r>
              <w:rPr>
                <w:sz w:val="17"/>
              </w:rPr>
              <w:t>2. Child gender</w:t>
            </w:r>
          </w:p>
        </w:tc>
        <w:tc>
          <w:tcPr>
            <w:tcW w:w="702" w:type="dxa"/>
            <w:tcBorders>
              <w:top w:val="nil"/>
              <w:left w:val="nil"/>
              <w:bottom w:val="nil"/>
              <w:right w:val="nil"/>
            </w:tcBorders>
          </w:tcPr>
          <w:p w14:paraId="658BC696" w14:textId="77777777" w:rsidR="00DB23E9" w:rsidRDefault="00DB23E9" w:rsidP="00DB23E9">
            <w:pPr>
              <w:spacing w:line="259" w:lineRule="auto"/>
              <w:ind w:left="130"/>
            </w:pPr>
            <w:r>
              <w:rPr>
                <w:sz w:val="17"/>
              </w:rPr>
              <w:t>0.02</w:t>
            </w:r>
          </w:p>
        </w:tc>
        <w:tc>
          <w:tcPr>
            <w:tcW w:w="694" w:type="dxa"/>
            <w:tcBorders>
              <w:top w:val="nil"/>
              <w:left w:val="nil"/>
              <w:bottom w:val="nil"/>
              <w:right w:val="nil"/>
            </w:tcBorders>
          </w:tcPr>
          <w:p w14:paraId="3E4E555D" w14:textId="77777777" w:rsidR="00DB23E9" w:rsidRDefault="00DB23E9" w:rsidP="00DB23E9">
            <w:pPr>
              <w:spacing w:line="259" w:lineRule="auto"/>
              <w:ind w:left="130"/>
            </w:pPr>
            <w:r>
              <w:rPr>
                <w:sz w:val="17"/>
              </w:rPr>
              <w:t>1.00</w:t>
            </w:r>
          </w:p>
        </w:tc>
        <w:tc>
          <w:tcPr>
            <w:tcW w:w="702" w:type="dxa"/>
            <w:tcBorders>
              <w:top w:val="nil"/>
              <w:left w:val="nil"/>
              <w:bottom w:val="nil"/>
              <w:right w:val="nil"/>
            </w:tcBorders>
          </w:tcPr>
          <w:p w14:paraId="5E2DA7B3" w14:textId="77777777" w:rsidR="00DB23E9" w:rsidRDefault="00DB23E9" w:rsidP="00DB23E9">
            <w:pPr>
              <w:spacing w:after="160" w:line="259" w:lineRule="auto"/>
            </w:pPr>
          </w:p>
        </w:tc>
        <w:tc>
          <w:tcPr>
            <w:tcW w:w="702" w:type="dxa"/>
            <w:tcBorders>
              <w:top w:val="nil"/>
              <w:left w:val="nil"/>
              <w:bottom w:val="nil"/>
              <w:right w:val="nil"/>
            </w:tcBorders>
          </w:tcPr>
          <w:p w14:paraId="188772D8" w14:textId="77777777" w:rsidR="00DB23E9" w:rsidRDefault="00DB23E9" w:rsidP="00DB23E9">
            <w:pPr>
              <w:spacing w:after="160" w:line="259" w:lineRule="auto"/>
            </w:pPr>
          </w:p>
        </w:tc>
        <w:tc>
          <w:tcPr>
            <w:tcW w:w="703" w:type="dxa"/>
            <w:tcBorders>
              <w:top w:val="nil"/>
              <w:left w:val="nil"/>
              <w:bottom w:val="nil"/>
              <w:right w:val="nil"/>
            </w:tcBorders>
          </w:tcPr>
          <w:p w14:paraId="1F4D82C4" w14:textId="77777777" w:rsidR="00DB23E9" w:rsidRDefault="00DB23E9" w:rsidP="00DB23E9">
            <w:pPr>
              <w:spacing w:after="160" w:line="259" w:lineRule="auto"/>
            </w:pPr>
          </w:p>
        </w:tc>
        <w:tc>
          <w:tcPr>
            <w:tcW w:w="627" w:type="dxa"/>
            <w:tcBorders>
              <w:top w:val="nil"/>
              <w:left w:val="nil"/>
              <w:bottom w:val="nil"/>
              <w:right w:val="nil"/>
            </w:tcBorders>
          </w:tcPr>
          <w:p w14:paraId="7B9E58D0" w14:textId="77777777" w:rsidR="00DB23E9" w:rsidRDefault="00DB23E9" w:rsidP="00DB23E9">
            <w:pPr>
              <w:spacing w:after="160" w:line="259" w:lineRule="auto"/>
            </w:pPr>
          </w:p>
        </w:tc>
        <w:tc>
          <w:tcPr>
            <w:tcW w:w="695" w:type="dxa"/>
            <w:tcBorders>
              <w:top w:val="nil"/>
              <w:left w:val="nil"/>
              <w:bottom w:val="nil"/>
              <w:right w:val="nil"/>
            </w:tcBorders>
          </w:tcPr>
          <w:p w14:paraId="04C22BF0" w14:textId="77777777" w:rsidR="00DB23E9" w:rsidRDefault="00DB23E9" w:rsidP="00DB23E9">
            <w:pPr>
              <w:spacing w:after="160" w:line="259" w:lineRule="auto"/>
            </w:pPr>
          </w:p>
        </w:tc>
        <w:tc>
          <w:tcPr>
            <w:tcW w:w="573" w:type="dxa"/>
            <w:tcBorders>
              <w:top w:val="nil"/>
              <w:left w:val="nil"/>
              <w:bottom w:val="nil"/>
              <w:right w:val="nil"/>
            </w:tcBorders>
          </w:tcPr>
          <w:p w14:paraId="281C39C8" w14:textId="77777777" w:rsidR="00DB23E9" w:rsidRDefault="00DB23E9" w:rsidP="00DB23E9">
            <w:pPr>
              <w:spacing w:after="160" w:line="259" w:lineRule="auto"/>
            </w:pPr>
          </w:p>
        </w:tc>
        <w:tc>
          <w:tcPr>
            <w:tcW w:w="571" w:type="dxa"/>
            <w:tcBorders>
              <w:top w:val="nil"/>
              <w:left w:val="nil"/>
              <w:bottom w:val="nil"/>
              <w:right w:val="nil"/>
            </w:tcBorders>
          </w:tcPr>
          <w:p w14:paraId="5DE16BD8" w14:textId="77777777" w:rsidR="00DB23E9" w:rsidRDefault="00DB23E9" w:rsidP="00DB23E9">
            <w:pPr>
              <w:spacing w:after="160" w:line="259" w:lineRule="auto"/>
            </w:pPr>
          </w:p>
        </w:tc>
        <w:tc>
          <w:tcPr>
            <w:tcW w:w="703" w:type="dxa"/>
            <w:tcBorders>
              <w:top w:val="nil"/>
              <w:left w:val="nil"/>
              <w:bottom w:val="nil"/>
              <w:right w:val="nil"/>
            </w:tcBorders>
          </w:tcPr>
          <w:p w14:paraId="2BF33488" w14:textId="77777777" w:rsidR="00DB23E9" w:rsidRDefault="00DB23E9" w:rsidP="00DB23E9">
            <w:pPr>
              <w:spacing w:after="160" w:line="259" w:lineRule="auto"/>
            </w:pPr>
          </w:p>
        </w:tc>
        <w:tc>
          <w:tcPr>
            <w:tcW w:w="703" w:type="dxa"/>
            <w:tcBorders>
              <w:top w:val="nil"/>
              <w:left w:val="nil"/>
              <w:bottom w:val="nil"/>
              <w:right w:val="nil"/>
            </w:tcBorders>
          </w:tcPr>
          <w:p w14:paraId="2C3310EF" w14:textId="77777777" w:rsidR="00DB23E9" w:rsidRDefault="00DB23E9" w:rsidP="00DB23E9">
            <w:pPr>
              <w:spacing w:after="160" w:line="259" w:lineRule="auto"/>
            </w:pPr>
          </w:p>
        </w:tc>
        <w:tc>
          <w:tcPr>
            <w:tcW w:w="513" w:type="dxa"/>
            <w:tcBorders>
              <w:top w:val="nil"/>
              <w:left w:val="nil"/>
              <w:bottom w:val="nil"/>
              <w:right w:val="nil"/>
            </w:tcBorders>
          </w:tcPr>
          <w:p w14:paraId="3E1D7E43" w14:textId="77777777" w:rsidR="00DB23E9" w:rsidRDefault="00DB23E9" w:rsidP="00DB23E9">
            <w:pPr>
              <w:spacing w:after="160" w:line="259" w:lineRule="auto"/>
            </w:pPr>
          </w:p>
        </w:tc>
        <w:tc>
          <w:tcPr>
            <w:tcW w:w="303" w:type="dxa"/>
            <w:tcBorders>
              <w:top w:val="nil"/>
              <w:left w:val="nil"/>
              <w:bottom w:val="nil"/>
              <w:right w:val="nil"/>
            </w:tcBorders>
          </w:tcPr>
          <w:p w14:paraId="0C81973A" w14:textId="77777777" w:rsidR="00DB23E9" w:rsidRDefault="00DB23E9" w:rsidP="00DB23E9">
            <w:pPr>
              <w:spacing w:after="160" w:line="259" w:lineRule="auto"/>
            </w:pPr>
          </w:p>
        </w:tc>
      </w:tr>
      <w:tr w:rsidR="00DB23E9" w14:paraId="52635E2B" w14:textId="77777777" w:rsidTr="0038445D">
        <w:trPr>
          <w:trHeight w:val="255"/>
        </w:trPr>
        <w:tc>
          <w:tcPr>
            <w:tcW w:w="1674" w:type="dxa"/>
            <w:tcBorders>
              <w:top w:val="nil"/>
              <w:left w:val="nil"/>
              <w:bottom w:val="nil"/>
              <w:right w:val="nil"/>
            </w:tcBorders>
          </w:tcPr>
          <w:p w14:paraId="45027AA7" w14:textId="77777777" w:rsidR="00DB23E9" w:rsidRDefault="00DB23E9" w:rsidP="00DB23E9">
            <w:pPr>
              <w:spacing w:line="259" w:lineRule="auto"/>
            </w:pPr>
            <w:r>
              <w:rPr>
                <w:sz w:val="17"/>
              </w:rPr>
              <w:t>3. Father education</w:t>
            </w:r>
          </w:p>
        </w:tc>
        <w:tc>
          <w:tcPr>
            <w:tcW w:w="702" w:type="dxa"/>
            <w:tcBorders>
              <w:top w:val="nil"/>
              <w:left w:val="nil"/>
              <w:bottom w:val="nil"/>
              <w:right w:val="nil"/>
            </w:tcBorders>
          </w:tcPr>
          <w:p w14:paraId="0B283B34" w14:textId="77777777" w:rsidR="00DB23E9" w:rsidRDefault="00DB23E9" w:rsidP="00DB23E9">
            <w:pPr>
              <w:spacing w:line="259" w:lineRule="auto"/>
              <w:ind w:left="130"/>
            </w:pPr>
            <w:r>
              <w:rPr>
                <w:sz w:val="17"/>
              </w:rPr>
              <w:t>0.17</w:t>
            </w:r>
            <w:r>
              <w:rPr>
                <w:sz w:val="17"/>
                <w:vertAlign w:val="superscript"/>
              </w:rPr>
              <w:t>b</w:t>
            </w:r>
          </w:p>
        </w:tc>
        <w:tc>
          <w:tcPr>
            <w:tcW w:w="694" w:type="dxa"/>
            <w:tcBorders>
              <w:top w:val="nil"/>
              <w:left w:val="nil"/>
              <w:bottom w:val="nil"/>
              <w:right w:val="nil"/>
            </w:tcBorders>
          </w:tcPr>
          <w:p w14:paraId="2173E7E6" w14:textId="77777777" w:rsidR="00DB23E9" w:rsidRDefault="00DB23E9" w:rsidP="00DB23E9">
            <w:pPr>
              <w:spacing w:line="259" w:lineRule="auto"/>
              <w:ind w:left="130"/>
            </w:pPr>
            <w:r>
              <w:rPr>
                <w:sz w:val="17"/>
              </w:rPr>
              <w:t>0.10</w:t>
            </w:r>
          </w:p>
        </w:tc>
        <w:tc>
          <w:tcPr>
            <w:tcW w:w="702" w:type="dxa"/>
            <w:tcBorders>
              <w:top w:val="nil"/>
              <w:left w:val="nil"/>
              <w:bottom w:val="nil"/>
              <w:right w:val="nil"/>
            </w:tcBorders>
          </w:tcPr>
          <w:p w14:paraId="76942A42" w14:textId="77777777" w:rsidR="00DB23E9" w:rsidRDefault="00DB23E9" w:rsidP="00DB23E9">
            <w:pPr>
              <w:spacing w:line="259" w:lineRule="auto"/>
              <w:ind w:left="130"/>
            </w:pPr>
            <w:r>
              <w:rPr>
                <w:sz w:val="17"/>
              </w:rPr>
              <w:t>1.00</w:t>
            </w:r>
          </w:p>
        </w:tc>
        <w:tc>
          <w:tcPr>
            <w:tcW w:w="702" w:type="dxa"/>
            <w:tcBorders>
              <w:top w:val="nil"/>
              <w:left w:val="nil"/>
              <w:bottom w:val="nil"/>
              <w:right w:val="nil"/>
            </w:tcBorders>
          </w:tcPr>
          <w:p w14:paraId="2D261FA9" w14:textId="77777777" w:rsidR="00DB23E9" w:rsidRDefault="00DB23E9" w:rsidP="00DB23E9">
            <w:pPr>
              <w:spacing w:after="160" w:line="259" w:lineRule="auto"/>
            </w:pPr>
          </w:p>
        </w:tc>
        <w:tc>
          <w:tcPr>
            <w:tcW w:w="703" w:type="dxa"/>
            <w:tcBorders>
              <w:top w:val="nil"/>
              <w:left w:val="nil"/>
              <w:bottom w:val="nil"/>
              <w:right w:val="nil"/>
            </w:tcBorders>
          </w:tcPr>
          <w:p w14:paraId="2A996FA3" w14:textId="77777777" w:rsidR="00DB23E9" w:rsidRDefault="00DB23E9" w:rsidP="00DB23E9">
            <w:pPr>
              <w:spacing w:after="160" w:line="259" w:lineRule="auto"/>
            </w:pPr>
          </w:p>
        </w:tc>
        <w:tc>
          <w:tcPr>
            <w:tcW w:w="627" w:type="dxa"/>
            <w:tcBorders>
              <w:top w:val="nil"/>
              <w:left w:val="nil"/>
              <w:bottom w:val="nil"/>
              <w:right w:val="nil"/>
            </w:tcBorders>
          </w:tcPr>
          <w:p w14:paraId="5B5C8081" w14:textId="77777777" w:rsidR="00DB23E9" w:rsidRDefault="00DB23E9" w:rsidP="00DB23E9">
            <w:pPr>
              <w:spacing w:after="160" w:line="259" w:lineRule="auto"/>
            </w:pPr>
          </w:p>
        </w:tc>
        <w:tc>
          <w:tcPr>
            <w:tcW w:w="695" w:type="dxa"/>
            <w:tcBorders>
              <w:top w:val="nil"/>
              <w:left w:val="nil"/>
              <w:bottom w:val="nil"/>
              <w:right w:val="nil"/>
            </w:tcBorders>
          </w:tcPr>
          <w:p w14:paraId="06BAA8DD" w14:textId="77777777" w:rsidR="00DB23E9" w:rsidRDefault="00DB23E9" w:rsidP="00DB23E9">
            <w:pPr>
              <w:spacing w:after="160" w:line="259" w:lineRule="auto"/>
            </w:pPr>
          </w:p>
        </w:tc>
        <w:tc>
          <w:tcPr>
            <w:tcW w:w="573" w:type="dxa"/>
            <w:tcBorders>
              <w:top w:val="nil"/>
              <w:left w:val="nil"/>
              <w:bottom w:val="nil"/>
              <w:right w:val="nil"/>
            </w:tcBorders>
          </w:tcPr>
          <w:p w14:paraId="41ECCB26" w14:textId="77777777" w:rsidR="00DB23E9" w:rsidRDefault="00DB23E9" w:rsidP="00DB23E9">
            <w:pPr>
              <w:spacing w:after="160" w:line="259" w:lineRule="auto"/>
            </w:pPr>
          </w:p>
        </w:tc>
        <w:tc>
          <w:tcPr>
            <w:tcW w:w="571" w:type="dxa"/>
            <w:tcBorders>
              <w:top w:val="nil"/>
              <w:left w:val="nil"/>
              <w:bottom w:val="nil"/>
              <w:right w:val="nil"/>
            </w:tcBorders>
          </w:tcPr>
          <w:p w14:paraId="343A58BB" w14:textId="77777777" w:rsidR="00DB23E9" w:rsidRDefault="00DB23E9" w:rsidP="00DB23E9">
            <w:pPr>
              <w:spacing w:after="160" w:line="259" w:lineRule="auto"/>
            </w:pPr>
          </w:p>
        </w:tc>
        <w:tc>
          <w:tcPr>
            <w:tcW w:w="703" w:type="dxa"/>
            <w:tcBorders>
              <w:top w:val="nil"/>
              <w:left w:val="nil"/>
              <w:bottom w:val="nil"/>
              <w:right w:val="nil"/>
            </w:tcBorders>
          </w:tcPr>
          <w:p w14:paraId="3D6AD54D" w14:textId="77777777" w:rsidR="00DB23E9" w:rsidRDefault="00DB23E9" w:rsidP="00DB23E9">
            <w:pPr>
              <w:spacing w:after="160" w:line="259" w:lineRule="auto"/>
            </w:pPr>
          </w:p>
        </w:tc>
        <w:tc>
          <w:tcPr>
            <w:tcW w:w="703" w:type="dxa"/>
            <w:tcBorders>
              <w:top w:val="nil"/>
              <w:left w:val="nil"/>
              <w:bottom w:val="nil"/>
              <w:right w:val="nil"/>
            </w:tcBorders>
          </w:tcPr>
          <w:p w14:paraId="4685BCDF" w14:textId="77777777" w:rsidR="00DB23E9" w:rsidRDefault="00DB23E9" w:rsidP="00DB23E9">
            <w:pPr>
              <w:spacing w:after="160" w:line="259" w:lineRule="auto"/>
            </w:pPr>
          </w:p>
        </w:tc>
        <w:tc>
          <w:tcPr>
            <w:tcW w:w="513" w:type="dxa"/>
            <w:tcBorders>
              <w:top w:val="nil"/>
              <w:left w:val="nil"/>
              <w:bottom w:val="nil"/>
              <w:right w:val="nil"/>
            </w:tcBorders>
          </w:tcPr>
          <w:p w14:paraId="13AB7EF2" w14:textId="77777777" w:rsidR="00DB23E9" w:rsidRDefault="00DB23E9" w:rsidP="00DB23E9">
            <w:pPr>
              <w:spacing w:after="160" w:line="259" w:lineRule="auto"/>
            </w:pPr>
          </w:p>
        </w:tc>
        <w:tc>
          <w:tcPr>
            <w:tcW w:w="303" w:type="dxa"/>
            <w:tcBorders>
              <w:top w:val="nil"/>
              <w:left w:val="nil"/>
              <w:bottom w:val="nil"/>
              <w:right w:val="nil"/>
            </w:tcBorders>
          </w:tcPr>
          <w:p w14:paraId="3531CBC7" w14:textId="77777777" w:rsidR="00DB23E9" w:rsidRDefault="00DB23E9" w:rsidP="00DB23E9">
            <w:pPr>
              <w:spacing w:after="160" w:line="259" w:lineRule="auto"/>
            </w:pPr>
          </w:p>
        </w:tc>
      </w:tr>
      <w:tr w:rsidR="00DB23E9" w14:paraId="14551132" w14:textId="77777777" w:rsidTr="0038445D">
        <w:trPr>
          <w:trHeight w:val="259"/>
        </w:trPr>
        <w:tc>
          <w:tcPr>
            <w:tcW w:w="1674" w:type="dxa"/>
            <w:tcBorders>
              <w:top w:val="nil"/>
              <w:left w:val="nil"/>
              <w:bottom w:val="nil"/>
              <w:right w:val="nil"/>
            </w:tcBorders>
          </w:tcPr>
          <w:p w14:paraId="49207F66" w14:textId="77777777" w:rsidR="00DB23E9" w:rsidRDefault="00DB23E9" w:rsidP="00DB23E9">
            <w:pPr>
              <w:spacing w:line="259" w:lineRule="auto"/>
            </w:pPr>
            <w:r>
              <w:rPr>
                <w:sz w:val="17"/>
              </w:rPr>
              <w:t>4. Residential status</w:t>
            </w:r>
          </w:p>
        </w:tc>
        <w:tc>
          <w:tcPr>
            <w:tcW w:w="702" w:type="dxa"/>
            <w:tcBorders>
              <w:top w:val="nil"/>
              <w:left w:val="nil"/>
              <w:bottom w:val="nil"/>
              <w:right w:val="nil"/>
            </w:tcBorders>
          </w:tcPr>
          <w:p w14:paraId="7EC4357B" w14:textId="77777777" w:rsidR="00DB23E9" w:rsidRDefault="00DB23E9" w:rsidP="00DB23E9">
            <w:pPr>
              <w:spacing w:line="259" w:lineRule="auto"/>
            </w:pPr>
            <w:r>
              <w:rPr>
                <w:rFonts w:ascii="Calibri" w:eastAsia="Calibri" w:hAnsi="Calibri" w:cs="Calibri"/>
                <w:sz w:val="17"/>
              </w:rPr>
              <w:t>−</w:t>
            </w:r>
            <w:r>
              <w:rPr>
                <w:sz w:val="17"/>
              </w:rPr>
              <w:t>0.16</w:t>
            </w:r>
            <w:r>
              <w:rPr>
                <w:sz w:val="17"/>
                <w:vertAlign w:val="superscript"/>
              </w:rPr>
              <w:t>b</w:t>
            </w:r>
          </w:p>
        </w:tc>
        <w:tc>
          <w:tcPr>
            <w:tcW w:w="694" w:type="dxa"/>
            <w:tcBorders>
              <w:top w:val="nil"/>
              <w:left w:val="nil"/>
              <w:bottom w:val="nil"/>
              <w:right w:val="nil"/>
            </w:tcBorders>
          </w:tcPr>
          <w:p w14:paraId="4844B02F" w14:textId="77777777" w:rsidR="00DB23E9" w:rsidRDefault="00DB23E9" w:rsidP="00DB23E9">
            <w:pPr>
              <w:spacing w:line="259" w:lineRule="auto"/>
            </w:pPr>
            <w:r>
              <w:rPr>
                <w:rFonts w:ascii="Calibri" w:eastAsia="Calibri" w:hAnsi="Calibri" w:cs="Calibri"/>
                <w:sz w:val="17"/>
              </w:rPr>
              <w:t>−</w:t>
            </w:r>
            <w:r>
              <w:rPr>
                <w:sz w:val="17"/>
              </w:rPr>
              <w:t>0.06</w:t>
            </w:r>
          </w:p>
        </w:tc>
        <w:tc>
          <w:tcPr>
            <w:tcW w:w="702" w:type="dxa"/>
            <w:tcBorders>
              <w:top w:val="nil"/>
              <w:left w:val="nil"/>
              <w:bottom w:val="nil"/>
              <w:right w:val="nil"/>
            </w:tcBorders>
          </w:tcPr>
          <w:p w14:paraId="0E27E8B3" w14:textId="77777777" w:rsidR="00DB23E9" w:rsidRDefault="00DB23E9" w:rsidP="00DB23E9">
            <w:pPr>
              <w:spacing w:line="259" w:lineRule="auto"/>
            </w:pPr>
            <w:r>
              <w:rPr>
                <w:rFonts w:ascii="Calibri" w:eastAsia="Calibri" w:hAnsi="Calibri" w:cs="Calibri"/>
                <w:sz w:val="17"/>
              </w:rPr>
              <w:t>−</w:t>
            </w:r>
            <w:r>
              <w:rPr>
                <w:sz w:val="17"/>
              </w:rPr>
              <w:t>0.11</w:t>
            </w:r>
          </w:p>
        </w:tc>
        <w:tc>
          <w:tcPr>
            <w:tcW w:w="702" w:type="dxa"/>
            <w:tcBorders>
              <w:top w:val="nil"/>
              <w:left w:val="nil"/>
              <w:bottom w:val="nil"/>
              <w:right w:val="nil"/>
            </w:tcBorders>
          </w:tcPr>
          <w:p w14:paraId="2C16C48A" w14:textId="77777777" w:rsidR="00DB23E9" w:rsidRDefault="00DB23E9" w:rsidP="00DB23E9">
            <w:pPr>
              <w:spacing w:line="259" w:lineRule="auto"/>
              <w:ind w:left="130"/>
            </w:pPr>
            <w:r>
              <w:rPr>
                <w:sz w:val="17"/>
              </w:rPr>
              <w:t>1.00</w:t>
            </w:r>
          </w:p>
        </w:tc>
        <w:tc>
          <w:tcPr>
            <w:tcW w:w="703" w:type="dxa"/>
            <w:tcBorders>
              <w:top w:val="nil"/>
              <w:left w:val="nil"/>
              <w:bottom w:val="nil"/>
              <w:right w:val="nil"/>
            </w:tcBorders>
          </w:tcPr>
          <w:p w14:paraId="007EADBD" w14:textId="77777777" w:rsidR="00DB23E9" w:rsidRDefault="00DB23E9" w:rsidP="00DB23E9">
            <w:pPr>
              <w:spacing w:after="160" w:line="259" w:lineRule="auto"/>
            </w:pPr>
          </w:p>
        </w:tc>
        <w:tc>
          <w:tcPr>
            <w:tcW w:w="627" w:type="dxa"/>
            <w:tcBorders>
              <w:top w:val="nil"/>
              <w:left w:val="nil"/>
              <w:bottom w:val="nil"/>
              <w:right w:val="nil"/>
            </w:tcBorders>
          </w:tcPr>
          <w:p w14:paraId="16DBE9B4" w14:textId="77777777" w:rsidR="00DB23E9" w:rsidRDefault="00DB23E9" w:rsidP="00DB23E9">
            <w:pPr>
              <w:spacing w:after="160" w:line="259" w:lineRule="auto"/>
            </w:pPr>
          </w:p>
        </w:tc>
        <w:tc>
          <w:tcPr>
            <w:tcW w:w="695" w:type="dxa"/>
            <w:tcBorders>
              <w:top w:val="nil"/>
              <w:left w:val="nil"/>
              <w:bottom w:val="nil"/>
              <w:right w:val="nil"/>
            </w:tcBorders>
          </w:tcPr>
          <w:p w14:paraId="0DA16128" w14:textId="77777777" w:rsidR="00DB23E9" w:rsidRDefault="00DB23E9" w:rsidP="00DB23E9">
            <w:pPr>
              <w:spacing w:after="160" w:line="259" w:lineRule="auto"/>
            </w:pPr>
          </w:p>
        </w:tc>
        <w:tc>
          <w:tcPr>
            <w:tcW w:w="573" w:type="dxa"/>
            <w:tcBorders>
              <w:top w:val="nil"/>
              <w:left w:val="nil"/>
              <w:bottom w:val="nil"/>
              <w:right w:val="nil"/>
            </w:tcBorders>
          </w:tcPr>
          <w:p w14:paraId="0318F471" w14:textId="77777777" w:rsidR="00DB23E9" w:rsidRDefault="00DB23E9" w:rsidP="00DB23E9">
            <w:pPr>
              <w:spacing w:after="160" w:line="259" w:lineRule="auto"/>
            </w:pPr>
          </w:p>
        </w:tc>
        <w:tc>
          <w:tcPr>
            <w:tcW w:w="571" w:type="dxa"/>
            <w:tcBorders>
              <w:top w:val="nil"/>
              <w:left w:val="nil"/>
              <w:bottom w:val="nil"/>
              <w:right w:val="nil"/>
            </w:tcBorders>
          </w:tcPr>
          <w:p w14:paraId="6F665805" w14:textId="77777777" w:rsidR="00DB23E9" w:rsidRDefault="00DB23E9" w:rsidP="00DB23E9">
            <w:pPr>
              <w:spacing w:after="160" w:line="259" w:lineRule="auto"/>
            </w:pPr>
          </w:p>
        </w:tc>
        <w:tc>
          <w:tcPr>
            <w:tcW w:w="703" w:type="dxa"/>
            <w:tcBorders>
              <w:top w:val="nil"/>
              <w:left w:val="nil"/>
              <w:bottom w:val="nil"/>
              <w:right w:val="nil"/>
            </w:tcBorders>
          </w:tcPr>
          <w:p w14:paraId="444BAC85" w14:textId="77777777" w:rsidR="00DB23E9" w:rsidRDefault="00DB23E9" w:rsidP="00DB23E9">
            <w:pPr>
              <w:spacing w:after="160" w:line="259" w:lineRule="auto"/>
            </w:pPr>
          </w:p>
        </w:tc>
        <w:tc>
          <w:tcPr>
            <w:tcW w:w="703" w:type="dxa"/>
            <w:tcBorders>
              <w:top w:val="nil"/>
              <w:left w:val="nil"/>
              <w:bottom w:val="nil"/>
              <w:right w:val="nil"/>
            </w:tcBorders>
          </w:tcPr>
          <w:p w14:paraId="26264475" w14:textId="77777777" w:rsidR="00DB23E9" w:rsidRDefault="00DB23E9" w:rsidP="00DB23E9">
            <w:pPr>
              <w:spacing w:after="160" w:line="259" w:lineRule="auto"/>
            </w:pPr>
          </w:p>
        </w:tc>
        <w:tc>
          <w:tcPr>
            <w:tcW w:w="513" w:type="dxa"/>
            <w:tcBorders>
              <w:top w:val="nil"/>
              <w:left w:val="nil"/>
              <w:bottom w:val="nil"/>
              <w:right w:val="nil"/>
            </w:tcBorders>
          </w:tcPr>
          <w:p w14:paraId="251D03B0" w14:textId="77777777" w:rsidR="00DB23E9" w:rsidRDefault="00DB23E9" w:rsidP="00DB23E9">
            <w:pPr>
              <w:spacing w:after="160" w:line="259" w:lineRule="auto"/>
            </w:pPr>
          </w:p>
        </w:tc>
        <w:tc>
          <w:tcPr>
            <w:tcW w:w="303" w:type="dxa"/>
            <w:tcBorders>
              <w:top w:val="nil"/>
              <w:left w:val="nil"/>
              <w:bottom w:val="nil"/>
              <w:right w:val="nil"/>
            </w:tcBorders>
          </w:tcPr>
          <w:p w14:paraId="65233FD7" w14:textId="77777777" w:rsidR="00DB23E9" w:rsidRDefault="00DB23E9" w:rsidP="00DB23E9">
            <w:pPr>
              <w:spacing w:after="160" w:line="259" w:lineRule="auto"/>
            </w:pPr>
          </w:p>
        </w:tc>
      </w:tr>
      <w:tr w:rsidR="00DB23E9" w14:paraId="0BB7AB2C" w14:textId="77777777" w:rsidTr="0038445D">
        <w:trPr>
          <w:trHeight w:val="259"/>
        </w:trPr>
        <w:tc>
          <w:tcPr>
            <w:tcW w:w="1674" w:type="dxa"/>
            <w:tcBorders>
              <w:top w:val="nil"/>
              <w:left w:val="nil"/>
              <w:bottom w:val="nil"/>
              <w:right w:val="nil"/>
            </w:tcBorders>
          </w:tcPr>
          <w:p w14:paraId="1E8168D5" w14:textId="77777777" w:rsidR="00DB23E9" w:rsidRDefault="00DB23E9" w:rsidP="00DB23E9">
            <w:pPr>
              <w:spacing w:line="259" w:lineRule="auto"/>
            </w:pPr>
            <w:r>
              <w:rPr>
                <w:sz w:val="17"/>
              </w:rPr>
              <w:t>5. Racial centrality</w:t>
            </w:r>
          </w:p>
        </w:tc>
        <w:tc>
          <w:tcPr>
            <w:tcW w:w="702" w:type="dxa"/>
            <w:tcBorders>
              <w:top w:val="nil"/>
              <w:left w:val="nil"/>
              <w:bottom w:val="nil"/>
              <w:right w:val="nil"/>
            </w:tcBorders>
          </w:tcPr>
          <w:p w14:paraId="659F79A9" w14:textId="77777777" w:rsidR="00DB23E9" w:rsidRDefault="00DB23E9" w:rsidP="00DB23E9">
            <w:pPr>
              <w:spacing w:line="259" w:lineRule="auto"/>
              <w:ind w:left="130"/>
            </w:pPr>
            <w:r>
              <w:rPr>
                <w:sz w:val="17"/>
              </w:rPr>
              <w:t>0.03</w:t>
            </w:r>
          </w:p>
        </w:tc>
        <w:tc>
          <w:tcPr>
            <w:tcW w:w="694" w:type="dxa"/>
            <w:tcBorders>
              <w:top w:val="nil"/>
              <w:left w:val="nil"/>
              <w:bottom w:val="nil"/>
              <w:right w:val="nil"/>
            </w:tcBorders>
          </w:tcPr>
          <w:p w14:paraId="320B30C5" w14:textId="77777777" w:rsidR="00DB23E9" w:rsidRDefault="00DB23E9" w:rsidP="00DB23E9">
            <w:pPr>
              <w:spacing w:line="259" w:lineRule="auto"/>
            </w:pPr>
            <w:r>
              <w:rPr>
                <w:rFonts w:ascii="Calibri" w:eastAsia="Calibri" w:hAnsi="Calibri" w:cs="Calibri"/>
                <w:sz w:val="17"/>
              </w:rPr>
              <w:t>−</w:t>
            </w:r>
            <w:r>
              <w:rPr>
                <w:sz w:val="17"/>
              </w:rPr>
              <w:t>0.03</w:t>
            </w:r>
          </w:p>
        </w:tc>
        <w:tc>
          <w:tcPr>
            <w:tcW w:w="702" w:type="dxa"/>
            <w:tcBorders>
              <w:top w:val="nil"/>
              <w:left w:val="nil"/>
              <w:bottom w:val="nil"/>
              <w:right w:val="nil"/>
            </w:tcBorders>
          </w:tcPr>
          <w:p w14:paraId="725AD060" w14:textId="77777777" w:rsidR="00DB23E9" w:rsidRDefault="00DB23E9" w:rsidP="00DB23E9">
            <w:pPr>
              <w:spacing w:line="259" w:lineRule="auto"/>
              <w:ind w:left="130"/>
            </w:pPr>
            <w:r>
              <w:rPr>
                <w:sz w:val="17"/>
              </w:rPr>
              <w:t>0.10</w:t>
            </w:r>
          </w:p>
        </w:tc>
        <w:tc>
          <w:tcPr>
            <w:tcW w:w="702" w:type="dxa"/>
            <w:tcBorders>
              <w:top w:val="nil"/>
              <w:left w:val="nil"/>
              <w:bottom w:val="nil"/>
              <w:right w:val="nil"/>
            </w:tcBorders>
          </w:tcPr>
          <w:p w14:paraId="20F8F8C6" w14:textId="77777777" w:rsidR="00DB23E9" w:rsidRDefault="00DB23E9" w:rsidP="00DB23E9">
            <w:pPr>
              <w:spacing w:line="259" w:lineRule="auto"/>
            </w:pPr>
            <w:r>
              <w:rPr>
                <w:rFonts w:ascii="Calibri" w:eastAsia="Calibri" w:hAnsi="Calibri" w:cs="Calibri"/>
                <w:sz w:val="17"/>
              </w:rPr>
              <w:t>−</w:t>
            </w:r>
            <w:r>
              <w:rPr>
                <w:sz w:val="17"/>
              </w:rPr>
              <w:t>0.09</w:t>
            </w:r>
          </w:p>
        </w:tc>
        <w:tc>
          <w:tcPr>
            <w:tcW w:w="703" w:type="dxa"/>
            <w:tcBorders>
              <w:top w:val="nil"/>
              <w:left w:val="nil"/>
              <w:bottom w:val="nil"/>
              <w:right w:val="nil"/>
            </w:tcBorders>
          </w:tcPr>
          <w:p w14:paraId="0A6C8E30" w14:textId="77777777" w:rsidR="00DB23E9" w:rsidRDefault="00DB23E9" w:rsidP="00DB23E9">
            <w:pPr>
              <w:spacing w:line="259" w:lineRule="auto"/>
              <w:ind w:left="130"/>
            </w:pPr>
            <w:r>
              <w:rPr>
                <w:sz w:val="17"/>
              </w:rPr>
              <w:t>1.00</w:t>
            </w:r>
          </w:p>
        </w:tc>
        <w:tc>
          <w:tcPr>
            <w:tcW w:w="627" w:type="dxa"/>
            <w:tcBorders>
              <w:top w:val="nil"/>
              <w:left w:val="nil"/>
              <w:bottom w:val="nil"/>
              <w:right w:val="nil"/>
            </w:tcBorders>
          </w:tcPr>
          <w:p w14:paraId="01977B24" w14:textId="77777777" w:rsidR="00DB23E9" w:rsidRDefault="00DB23E9" w:rsidP="00DB23E9">
            <w:pPr>
              <w:spacing w:after="160" w:line="259" w:lineRule="auto"/>
            </w:pPr>
          </w:p>
        </w:tc>
        <w:tc>
          <w:tcPr>
            <w:tcW w:w="695" w:type="dxa"/>
            <w:tcBorders>
              <w:top w:val="nil"/>
              <w:left w:val="nil"/>
              <w:bottom w:val="nil"/>
              <w:right w:val="nil"/>
            </w:tcBorders>
          </w:tcPr>
          <w:p w14:paraId="2B5BD44B" w14:textId="77777777" w:rsidR="00DB23E9" w:rsidRDefault="00DB23E9" w:rsidP="00DB23E9">
            <w:pPr>
              <w:spacing w:after="160" w:line="259" w:lineRule="auto"/>
            </w:pPr>
          </w:p>
        </w:tc>
        <w:tc>
          <w:tcPr>
            <w:tcW w:w="573" w:type="dxa"/>
            <w:tcBorders>
              <w:top w:val="nil"/>
              <w:left w:val="nil"/>
              <w:bottom w:val="nil"/>
              <w:right w:val="nil"/>
            </w:tcBorders>
          </w:tcPr>
          <w:p w14:paraId="7CEC0E45" w14:textId="77777777" w:rsidR="00DB23E9" w:rsidRDefault="00DB23E9" w:rsidP="00DB23E9">
            <w:pPr>
              <w:spacing w:after="160" w:line="259" w:lineRule="auto"/>
            </w:pPr>
          </w:p>
        </w:tc>
        <w:tc>
          <w:tcPr>
            <w:tcW w:w="571" w:type="dxa"/>
            <w:tcBorders>
              <w:top w:val="nil"/>
              <w:left w:val="nil"/>
              <w:bottom w:val="nil"/>
              <w:right w:val="nil"/>
            </w:tcBorders>
          </w:tcPr>
          <w:p w14:paraId="06EC6E49" w14:textId="77777777" w:rsidR="00DB23E9" w:rsidRDefault="00DB23E9" w:rsidP="00DB23E9">
            <w:pPr>
              <w:spacing w:after="160" w:line="259" w:lineRule="auto"/>
            </w:pPr>
          </w:p>
        </w:tc>
        <w:tc>
          <w:tcPr>
            <w:tcW w:w="703" w:type="dxa"/>
            <w:tcBorders>
              <w:top w:val="nil"/>
              <w:left w:val="nil"/>
              <w:bottom w:val="nil"/>
              <w:right w:val="nil"/>
            </w:tcBorders>
          </w:tcPr>
          <w:p w14:paraId="374F901B" w14:textId="77777777" w:rsidR="00DB23E9" w:rsidRDefault="00DB23E9" w:rsidP="00DB23E9">
            <w:pPr>
              <w:spacing w:after="160" w:line="259" w:lineRule="auto"/>
            </w:pPr>
          </w:p>
        </w:tc>
        <w:tc>
          <w:tcPr>
            <w:tcW w:w="703" w:type="dxa"/>
            <w:tcBorders>
              <w:top w:val="nil"/>
              <w:left w:val="nil"/>
              <w:bottom w:val="nil"/>
              <w:right w:val="nil"/>
            </w:tcBorders>
          </w:tcPr>
          <w:p w14:paraId="02582E62" w14:textId="77777777" w:rsidR="00DB23E9" w:rsidRDefault="00DB23E9" w:rsidP="00DB23E9">
            <w:pPr>
              <w:spacing w:after="160" w:line="259" w:lineRule="auto"/>
            </w:pPr>
          </w:p>
        </w:tc>
        <w:tc>
          <w:tcPr>
            <w:tcW w:w="513" w:type="dxa"/>
            <w:tcBorders>
              <w:top w:val="nil"/>
              <w:left w:val="nil"/>
              <w:bottom w:val="nil"/>
              <w:right w:val="nil"/>
            </w:tcBorders>
          </w:tcPr>
          <w:p w14:paraId="0BF81F86" w14:textId="77777777" w:rsidR="00DB23E9" w:rsidRDefault="00DB23E9" w:rsidP="00DB23E9">
            <w:pPr>
              <w:spacing w:after="160" w:line="259" w:lineRule="auto"/>
            </w:pPr>
          </w:p>
        </w:tc>
        <w:tc>
          <w:tcPr>
            <w:tcW w:w="303" w:type="dxa"/>
            <w:tcBorders>
              <w:top w:val="nil"/>
              <w:left w:val="nil"/>
              <w:bottom w:val="nil"/>
              <w:right w:val="nil"/>
            </w:tcBorders>
          </w:tcPr>
          <w:p w14:paraId="48DE1AD1" w14:textId="77777777" w:rsidR="00DB23E9" w:rsidRDefault="00DB23E9" w:rsidP="00DB23E9">
            <w:pPr>
              <w:spacing w:after="160" w:line="259" w:lineRule="auto"/>
            </w:pPr>
          </w:p>
        </w:tc>
      </w:tr>
      <w:tr w:rsidR="00DB23E9" w14:paraId="609439F8" w14:textId="77777777" w:rsidTr="0038445D">
        <w:trPr>
          <w:trHeight w:val="259"/>
        </w:trPr>
        <w:tc>
          <w:tcPr>
            <w:tcW w:w="1674" w:type="dxa"/>
            <w:tcBorders>
              <w:top w:val="nil"/>
              <w:left w:val="nil"/>
              <w:bottom w:val="nil"/>
              <w:right w:val="nil"/>
            </w:tcBorders>
          </w:tcPr>
          <w:p w14:paraId="202E66B7" w14:textId="77777777" w:rsidR="00DB23E9" w:rsidRDefault="00DB23E9" w:rsidP="00DB23E9">
            <w:pPr>
              <w:spacing w:line="259" w:lineRule="auto"/>
            </w:pPr>
            <w:r>
              <w:rPr>
                <w:sz w:val="17"/>
              </w:rPr>
              <w:t>6. Public regard</w:t>
            </w:r>
          </w:p>
        </w:tc>
        <w:tc>
          <w:tcPr>
            <w:tcW w:w="702" w:type="dxa"/>
            <w:tcBorders>
              <w:top w:val="nil"/>
              <w:left w:val="nil"/>
              <w:bottom w:val="nil"/>
              <w:right w:val="nil"/>
            </w:tcBorders>
          </w:tcPr>
          <w:p w14:paraId="2F274902" w14:textId="77777777" w:rsidR="00DB23E9" w:rsidRDefault="00DB23E9" w:rsidP="00DB23E9">
            <w:pPr>
              <w:spacing w:line="259" w:lineRule="auto"/>
            </w:pPr>
            <w:r>
              <w:rPr>
                <w:rFonts w:ascii="Calibri" w:eastAsia="Calibri" w:hAnsi="Calibri" w:cs="Calibri"/>
                <w:sz w:val="17"/>
              </w:rPr>
              <w:t>−</w:t>
            </w:r>
            <w:r>
              <w:rPr>
                <w:sz w:val="17"/>
              </w:rPr>
              <w:t>0.01</w:t>
            </w:r>
          </w:p>
        </w:tc>
        <w:tc>
          <w:tcPr>
            <w:tcW w:w="694" w:type="dxa"/>
            <w:tcBorders>
              <w:top w:val="nil"/>
              <w:left w:val="nil"/>
              <w:bottom w:val="nil"/>
              <w:right w:val="nil"/>
            </w:tcBorders>
          </w:tcPr>
          <w:p w14:paraId="112892FE" w14:textId="77777777" w:rsidR="00DB23E9" w:rsidRDefault="00DB23E9" w:rsidP="00DB23E9">
            <w:pPr>
              <w:spacing w:line="259" w:lineRule="auto"/>
            </w:pPr>
            <w:r>
              <w:rPr>
                <w:rFonts w:ascii="Calibri" w:eastAsia="Calibri" w:hAnsi="Calibri" w:cs="Calibri"/>
                <w:sz w:val="17"/>
              </w:rPr>
              <w:t>−</w:t>
            </w:r>
            <w:r>
              <w:rPr>
                <w:sz w:val="17"/>
              </w:rPr>
              <w:t>0.01</w:t>
            </w:r>
          </w:p>
        </w:tc>
        <w:tc>
          <w:tcPr>
            <w:tcW w:w="702" w:type="dxa"/>
            <w:tcBorders>
              <w:top w:val="nil"/>
              <w:left w:val="nil"/>
              <w:bottom w:val="nil"/>
              <w:right w:val="nil"/>
            </w:tcBorders>
          </w:tcPr>
          <w:p w14:paraId="5C9BD5C4" w14:textId="77777777" w:rsidR="00DB23E9" w:rsidRDefault="00DB23E9" w:rsidP="00DB23E9">
            <w:pPr>
              <w:spacing w:line="259" w:lineRule="auto"/>
              <w:ind w:left="130"/>
            </w:pPr>
            <w:r>
              <w:rPr>
                <w:sz w:val="17"/>
              </w:rPr>
              <w:t>0.12</w:t>
            </w:r>
          </w:p>
        </w:tc>
        <w:tc>
          <w:tcPr>
            <w:tcW w:w="702" w:type="dxa"/>
            <w:tcBorders>
              <w:top w:val="nil"/>
              <w:left w:val="nil"/>
              <w:bottom w:val="nil"/>
              <w:right w:val="nil"/>
            </w:tcBorders>
          </w:tcPr>
          <w:p w14:paraId="6164A295" w14:textId="77777777" w:rsidR="00DB23E9" w:rsidRDefault="00DB23E9" w:rsidP="00DB23E9">
            <w:pPr>
              <w:spacing w:line="259" w:lineRule="auto"/>
              <w:ind w:left="130"/>
            </w:pPr>
            <w:r>
              <w:rPr>
                <w:sz w:val="17"/>
              </w:rPr>
              <w:t>0.07</w:t>
            </w:r>
          </w:p>
        </w:tc>
        <w:tc>
          <w:tcPr>
            <w:tcW w:w="703" w:type="dxa"/>
            <w:tcBorders>
              <w:top w:val="nil"/>
              <w:left w:val="nil"/>
              <w:bottom w:val="nil"/>
              <w:right w:val="nil"/>
            </w:tcBorders>
          </w:tcPr>
          <w:p w14:paraId="6CBE1AEC" w14:textId="77777777" w:rsidR="00DB23E9" w:rsidRDefault="00DB23E9" w:rsidP="00DB23E9">
            <w:pPr>
              <w:spacing w:line="259" w:lineRule="auto"/>
              <w:ind w:left="130"/>
            </w:pPr>
            <w:r>
              <w:rPr>
                <w:sz w:val="17"/>
              </w:rPr>
              <w:t>0.22</w:t>
            </w:r>
            <w:r>
              <w:rPr>
                <w:sz w:val="17"/>
                <w:vertAlign w:val="superscript"/>
              </w:rPr>
              <w:t>c</w:t>
            </w:r>
          </w:p>
        </w:tc>
        <w:tc>
          <w:tcPr>
            <w:tcW w:w="627" w:type="dxa"/>
            <w:tcBorders>
              <w:top w:val="nil"/>
              <w:left w:val="nil"/>
              <w:bottom w:val="nil"/>
              <w:right w:val="nil"/>
            </w:tcBorders>
          </w:tcPr>
          <w:p w14:paraId="541BC60C" w14:textId="77777777" w:rsidR="00DB23E9" w:rsidRDefault="00DB23E9" w:rsidP="00DB23E9">
            <w:pPr>
              <w:spacing w:line="259" w:lineRule="auto"/>
              <w:ind w:left="54"/>
            </w:pPr>
            <w:r>
              <w:rPr>
                <w:sz w:val="17"/>
              </w:rPr>
              <w:t>1.00</w:t>
            </w:r>
          </w:p>
        </w:tc>
        <w:tc>
          <w:tcPr>
            <w:tcW w:w="695" w:type="dxa"/>
            <w:tcBorders>
              <w:top w:val="nil"/>
              <w:left w:val="nil"/>
              <w:bottom w:val="nil"/>
              <w:right w:val="nil"/>
            </w:tcBorders>
          </w:tcPr>
          <w:p w14:paraId="48898D01" w14:textId="77777777" w:rsidR="00DB23E9" w:rsidRDefault="00DB23E9" w:rsidP="00DB23E9">
            <w:pPr>
              <w:spacing w:after="160" w:line="259" w:lineRule="auto"/>
            </w:pPr>
          </w:p>
        </w:tc>
        <w:tc>
          <w:tcPr>
            <w:tcW w:w="573" w:type="dxa"/>
            <w:tcBorders>
              <w:top w:val="nil"/>
              <w:left w:val="nil"/>
              <w:bottom w:val="nil"/>
              <w:right w:val="nil"/>
            </w:tcBorders>
          </w:tcPr>
          <w:p w14:paraId="5FF3469D" w14:textId="77777777" w:rsidR="00DB23E9" w:rsidRDefault="00DB23E9" w:rsidP="00DB23E9">
            <w:pPr>
              <w:spacing w:after="160" w:line="259" w:lineRule="auto"/>
            </w:pPr>
          </w:p>
        </w:tc>
        <w:tc>
          <w:tcPr>
            <w:tcW w:w="571" w:type="dxa"/>
            <w:tcBorders>
              <w:top w:val="nil"/>
              <w:left w:val="nil"/>
              <w:bottom w:val="nil"/>
              <w:right w:val="nil"/>
            </w:tcBorders>
          </w:tcPr>
          <w:p w14:paraId="12E8DA6B" w14:textId="77777777" w:rsidR="00DB23E9" w:rsidRDefault="00DB23E9" w:rsidP="00DB23E9">
            <w:pPr>
              <w:spacing w:after="160" w:line="259" w:lineRule="auto"/>
            </w:pPr>
          </w:p>
        </w:tc>
        <w:tc>
          <w:tcPr>
            <w:tcW w:w="703" w:type="dxa"/>
            <w:tcBorders>
              <w:top w:val="nil"/>
              <w:left w:val="nil"/>
              <w:bottom w:val="nil"/>
              <w:right w:val="nil"/>
            </w:tcBorders>
          </w:tcPr>
          <w:p w14:paraId="0A0FE522" w14:textId="77777777" w:rsidR="00DB23E9" w:rsidRDefault="00DB23E9" w:rsidP="00DB23E9">
            <w:pPr>
              <w:spacing w:after="160" w:line="259" w:lineRule="auto"/>
            </w:pPr>
          </w:p>
        </w:tc>
        <w:tc>
          <w:tcPr>
            <w:tcW w:w="703" w:type="dxa"/>
            <w:tcBorders>
              <w:top w:val="nil"/>
              <w:left w:val="nil"/>
              <w:bottom w:val="nil"/>
              <w:right w:val="nil"/>
            </w:tcBorders>
          </w:tcPr>
          <w:p w14:paraId="1ED60DEA" w14:textId="77777777" w:rsidR="00DB23E9" w:rsidRDefault="00DB23E9" w:rsidP="00DB23E9">
            <w:pPr>
              <w:spacing w:after="160" w:line="259" w:lineRule="auto"/>
            </w:pPr>
          </w:p>
        </w:tc>
        <w:tc>
          <w:tcPr>
            <w:tcW w:w="513" w:type="dxa"/>
            <w:tcBorders>
              <w:top w:val="nil"/>
              <w:left w:val="nil"/>
              <w:bottom w:val="nil"/>
              <w:right w:val="nil"/>
            </w:tcBorders>
          </w:tcPr>
          <w:p w14:paraId="14E08534" w14:textId="77777777" w:rsidR="00DB23E9" w:rsidRDefault="00DB23E9" w:rsidP="00DB23E9">
            <w:pPr>
              <w:spacing w:after="160" w:line="259" w:lineRule="auto"/>
            </w:pPr>
          </w:p>
        </w:tc>
        <w:tc>
          <w:tcPr>
            <w:tcW w:w="303" w:type="dxa"/>
            <w:tcBorders>
              <w:top w:val="nil"/>
              <w:left w:val="nil"/>
              <w:bottom w:val="nil"/>
              <w:right w:val="nil"/>
            </w:tcBorders>
          </w:tcPr>
          <w:p w14:paraId="0462E267" w14:textId="77777777" w:rsidR="00DB23E9" w:rsidRDefault="00DB23E9" w:rsidP="00DB23E9">
            <w:pPr>
              <w:spacing w:after="160" w:line="259" w:lineRule="auto"/>
            </w:pPr>
          </w:p>
        </w:tc>
      </w:tr>
      <w:tr w:rsidR="00DB23E9" w14:paraId="1315F975" w14:textId="77777777" w:rsidTr="0038445D">
        <w:trPr>
          <w:trHeight w:val="259"/>
        </w:trPr>
        <w:tc>
          <w:tcPr>
            <w:tcW w:w="1674" w:type="dxa"/>
            <w:tcBorders>
              <w:top w:val="nil"/>
              <w:left w:val="nil"/>
              <w:bottom w:val="nil"/>
              <w:right w:val="nil"/>
            </w:tcBorders>
          </w:tcPr>
          <w:p w14:paraId="3180D3E8" w14:textId="77777777" w:rsidR="00DB23E9" w:rsidRDefault="00DB23E9" w:rsidP="00DB23E9">
            <w:pPr>
              <w:spacing w:line="259" w:lineRule="auto"/>
            </w:pPr>
            <w:r>
              <w:rPr>
                <w:sz w:val="17"/>
              </w:rPr>
              <w:t>7. Private regard</w:t>
            </w:r>
          </w:p>
        </w:tc>
        <w:tc>
          <w:tcPr>
            <w:tcW w:w="702" w:type="dxa"/>
            <w:tcBorders>
              <w:top w:val="nil"/>
              <w:left w:val="nil"/>
              <w:bottom w:val="nil"/>
              <w:right w:val="nil"/>
            </w:tcBorders>
          </w:tcPr>
          <w:p w14:paraId="364E4BF1" w14:textId="77777777" w:rsidR="00DB23E9" w:rsidRDefault="00DB23E9" w:rsidP="00DB23E9">
            <w:pPr>
              <w:spacing w:line="259" w:lineRule="auto"/>
              <w:ind w:left="130"/>
            </w:pPr>
            <w:r>
              <w:rPr>
                <w:sz w:val="17"/>
              </w:rPr>
              <w:t>0.10</w:t>
            </w:r>
          </w:p>
        </w:tc>
        <w:tc>
          <w:tcPr>
            <w:tcW w:w="694" w:type="dxa"/>
            <w:tcBorders>
              <w:top w:val="nil"/>
              <w:left w:val="nil"/>
              <w:bottom w:val="nil"/>
              <w:right w:val="nil"/>
            </w:tcBorders>
          </w:tcPr>
          <w:p w14:paraId="74C41C29" w14:textId="77777777" w:rsidR="00DB23E9" w:rsidRDefault="00DB23E9" w:rsidP="00DB23E9">
            <w:pPr>
              <w:spacing w:line="259" w:lineRule="auto"/>
            </w:pPr>
            <w:r>
              <w:rPr>
                <w:rFonts w:ascii="Calibri" w:eastAsia="Calibri" w:hAnsi="Calibri" w:cs="Calibri"/>
                <w:sz w:val="17"/>
              </w:rPr>
              <w:t>−</w:t>
            </w:r>
            <w:r>
              <w:rPr>
                <w:sz w:val="17"/>
              </w:rPr>
              <w:t>0.14</w:t>
            </w:r>
            <w:r>
              <w:rPr>
                <w:sz w:val="17"/>
                <w:vertAlign w:val="superscript"/>
              </w:rPr>
              <w:t>a</w:t>
            </w:r>
          </w:p>
        </w:tc>
        <w:tc>
          <w:tcPr>
            <w:tcW w:w="702" w:type="dxa"/>
            <w:tcBorders>
              <w:top w:val="nil"/>
              <w:left w:val="nil"/>
              <w:bottom w:val="nil"/>
              <w:right w:val="nil"/>
            </w:tcBorders>
          </w:tcPr>
          <w:p w14:paraId="22795944" w14:textId="77777777" w:rsidR="00DB23E9" w:rsidRDefault="00DB23E9" w:rsidP="00DB23E9">
            <w:pPr>
              <w:spacing w:line="259" w:lineRule="auto"/>
              <w:ind w:left="130"/>
            </w:pPr>
            <w:r>
              <w:rPr>
                <w:sz w:val="17"/>
              </w:rPr>
              <w:t>0.05</w:t>
            </w:r>
          </w:p>
        </w:tc>
        <w:tc>
          <w:tcPr>
            <w:tcW w:w="702" w:type="dxa"/>
            <w:tcBorders>
              <w:top w:val="nil"/>
              <w:left w:val="nil"/>
              <w:bottom w:val="nil"/>
              <w:right w:val="nil"/>
            </w:tcBorders>
          </w:tcPr>
          <w:p w14:paraId="24624FA9" w14:textId="77777777" w:rsidR="00DB23E9" w:rsidRDefault="00DB23E9" w:rsidP="00DB23E9">
            <w:pPr>
              <w:spacing w:line="259" w:lineRule="auto"/>
            </w:pPr>
            <w:r>
              <w:rPr>
                <w:rFonts w:ascii="Calibri" w:eastAsia="Calibri" w:hAnsi="Calibri" w:cs="Calibri"/>
                <w:sz w:val="17"/>
              </w:rPr>
              <w:t>−</w:t>
            </w:r>
            <w:r>
              <w:rPr>
                <w:sz w:val="17"/>
              </w:rPr>
              <w:t>0.04</w:t>
            </w:r>
          </w:p>
        </w:tc>
        <w:tc>
          <w:tcPr>
            <w:tcW w:w="703" w:type="dxa"/>
            <w:tcBorders>
              <w:top w:val="nil"/>
              <w:left w:val="nil"/>
              <w:bottom w:val="nil"/>
              <w:right w:val="nil"/>
            </w:tcBorders>
          </w:tcPr>
          <w:p w14:paraId="6A96C495" w14:textId="77777777" w:rsidR="00DB23E9" w:rsidRDefault="00DB23E9" w:rsidP="00DB23E9">
            <w:pPr>
              <w:spacing w:line="259" w:lineRule="auto"/>
              <w:ind w:left="130"/>
            </w:pPr>
            <w:r>
              <w:rPr>
                <w:sz w:val="17"/>
              </w:rPr>
              <w:t>0.03</w:t>
            </w:r>
          </w:p>
        </w:tc>
        <w:tc>
          <w:tcPr>
            <w:tcW w:w="627" w:type="dxa"/>
            <w:tcBorders>
              <w:top w:val="nil"/>
              <w:left w:val="nil"/>
              <w:bottom w:val="nil"/>
              <w:right w:val="nil"/>
            </w:tcBorders>
          </w:tcPr>
          <w:p w14:paraId="35007F31" w14:textId="77777777" w:rsidR="00DB23E9" w:rsidRDefault="00DB23E9" w:rsidP="00DB23E9">
            <w:pPr>
              <w:spacing w:line="259" w:lineRule="auto"/>
              <w:ind w:left="54"/>
            </w:pPr>
            <w:r>
              <w:rPr>
                <w:sz w:val="17"/>
              </w:rPr>
              <w:t>0.21</w:t>
            </w:r>
            <w:r>
              <w:rPr>
                <w:sz w:val="17"/>
                <w:vertAlign w:val="superscript"/>
              </w:rPr>
              <w:t>c</w:t>
            </w:r>
          </w:p>
        </w:tc>
        <w:tc>
          <w:tcPr>
            <w:tcW w:w="695" w:type="dxa"/>
            <w:tcBorders>
              <w:top w:val="nil"/>
              <w:left w:val="nil"/>
              <w:bottom w:val="nil"/>
              <w:right w:val="nil"/>
            </w:tcBorders>
          </w:tcPr>
          <w:p w14:paraId="6F1C4653" w14:textId="77777777" w:rsidR="00DB23E9" w:rsidRDefault="00DB23E9" w:rsidP="00DB23E9">
            <w:pPr>
              <w:spacing w:line="259" w:lineRule="auto"/>
              <w:ind w:left="130"/>
            </w:pPr>
            <w:r>
              <w:rPr>
                <w:sz w:val="17"/>
              </w:rPr>
              <w:t>1.00</w:t>
            </w:r>
          </w:p>
        </w:tc>
        <w:tc>
          <w:tcPr>
            <w:tcW w:w="573" w:type="dxa"/>
            <w:tcBorders>
              <w:top w:val="nil"/>
              <w:left w:val="nil"/>
              <w:bottom w:val="nil"/>
              <w:right w:val="nil"/>
            </w:tcBorders>
          </w:tcPr>
          <w:p w14:paraId="2AC2E1F4" w14:textId="77777777" w:rsidR="00DB23E9" w:rsidRDefault="00DB23E9" w:rsidP="00DB23E9">
            <w:pPr>
              <w:spacing w:after="160" w:line="259" w:lineRule="auto"/>
            </w:pPr>
          </w:p>
        </w:tc>
        <w:tc>
          <w:tcPr>
            <w:tcW w:w="571" w:type="dxa"/>
            <w:tcBorders>
              <w:top w:val="nil"/>
              <w:left w:val="nil"/>
              <w:bottom w:val="nil"/>
              <w:right w:val="nil"/>
            </w:tcBorders>
          </w:tcPr>
          <w:p w14:paraId="1163149A" w14:textId="77777777" w:rsidR="00DB23E9" w:rsidRDefault="00DB23E9" w:rsidP="00DB23E9">
            <w:pPr>
              <w:spacing w:after="160" w:line="259" w:lineRule="auto"/>
            </w:pPr>
          </w:p>
        </w:tc>
        <w:tc>
          <w:tcPr>
            <w:tcW w:w="703" w:type="dxa"/>
            <w:tcBorders>
              <w:top w:val="nil"/>
              <w:left w:val="nil"/>
              <w:bottom w:val="nil"/>
              <w:right w:val="nil"/>
            </w:tcBorders>
          </w:tcPr>
          <w:p w14:paraId="211A0BF3" w14:textId="77777777" w:rsidR="00DB23E9" w:rsidRDefault="00DB23E9" w:rsidP="00DB23E9">
            <w:pPr>
              <w:spacing w:after="160" w:line="259" w:lineRule="auto"/>
            </w:pPr>
          </w:p>
        </w:tc>
        <w:tc>
          <w:tcPr>
            <w:tcW w:w="703" w:type="dxa"/>
            <w:tcBorders>
              <w:top w:val="nil"/>
              <w:left w:val="nil"/>
              <w:bottom w:val="nil"/>
              <w:right w:val="nil"/>
            </w:tcBorders>
          </w:tcPr>
          <w:p w14:paraId="7F491EFF" w14:textId="77777777" w:rsidR="00DB23E9" w:rsidRDefault="00DB23E9" w:rsidP="00DB23E9">
            <w:pPr>
              <w:spacing w:after="160" w:line="259" w:lineRule="auto"/>
            </w:pPr>
          </w:p>
        </w:tc>
        <w:tc>
          <w:tcPr>
            <w:tcW w:w="513" w:type="dxa"/>
            <w:tcBorders>
              <w:top w:val="nil"/>
              <w:left w:val="nil"/>
              <w:bottom w:val="nil"/>
              <w:right w:val="nil"/>
            </w:tcBorders>
          </w:tcPr>
          <w:p w14:paraId="333725E8" w14:textId="77777777" w:rsidR="00DB23E9" w:rsidRDefault="00DB23E9" w:rsidP="00DB23E9">
            <w:pPr>
              <w:spacing w:after="160" w:line="259" w:lineRule="auto"/>
            </w:pPr>
          </w:p>
        </w:tc>
        <w:tc>
          <w:tcPr>
            <w:tcW w:w="303" w:type="dxa"/>
            <w:tcBorders>
              <w:top w:val="nil"/>
              <w:left w:val="nil"/>
              <w:bottom w:val="nil"/>
              <w:right w:val="nil"/>
            </w:tcBorders>
          </w:tcPr>
          <w:p w14:paraId="65B60620" w14:textId="77777777" w:rsidR="00DB23E9" w:rsidRDefault="00DB23E9" w:rsidP="00DB23E9">
            <w:pPr>
              <w:spacing w:after="160" w:line="259" w:lineRule="auto"/>
            </w:pPr>
          </w:p>
        </w:tc>
      </w:tr>
      <w:tr w:rsidR="00DB23E9" w14:paraId="2BD264F3" w14:textId="77777777" w:rsidTr="0038445D">
        <w:trPr>
          <w:trHeight w:val="259"/>
        </w:trPr>
        <w:tc>
          <w:tcPr>
            <w:tcW w:w="1674" w:type="dxa"/>
            <w:tcBorders>
              <w:top w:val="nil"/>
              <w:left w:val="nil"/>
              <w:bottom w:val="nil"/>
              <w:right w:val="nil"/>
            </w:tcBorders>
          </w:tcPr>
          <w:p w14:paraId="4D0FAC55" w14:textId="77777777" w:rsidR="00DB23E9" w:rsidRDefault="00DB23E9" w:rsidP="00DB23E9">
            <w:pPr>
              <w:spacing w:line="259" w:lineRule="auto"/>
            </w:pPr>
            <w:r>
              <w:rPr>
                <w:sz w:val="17"/>
              </w:rPr>
              <w:t>8. Racial pride</w:t>
            </w:r>
          </w:p>
        </w:tc>
        <w:tc>
          <w:tcPr>
            <w:tcW w:w="702" w:type="dxa"/>
            <w:tcBorders>
              <w:top w:val="nil"/>
              <w:left w:val="nil"/>
              <w:bottom w:val="nil"/>
              <w:right w:val="nil"/>
            </w:tcBorders>
          </w:tcPr>
          <w:p w14:paraId="6D5326DF" w14:textId="77777777" w:rsidR="00DB23E9" w:rsidRDefault="00DB23E9" w:rsidP="00DB23E9">
            <w:pPr>
              <w:spacing w:line="259" w:lineRule="auto"/>
              <w:ind w:left="130"/>
            </w:pPr>
            <w:r>
              <w:rPr>
                <w:sz w:val="17"/>
              </w:rPr>
              <w:t>0.10</w:t>
            </w:r>
          </w:p>
        </w:tc>
        <w:tc>
          <w:tcPr>
            <w:tcW w:w="694" w:type="dxa"/>
            <w:tcBorders>
              <w:top w:val="nil"/>
              <w:left w:val="nil"/>
              <w:bottom w:val="nil"/>
              <w:right w:val="nil"/>
            </w:tcBorders>
          </w:tcPr>
          <w:p w14:paraId="2A072BBB" w14:textId="77777777" w:rsidR="00DB23E9" w:rsidRDefault="00DB23E9" w:rsidP="00DB23E9">
            <w:pPr>
              <w:spacing w:line="259" w:lineRule="auto"/>
              <w:ind w:left="130"/>
            </w:pPr>
            <w:r>
              <w:rPr>
                <w:sz w:val="17"/>
              </w:rPr>
              <w:t>0.04</w:t>
            </w:r>
          </w:p>
        </w:tc>
        <w:tc>
          <w:tcPr>
            <w:tcW w:w="702" w:type="dxa"/>
            <w:tcBorders>
              <w:top w:val="nil"/>
              <w:left w:val="nil"/>
              <w:bottom w:val="nil"/>
              <w:right w:val="nil"/>
            </w:tcBorders>
          </w:tcPr>
          <w:p w14:paraId="70255C01" w14:textId="77777777" w:rsidR="00DB23E9" w:rsidRDefault="00DB23E9" w:rsidP="00DB23E9">
            <w:pPr>
              <w:spacing w:line="259" w:lineRule="auto"/>
              <w:ind w:left="130"/>
            </w:pPr>
            <w:r>
              <w:rPr>
                <w:sz w:val="17"/>
              </w:rPr>
              <w:t>0.02</w:t>
            </w:r>
          </w:p>
        </w:tc>
        <w:tc>
          <w:tcPr>
            <w:tcW w:w="702" w:type="dxa"/>
            <w:tcBorders>
              <w:top w:val="nil"/>
              <w:left w:val="nil"/>
              <w:bottom w:val="nil"/>
              <w:right w:val="nil"/>
            </w:tcBorders>
          </w:tcPr>
          <w:p w14:paraId="64477F9B" w14:textId="77777777" w:rsidR="00DB23E9" w:rsidRDefault="00DB23E9" w:rsidP="00DB23E9">
            <w:pPr>
              <w:spacing w:line="259" w:lineRule="auto"/>
            </w:pPr>
            <w:r>
              <w:rPr>
                <w:rFonts w:ascii="Calibri" w:eastAsia="Calibri" w:hAnsi="Calibri" w:cs="Calibri"/>
                <w:sz w:val="17"/>
              </w:rPr>
              <w:t>−</w:t>
            </w:r>
            <w:r>
              <w:rPr>
                <w:sz w:val="17"/>
              </w:rPr>
              <w:t>0.10</w:t>
            </w:r>
          </w:p>
        </w:tc>
        <w:tc>
          <w:tcPr>
            <w:tcW w:w="703" w:type="dxa"/>
            <w:tcBorders>
              <w:top w:val="nil"/>
              <w:left w:val="nil"/>
              <w:bottom w:val="nil"/>
              <w:right w:val="nil"/>
            </w:tcBorders>
          </w:tcPr>
          <w:p w14:paraId="25F75738" w14:textId="77777777" w:rsidR="00DB23E9" w:rsidRDefault="00DB23E9" w:rsidP="00DB23E9">
            <w:pPr>
              <w:spacing w:line="259" w:lineRule="auto"/>
              <w:ind w:left="130"/>
            </w:pPr>
            <w:r>
              <w:rPr>
                <w:sz w:val="17"/>
              </w:rPr>
              <w:t>0.36</w:t>
            </w:r>
            <w:r>
              <w:rPr>
                <w:sz w:val="17"/>
                <w:vertAlign w:val="superscript"/>
              </w:rPr>
              <w:t>c</w:t>
            </w:r>
          </w:p>
        </w:tc>
        <w:tc>
          <w:tcPr>
            <w:tcW w:w="627" w:type="dxa"/>
            <w:tcBorders>
              <w:top w:val="nil"/>
              <w:left w:val="nil"/>
              <w:bottom w:val="nil"/>
              <w:right w:val="nil"/>
            </w:tcBorders>
          </w:tcPr>
          <w:p w14:paraId="1CD9C721" w14:textId="77777777" w:rsidR="00DB23E9" w:rsidRDefault="00DB23E9" w:rsidP="00DB23E9">
            <w:pPr>
              <w:spacing w:line="259" w:lineRule="auto"/>
              <w:ind w:left="54"/>
            </w:pPr>
            <w:r>
              <w:rPr>
                <w:sz w:val="17"/>
              </w:rPr>
              <w:t>0.00</w:t>
            </w:r>
          </w:p>
        </w:tc>
        <w:tc>
          <w:tcPr>
            <w:tcW w:w="695" w:type="dxa"/>
            <w:tcBorders>
              <w:top w:val="nil"/>
              <w:left w:val="nil"/>
              <w:bottom w:val="nil"/>
              <w:right w:val="nil"/>
            </w:tcBorders>
          </w:tcPr>
          <w:p w14:paraId="69B8F0E9" w14:textId="77777777" w:rsidR="00DB23E9" w:rsidRDefault="00DB23E9" w:rsidP="00DB23E9">
            <w:pPr>
              <w:spacing w:line="259" w:lineRule="auto"/>
            </w:pPr>
            <w:r>
              <w:rPr>
                <w:rFonts w:ascii="Calibri" w:eastAsia="Calibri" w:hAnsi="Calibri" w:cs="Calibri"/>
                <w:sz w:val="17"/>
              </w:rPr>
              <w:t>−</w:t>
            </w:r>
            <w:r>
              <w:rPr>
                <w:sz w:val="17"/>
              </w:rPr>
              <w:t>0.03</w:t>
            </w:r>
          </w:p>
        </w:tc>
        <w:tc>
          <w:tcPr>
            <w:tcW w:w="573" w:type="dxa"/>
            <w:tcBorders>
              <w:top w:val="nil"/>
              <w:left w:val="nil"/>
              <w:bottom w:val="nil"/>
              <w:right w:val="nil"/>
            </w:tcBorders>
          </w:tcPr>
          <w:p w14:paraId="76FF1620" w14:textId="77777777" w:rsidR="00DB23E9" w:rsidRDefault="00DB23E9" w:rsidP="00DB23E9">
            <w:pPr>
              <w:spacing w:line="259" w:lineRule="auto"/>
            </w:pPr>
            <w:r>
              <w:rPr>
                <w:sz w:val="17"/>
              </w:rPr>
              <w:t>1.00</w:t>
            </w:r>
          </w:p>
        </w:tc>
        <w:tc>
          <w:tcPr>
            <w:tcW w:w="571" w:type="dxa"/>
            <w:tcBorders>
              <w:top w:val="nil"/>
              <w:left w:val="nil"/>
              <w:bottom w:val="nil"/>
              <w:right w:val="nil"/>
            </w:tcBorders>
          </w:tcPr>
          <w:p w14:paraId="3300B0A7" w14:textId="77777777" w:rsidR="00DB23E9" w:rsidRDefault="00DB23E9" w:rsidP="00DB23E9">
            <w:pPr>
              <w:spacing w:after="160" w:line="259" w:lineRule="auto"/>
            </w:pPr>
          </w:p>
        </w:tc>
        <w:tc>
          <w:tcPr>
            <w:tcW w:w="703" w:type="dxa"/>
            <w:tcBorders>
              <w:top w:val="nil"/>
              <w:left w:val="nil"/>
              <w:bottom w:val="nil"/>
              <w:right w:val="nil"/>
            </w:tcBorders>
          </w:tcPr>
          <w:p w14:paraId="3C85C737" w14:textId="77777777" w:rsidR="00DB23E9" w:rsidRDefault="00DB23E9" w:rsidP="00DB23E9">
            <w:pPr>
              <w:spacing w:after="160" w:line="259" w:lineRule="auto"/>
            </w:pPr>
          </w:p>
        </w:tc>
        <w:tc>
          <w:tcPr>
            <w:tcW w:w="703" w:type="dxa"/>
            <w:tcBorders>
              <w:top w:val="nil"/>
              <w:left w:val="nil"/>
              <w:bottom w:val="nil"/>
              <w:right w:val="nil"/>
            </w:tcBorders>
          </w:tcPr>
          <w:p w14:paraId="73386CEF" w14:textId="77777777" w:rsidR="00DB23E9" w:rsidRDefault="00DB23E9" w:rsidP="00DB23E9">
            <w:pPr>
              <w:spacing w:after="160" w:line="259" w:lineRule="auto"/>
            </w:pPr>
          </w:p>
        </w:tc>
        <w:tc>
          <w:tcPr>
            <w:tcW w:w="513" w:type="dxa"/>
            <w:tcBorders>
              <w:top w:val="nil"/>
              <w:left w:val="nil"/>
              <w:bottom w:val="nil"/>
              <w:right w:val="nil"/>
            </w:tcBorders>
          </w:tcPr>
          <w:p w14:paraId="56B7F280" w14:textId="77777777" w:rsidR="00DB23E9" w:rsidRDefault="00DB23E9" w:rsidP="00DB23E9">
            <w:pPr>
              <w:spacing w:after="160" w:line="259" w:lineRule="auto"/>
            </w:pPr>
          </w:p>
        </w:tc>
        <w:tc>
          <w:tcPr>
            <w:tcW w:w="303" w:type="dxa"/>
            <w:tcBorders>
              <w:top w:val="nil"/>
              <w:left w:val="nil"/>
              <w:bottom w:val="nil"/>
              <w:right w:val="nil"/>
            </w:tcBorders>
          </w:tcPr>
          <w:p w14:paraId="69DF0512" w14:textId="77777777" w:rsidR="00DB23E9" w:rsidRDefault="00DB23E9" w:rsidP="00DB23E9">
            <w:pPr>
              <w:spacing w:after="160" w:line="259" w:lineRule="auto"/>
            </w:pPr>
          </w:p>
        </w:tc>
      </w:tr>
      <w:tr w:rsidR="00DB23E9" w14:paraId="2726CE51" w14:textId="77777777" w:rsidTr="0038445D">
        <w:trPr>
          <w:trHeight w:val="259"/>
        </w:trPr>
        <w:tc>
          <w:tcPr>
            <w:tcW w:w="1674" w:type="dxa"/>
            <w:tcBorders>
              <w:top w:val="nil"/>
              <w:left w:val="nil"/>
              <w:bottom w:val="nil"/>
              <w:right w:val="nil"/>
            </w:tcBorders>
          </w:tcPr>
          <w:p w14:paraId="417776D9" w14:textId="77777777" w:rsidR="00DB23E9" w:rsidRDefault="00DB23E9" w:rsidP="00DB23E9">
            <w:pPr>
              <w:spacing w:line="259" w:lineRule="auto"/>
            </w:pPr>
            <w:r>
              <w:rPr>
                <w:sz w:val="17"/>
              </w:rPr>
              <w:t>9. Racial barrier</w:t>
            </w:r>
          </w:p>
        </w:tc>
        <w:tc>
          <w:tcPr>
            <w:tcW w:w="702" w:type="dxa"/>
            <w:tcBorders>
              <w:top w:val="nil"/>
              <w:left w:val="nil"/>
              <w:bottom w:val="nil"/>
              <w:right w:val="nil"/>
            </w:tcBorders>
          </w:tcPr>
          <w:p w14:paraId="1F1741FE" w14:textId="77777777" w:rsidR="00DB23E9" w:rsidRDefault="00DB23E9" w:rsidP="00DB23E9">
            <w:pPr>
              <w:spacing w:line="259" w:lineRule="auto"/>
              <w:ind w:left="130"/>
            </w:pPr>
            <w:r>
              <w:rPr>
                <w:sz w:val="17"/>
              </w:rPr>
              <w:t>0.08</w:t>
            </w:r>
          </w:p>
        </w:tc>
        <w:tc>
          <w:tcPr>
            <w:tcW w:w="694" w:type="dxa"/>
            <w:tcBorders>
              <w:top w:val="nil"/>
              <w:left w:val="nil"/>
              <w:bottom w:val="nil"/>
              <w:right w:val="nil"/>
            </w:tcBorders>
          </w:tcPr>
          <w:p w14:paraId="5A4B7AF9" w14:textId="77777777" w:rsidR="00DB23E9" w:rsidRDefault="00DB23E9" w:rsidP="00DB23E9">
            <w:pPr>
              <w:spacing w:line="259" w:lineRule="auto"/>
              <w:ind w:left="130"/>
            </w:pPr>
            <w:r>
              <w:rPr>
                <w:sz w:val="17"/>
              </w:rPr>
              <w:t>0.06</w:t>
            </w:r>
          </w:p>
        </w:tc>
        <w:tc>
          <w:tcPr>
            <w:tcW w:w="702" w:type="dxa"/>
            <w:tcBorders>
              <w:top w:val="nil"/>
              <w:left w:val="nil"/>
              <w:bottom w:val="nil"/>
              <w:right w:val="nil"/>
            </w:tcBorders>
          </w:tcPr>
          <w:p w14:paraId="1CB98A29" w14:textId="77777777" w:rsidR="00DB23E9" w:rsidRDefault="00DB23E9" w:rsidP="00DB23E9">
            <w:pPr>
              <w:spacing w:line="259" w:lineRule="auto"/>
              <w:ind w:left="130"/>
            </w:pPr>
            <w:r>
              <w:rPr>
                <w:sz w:val="17"/>
              </w:rPr>
              <w:t>0.05</w:t>
            </w:r>
          </w:p>
        </w:tc>
        <w:tc>
          <w:tcPr>
            <w:tcW w:w="702" w:type="dxa"/>
            <w:tcBorders>
              <w:top w:val="nil"/>
              <w:left w:val="nil"/>
              <w:bottom w:val="nil"/>
              <w:right w:val="nil"/>
            </w:tcBorders>
          </w:tcPr>
          <w:p w14:paraId="14F6095C" w14:textId="77777777" w:rsidR="00DB23E9" w:rsidRDefault="00DB23E9" w:rsidP="00DB23E9">
            <w:pPr>
              <w:spacing w:line="259" w:lineRule="auto"/>
            </w:pPr>
            <w:r>
              <w:rPr>
                <w:rFonts w:ascii="Calibri" w:eastAsia="Calibri" w:hAnsi="Calibri" w:cs="Calibri"/>
                <w:sz w:val="17"/>
              </w:rPr>
              <w:t>−</w:t>
            </w:r>
            <w:r>
              <w:rPr>
                <w:sz w:val="17"/>
              </w:rPr>
              <w:t>0.09</w:t>
            </w:r>
          </w:p>
        </w:tc>
        <w:tc>
          <w:tcPr>
            <w:tcW w:w="703" w:type="dxa"/>
            <w:tcBorders>
              <w:top w:val="nil"/>
              <w:left w:val="nil"/>
              <w:bottom w:val="nil"/>
              <w:right w:val="nil"/>
            </w:tcBorders>
          </w:tcPr>
          <w:p w14:paraId="3DD1C652" w14:textId="77777777" w:rsidR="00DB23E9" w:rsidRDefault="00DB23E9" w:rsidP="00DB23E9">
            <w:pPr>
              <w:spacing w:line="259" w:lineRule="auto"/>
              <w:ind w:left="130"/>
            </w:pPr>
            <w:r>
              <w:rPr>
                <w:sz w:val="17"/>
              </w:rPr>
              <w:t>0.35</w:t>
            </w:r>
            <w:r>
              <w:rPr>
                <w:sz w:val="17"/>
                <w:vertAlign w:val="superscript"/>
              </w:rPr>
              <w:t>d</w:t>
            </w:r>
          </w:p>
        </w:tc>
        <w:tc>
          <w:tcPr>
            <w:tcW w:w="627" w:type="dxa"/>
            <w:tcBorders>
              <w:top w:val="nil"/>
              <w:left w:val="nil"/>
              <w:bottom w:val="nil"/>
              <w:right w:val="nil"/>
            </w:tcBorders>
          </w:tcPr>
          <w:p w14:paraId="33B1FE99" w14:textId="77777777" w:rsidR="00DB23E9" w:rsidRDefault="00DB23E9" w:rsidP="00DB23E9">
            <w:pPr>
              <w:spacing w:line="259" w:lineRule="auto"/>
            </w:pPr>
            <w:r>
              <w:rPr>
                <w:sz w:val="17"/>
              </w:rPr>
              <w:t>-0.02</w:t>
            </w:r>
          </w:p>
        </w:tc>
        <w:tc>
          <w:tcPr>
            <w:tcW w:w="695" w:type="dxa"/>
            <w:tcBorders>
              <w:top w:val="nil"/>
              <w:left w:val="nil"/>
              <w:bottom w:val="nil"/>
              <w:right w:val="nil"/>
            </w:tcBorders>
          </w:tcPr>
          <w:p w14:paraId="4E810002" w14:textId="77777777" w:rsidR="00DB23E9" w:rsidRDefault="00DB23E9" w:rsidP="00DB23E9">
            <w:pPr>
              <w:spacing w:line="259" w:lineRule="auto"/>
            </w:pPr>
            <w:r>
              <w:rPr>
                <w:rFonts w:ascii="Calibri" w:eastAsia="Calibri" w:hAnsi="Calibri" w:cs="Calibri"/>
                <w:sz w:val="17"/>
              </w:rPr>
              <w:t>−</w:t>
            </w:r>
            <w:r>
              <w:rPr>
                <w:sz w:val="17"/>
              </w:rPr>
              <w:t>0.21</w:t>
            </w:r>
            <w:r>
              <w:rPr>
                <w:sz w:val="17"/>
                <w:vertAlign w:val="superscript"/>
              </w:rPr>
              <w:t>c</w:t>
            </w:r>
          </w:p>
        </w:tc>
        <w:tc>
          <w:tcPr>
            <w:tcW w:w="573" w:type="dxa"/>
            <w:tcBorders>
              <w:top w:val="nil"/>
              <w:left w:val="nil"/>
              <w:bottom w:val="nil"/>
              <w:right w:val="nil"/>
            </w:tcBorders>
          </w:tcPr>
          <w:p w14:paraId="45EA310E" w14:textId="77777777" w:rsidR="00DB23E9" w:rsidRDefault="00DB23E9" w:rsidP="00DB23E9">
            <w:pPr>
              <w:spacing w:line="259" w:lineRule="auto"/>
            </w:pPr>
            <w:r>
              <w:rPr>
                <w:sz w:val="17"/>
              </w:rPr>
              <w:t>0.67</w:t>
            </w:r>
            <w:r>
              <w:rPr>
                <w:sz w:val="17"/>
                <w:vertAlign w:val="superscript"/>
              </w:rPr>
              <w:t>d</w:t>
            </w:r>
          </w:p>
        </w:tc>
        <w:tc>
          <w:tcPr>
            <w:tcW w:w="571" w:type="dxa"/>
            <w:tcBorders>
              <w:top w:val="nil"/>
              <w:left w:val="nil"/>
              <w:bottom w:val="nil"/>
              <w:right w:val="nil"/>
            </w:tcBorders>
          </w:tcPr>
          <w:p w14:paraId="4468C83E" w14:textId="77777777" w:rsidR="00DB23E9" w:rsidRDefault="00DB23E9" w:rsidP="00DB23E9">
            <w:pPr>
              <w:spacing w:line="259" w:lineRule="auto"/>
            </w:pPr>
            <w:r>
              <w:rPr>
                <w:sz w:val="17"/>
              </w:rPr>
              <w:t>1.00</w:t>
            </w:r>
          </w:p>
        </w:tc>
        <w:tc>
          <w:tcPr>
            <w:tcW w:w="703" w:type="dxa"/>
            <w:tcBorders>
              <w:top w:val="nil"/>
              <w:left w:val="nil"/>
              <w:bottom w:val="nil"/>
              <w:right w:val="nil"/>
            </w:tcBorders>
          </w:tcPr>
          <w:p w14:paraId="02D6CA6B" w14:textId="77777777" w:rsidR="00DB23E9" w:rsidRDefault="00DB23E9" w:rsidP="00DB23E9">
            <w:pPr>
              <w:spacing w:after="160" w:line="259" w:lineRule="auto"/>
            </w:pPr>
          </w:p>
        </w:tc>
        <w:tc>
          <w:tcPr>
            <w:tcW w:w="703" w:type="dxa"/>
            <w:tcBorders>
              <w:top w:val="nil"/>
              <w:left w:val="nil"/>
              <w:bottom w:val="nil"/>
              <w:right w:val="nil"/>
            </w:tcBorders>
          </w:tcPr>
          <w:p w14:paraId="052020D3" w14:textId="77777777" w:rsidR="00DB23E9" w:rsidRDefault="00DB23E9" w:rsidP="00DB23E9">
            <w:pPr>
              <w:spacing w:after="160" w:line="259" w:lineRule="auto"/>
            </w:pPr>
          </w:p>
        </w:tc>
        <w:tc>
          <w:tcPr>
            <w:tcW w:w="513" w:type="dxa"/>
            <w:tcBorders>
              <w:top w:val="nil"/>
              <w:left w:val="nil"/>
              <w:bottom w:val="nil"/>
              <w:right w:val="nil"/>
            </w:tcBorders>
          </w:tcPr>
          <w:p w14:paraId="3C97E9BD" w14:textId="77777777" w:rsidR="00DB23E9" w:rsidRDefault="00DB23E9" w:rsidP="00DB23E9">
            <w:pPr>
              <w:spacing w:after="160" w:line="259" w:lineRule="auto"/>
            </w:pPr>
          </w:p>
        </w:tc>
        <w:tc>
          <w:tcPr>
            <w:tcW w:w="303" w:type="dxa"/>
            <w:tcBorders>
              <w:top w:val="nil"/>
              <w:left w:val="nil"/>
              <w:bottom w:val="nil"/>
              <w:right w:val="nil"/>
            </w:tcBorders>
          </w:tcPr>
          <w:p w14:paraId="2AEED324" w14:textId="77777777" w:rsidR="00DB23E9" w:rsidRDefault="00DB23E9" w:rsidP="00DB23E9">
            <w:pPr>
              <w:spacing w:after="160" w:line="259" w:lineRule="auto"/>
            </w:pPr>
          </w:p>
        </w:tc>
      </w:tr>
      <w:tr w:rsidR="00DB23E9" w14:paraId="59FDCD54" w14:textId="77777777" w:rsidTr="0038445D">
        <w:trPr>
          <w:trHeight w:val="259"/>
        </w:trPr>
        <w:tc>
          <w:tcPr>
            <w:tcW w:w="1674" w:type="dxa"/>
            <w:tcBorders>
              <w:top w:val="nil"/>
              <w:left w:val="nil"/>
              <w:bottom w:val="nil"/>
              <w:right w:val="nil"/>
            </w:tcBorders>
          </w:tcPr>
          <w:p w14:paraId="16C5C2C9" w14:textId="77777777" w:rsidR="00DB23E9" w:rsidRDefault="00DB23E9" w:rsidP="00DB23E9">
            <w:pPr>
              <w:spacing w:line="259" w:lineRule="auto"/>
            </w:pPr>
            <w:r>
              <w:rPr>
                <w:sz w:val="17"/>
              </w:rPr>
              <w:t>10. Egalitarian</w:t>
            </w:r>
          </w:p>
        </w:tc>
        <w:tc>
          <w:tcPr>
            <w:tcW w:w="702" w:type="dxa"/>
            <w:tcBorders>
              <w:top w:val="nil"/>
              <w:left w:val="nil"/>
              <w:bottom w:val="nil"/>
              <w:right w:val="nil"/>
            </w:tcBorders>
          </w:tcPr>
          <w:p w14:paraId="3BCE45D4" w14:textId="77777777" w:rsidR="00DB23E9" w:rsidRDefault="00DB23E9" w:rsidP="00DB23E9">
            <w:pPr>
              <w:spacing w:line="259" w:lineRule="auto"/>
              <w:ind w:left="130"/>
            </w:pPr>
            <w:r>
              <w:rPr>
                <w:sz w:val="17"/>
              </w:rPr>
              <w:t>0.06</w:t>
            </w:r>
          </w:p>
        </w:tc>
        <w:tc>
          <w:tcPr>
            <w:tcW w:w="694" w:type="dxa"/>
            <w:tcBorders>
              <w:top w:val="nil"/>
              <w:left w:val="nil"/>
              <w:bottom w:val="nil"/>
              <w:right w:val="nil"/>
            </w:tcBorders>
          </w:tcPr>
          <w:p w14:paraId="7359A151" w14:textId="77777777" w:rsidR="00DB23E9" w:rsidRDefault="00DB23E9" w:rsidP="00DB23E9">
            <w:pPr>
              <w:spacing w:line="259" w:lineRule="auto"/>
            </w:pPr>
            <w:r>
              <w:rPr>
                <w:rFonts w:ascii="Calibri" w:eastAsia="Calibri" w:hAnsi="Calibri" w:cs="Calibri"/>
                <w:sz w:val="17"/>
              </w:rPr>
              <w:t>−</w:t>
            </w:r>
            <w:r>
              <w:rPr>
                <w:sz w:val="17"/>
              </w:rPr>
              <w:t>0.01</w:t>
            </w:r>
          </w:p>
        </w:tc>
        <w:tc>
          <w:tcPr>
            <w:tcW w:w="702" w:type="dxa"/>
            <w:tcBorders>
              <w:top w:val="nil"/>
              <w:left w:val="nil"/>
              <w:bottom w:val="nil"/>
              <w:right w:val="nil"/>
            </w:tcBorders>
          </w:tcPr>
          <w:p w14:paraId="508E8F52" w14:textId="77777777" w:rsidR="00DB23E9" w:rsidRDefault="00DB23E9" w:rsidP="00DB23E9">
            <w:pPr>
              <w:spacing w:line="259" w:lineRule="auto"/>
              <w:ind w:left="130"/>
            </w:pPr>
            <w:r>
              <w:rPr>
                <w:sz w:val="17"/>
              </w:rPr>
              <w:t>0.11</w:t>
            </w:r>
          </w:p>
        </w:tc>
        <w:tc>
          <w:tcPr>
            <w:tcW w:w="702" w:type="dxa"/>
            <w:tcBorders>
              <w:top w:val="nil"/>
              <w:left w:val="nil"/>
              <w:bottom w:val="nil"/>
              <w:right w:val="nil"/>
            </w:tcBorders>
          </w:tcPr>
          <w:p w14:paraId="081D100A" w14:textId="77777777" w:rsidR="00DB23E9" w:rsidRDefault="00DB23E9" w:rsidP="00DB23E9">
            <w:pPr>
              <w:spacing w:line="259" w:lineRule="auto"/>
            </w:pPr>
            <w:r>
              <w:rPr>
                <w:rFonts w:ascii="Calibri" w:eastAsia="Calibri" w:hAnsi="Calibri" w:cs="Calibri"/>
                <w:sz w:val="17"/>
              </w:rPr>
              <w:t>−</w:t>
            </w:r>
            <w:r>
              <w:rPr>
                <w:sz w:val="17"/>
              </w:rPr>
              <w:t>0.10</w:t>
            </w:r>
          </w:p>
        </w:tc>
        <w:tc>
          <w:tcPr>
            <w:tcW w:w="703" w:type="dxa"/>
            <w:tcBorders>
              <w:top w:val="nil"/>
              <w:left w:val="nil"/>
              <w:bottom w:val="nil"/>
              <w:right w:val="nil"/>
            </w:tcBorders>
          </w:tcPr>
          <w:p w14:paraId="5DFCFB8A" w14:textId="77777777" w:rsidR="00DB23E9" w:rsidRDefault="00DB23E9" w:rsidP="00DB23E9">
            <w:pPr>
              <w:spacing w:line="259" w:lineRule="auto"/>
              <w:ind w:left="130"/>
            </w:pPr>
            <w:r>
              <w:rPr>
                <w:sz w:val="17"/>
              </w:rPr>
              <w:t>0.24</w:t>
            </w:r>
            <w:r>
              <w:rPr>
                <w:sz w:val="17"/>
                <w:vertAlign w:val="superscript"/>
              </w:rPr>
              <w:t>c</w:t>
            </w:r>
          </w:p>
        </w:tc>
        <w:tc>
          <w:tcPr>
            <w:tcW w:w="627" w:type="dxa"/>
            <w:tcBorders>
              <w:top w:val="nil"/>
              <w:left w:val="nil"/>
              <w:bottom w:val="nil"/>
              <w:right w:val="nil"/>
            </w:tcBorders>
          </w:tcPr>
          <w:p w14:paraId="4D4AC7E8" w14:textId="77777777" w:rsidR="00DB23E9" w:rsidRDefault="00DB23E9" w:rsidP="00DB23E9">
            <w:pPr>
              <w:spacing w:line="259" w:lineRule="auto"/>
              <w:ind w:left="54"/>
            </w:pPr>
            <w:r>
              <w:rPr>
                <w:sz w:val="17"/>
              </w:rPr>
              <w:t>0.17</w:t>
            </w:r>
            <w:r>
              <w:rPr>
                <w:sz w:val="17"/>
                <w:vertAlign w:val="superscript"/>
              </w:rPr>
              <w:t>b</w:t>
            </w:r>
          </w:p>
        </w:tc>
        <w:tc>
          <w:tcPr>
            <w:tcW w:w="695" w:type="dxa"/>
            <w:tcBorders>
              <w:top w:val="nil"/>
              <w:left w:val="nil"/>
              <w:bottom w:val="nil"/>
              <w:right w:val="nil"/>
            </w:tcBorders>
          </w:tcPr>
          <w:p w14:paraId="48E3E2E7" w14:textId="77777777" w:rsidR="00DB23E9" w:rsidRDefault="00DB23E9" w:rsidP="00DB23E9">
            <w:pPr>
              <w:spacing w:line="259" w:lineRule="auto"/>
              <w:ind w:left="130"/>
            </w:pPr>
            <w:r>
              <w:rPr>
                <w:sz w:val="17"/>
              </w:rPr>
              <w:t>0.06</w:t>
            </w:r>
          </w:p>
        </w:tc>
        <w:tc>
          <w:tcPr>
            <w:tcW w:w="573" w:type="dxa"/>
            <w:tcBorders>
              <w:top w:val="nil"/>
              <w:left w:val="nil"/>
              <w:bottom w:val="nil"/>
              <w:right w:val="nil"/>
            </w:tcBorders>
          </w:tcPr>
          <w:p w14:paraId="698486AA" w14:textId="77777777" w:rsidR="00DB23E9" w:rsidRDefault="00DB23E9" w:rsidP="00DB23E9">
            <w:pPr>
              <w:spacing w:line="259" w:lineRule="auto"/>
            </w:pPr>
            <w:r>
              <w:rPr>
                <w:sz w:val="17"/>
              </w:rPr>
              <w:t>0.60</w:t>
            </w:r>
            <w:r>
              <w:rPr>
                <w:sz w:val="17"/>
                <w:vertAlign w:val="superscript"/>
              </w:rPr>
              <w:t>d</w:t>
            </w:r>
          </w:p>
        </w:tc>
        <w:tc>
          <w:tcPr>
            <w:tcW w:w="571" w:type="dxa"/>
            <w:tcBorders>
              <w:top w:val="nil"/>
              <w:left w:val="nil"/>
              <w:bottom w:val="nil"/>
              <w:right w:val="nil"/>
            </w:tcBorders>
          </w:tcPr>
          <w:p w14:paraId="1C2F244B" w14:textId="77777777" w:rsidR="00DB23E9" w:rsidRDefault="00DB23E9" w:rsidP="00DB23E9">
            <w:pPr>
              <w:spacing w:line="259" w:lineRule="auto"/>
            </w:pPr>
            <w:r>
              <w:rPr>
                <w:sz w:val="17"/>
              </w:rPr>
              <w:t>0.54</w:t>
            </w:r>
            <w:r>
              <w:rPr>
                <w:sz w:val="17"/>
                <w:vertAlign w:val="superscript"/>
              </w:rPr>
              <w:t>d</w:t>
            </w:r>
          </w:p>
        </w:tc>
        <w:tc>
          <w:tcPr>
            <w:tcW w:w="703" w:type="dxa"/>
            <w:tcBorders>
              <w:top w:val="nil"/>
              <w:left w:val="nil"/>
              <w:bottom w:val="nil"/>
              <w:right w:val="nil"/>
            </w:tcBorders>
          </w:tcPr>
          <w:p w14:paraId="57900060" w14:textId="77777777" w:rsidR="00DB23E9" w:rsidRDefault="00DB23E9" w:rsidP="00DB23E9">
            <w:pPr>
              <w:spacing w:line="259" w:lineRule="auto"/>
              <w:ind w:left="130"/>
            </w:pPr>
            <w:r>
              <w:rPr>
                <w:sz w:val="17"/>
              </w:rPr>
              <w:t>1.00</w:t>
            </w:r>
          </w:p>
        </w:tc>
        <w:tc>
          <w:tcPr>
            <w:tcW w:w="703" w:type="dxa"/>
            <w:tcBorders>
              <w:top w:val="nil"/>
              <w:left w:val="nil"/>
              <w:bottom w:val="nil"/>
              <w:right w:val="nil"/>
            </w:tcBorders>
          </w:tcPr>
          <w:p w14:paraId="4A6B4661" w14:textId="77777777" w:rsidR="00DB23E9" w:rsidRDefault="00DB23E9" w:rsidP="00DB23E9">
            <w:pPr>
              <w:spacing w:after="160" w:line="259" w:lineRule="auto"/>
            </w:pPr>
          </w:p>
        </w:tc>
        <w:tc>
          <w:tcPr>
            <w:tcW w:w="513" w:type="dxa"/>
            <w:tcBorders>
              <w:top w:val="nil"/>
              <w:left w:val="nil"/>
              <w:bottom w:val="nil"/>
              <w:right w:val="nil"/>
            </w:tcBorders>
          </w:tcPr>
          <w:p w14:paraId="1077D979" w14:textId="77777777" w:rsidR="00DB23E9" w:rsidRDefault="00DB23E9" w:rsidP="00DB23E9">
            <w:pPr>
              <w:spacing w:after="160" w:line="259" w:lineRule="auto"/>
            </w:pPr>
          </w:p>
        </w:tc>
        <w:tc>
          <w:tcPr>
            <w:tcW w:w="303" w:type="dxa"/>
            <w:tcBorders>
              <w:top w:val="nil"/>
              <w:left w:val="nil"/>
              <w:bottom w:val="nil"/>
              <w:right w:val="nil"/>
            </w:tcBorders>
          </w:tcPr>
          <w:p w14:paraId="60DEAF74" w14:textId="77777777" w:rsidR="00DB23E9" w:rsidRDefault="00DB23E9" w:rsidP="00DB23E9">
            <w:pPr>
              <w:spacing w:after="160" w:line="259" w:lineRule="auto"/>
            </w:pPr>
          </w:p>
        </w:tc>
      </w:tr>
      <w:tr w:rsidR="00DB23E9" w14:paraId="66B3DCDF" w14:textId="77777777" w:rsidTr="0038445D">
        <w:trPr>
          <w:trHeight w:val="259"/>
        </w:trPr>
        <w:tc>
          <w:tcPr>
            <w:tcW w:w="1674" w:type="dxa"/>
            <w:tcBorders>
              <w:top w:val="nil"/>
              <w:left w:val="nil"/>
              <w:bottom w:val="nil"/>
              <w:right w:val="nil"/>
            </w:tcBorders>
          </w:tcPr>
          <w:p w14:paraId="78BB07B3" w14:textId="77777777" w:rsidR="00DB23E9" w:rsidRDefault="00DB23E9" w:rsidP="00DB23E9">
            <w:pPr>
              <w:spacing w:line="259" w:lineRule="auto"/>
            </w:pPr>
            <w:r>
              <w:rPr>
                <w:sz w:val="17"/>
              </w:rPr>
              <w:t>11. Self-development</w:t>
            </w:r>
          </w:p>
        </w:tc>
        <w:tc>
          <w:tcPr>
            <w:tcW w:w="702" w:type="dxa"/>
            <w:tcBorders>
              <w:top w:val="nil"/>
              <w:left w:val="nil"/>
              <w:bottom w:val="nil"/>
              <w:right w:val="nil"/>
            </w:tcBorders>
          </w:tcPr>
          <w:p w14:paraId="3A23455B" w14:textId="77777777" w:rsidR="00DB23E9" w:rsidRDefault="00DB23E9" w:rsidP="00DB23E9">
            <w:pPr>
              <w:spacing w:line="259" w:lineRule="auto"/>
              <w:ind w:left="130"/>
            </w:pPr>
            <w:r>
              <w:rPr>
                <w:sz w:val="17"/>
              </w:rPr>
              <w:t>0.19</w:t>
            </w:r>
            <w:r>
              <w:rPr>
                <w:sz w:val="17"/>
                <w:vertAlign w:val="superscript"/>
              </w:rPr>
              <w:t>b</w:t>
            </w:r>
          </w:p>
        </w:tc>
        <w:tc>
          <w:tcPr>
            <w:tcW w:w="694" w:type="dxa"/>
            <w:tcBorders>
              <w:top w:val="nil"/>
              <w:left w:val="nil"/>
              <w:bottom w:val="nil"/>
              <w:right w:val="nil"/>
            </w:tcBorders>
          </w:tcPr>
          <w:p w14:paraId="76287A1D" w14:textId="77777777" w:rsidR="00DB23E9" w:rsidRDefault="00DB23E9" w:rsidP="00DB23E9">
            <w:pPr>
              <w:spacing w:line="259" w:lineRule="auto"/>
              <w:ind w:left="130"/>
            </w:pPr>
            <w:r>
              <w:rPr>
                <w:sz w:val="17"/>
              </w:rPr>
              <w:t>0.08</w:t>
            </w:r>
          </w:p>
        </w:tc>
        <w:tc>
          <w:tcPr>
            <w:tcW w:w="702" w:type="dxa"/>
            <w:tcBorders>
              <w:top w:val="nil"/>
              <w:left w:val="nil"/>
              <w:bottom w:val="nil"/>
              <w:right w:val="nil"/>
            </w:tcBorders>
          </w:tcPr>
          <w:p w14:paraId="09E1A45F" w14:textId="77777777" w:rsidR="00DB23E9" w:rsidRDefault="00DB23E9" w:rsidP="00DB23E9">
            <w:pPr>
              <w:spacing w:line="259" w:lineRule="auto"/>
              <w:ind w:left="130"/>
            </w:pPr>
            <w:r>
              <w:rPr>
                <w:sz w:val="17"/>
              </w:rPr>
              <w:t>0.15</w:t>
            </w:r>
            <w:r>
              <w:rPr>
                <w:sz w:val="17"/>
                <w:vertAlign w:val="superscript"/>
              </w:rPr>
              <w:t>b</w:t>
            </w:r>
          </w:p>
        </w:tc>
        <w:tc>
          <w:tcPr>
            <w:tcW w:w="702" w:type="dxa"/>
            <w:tcBorders>
              <w:top w:val="nil"/>
              <w:left w:val="nil"/>
              <w:bottom w:val="nil"/>
              <w:right w:val="nil"/>
            </w:tcBorders>
          </w:tcPr>
          <w:p w14:paraId="306B917A" w14:textId="77777777" w:rsidR="00DB23E9" w:rsidRDefault="00DB23E9" w:rsidP="00DB23E9">
            <w:pPr>
              <w:spacing w:line="259" w:lineRule="auto"/>
            </w:pPr>
            <w:r>
              <w:rPr>
                <w:rFonts w:ascii="Calibri" w:eastAsia="Calibri" w:hAnsi="Calibri" w:cs="Calibri"/>
                <w:sz w:val="17"/>
              </w:rPr>
              <w:t>−</w:t>
            </w:r>
            <w:r>
              <w:rPr>
                <w:sz w:val="17"/>
              </w:rPr>
              <w:t>0.15</w:t>
            </w:r>
            <w:r>
              <w:rPr>
                <w:sz w:val="17"/>
                <w:vertAlign w:val="superscript"/>
              </w:rPr>
              <w:t>b</w:t>
            </w:r>
          </w:p>
        </w:tc>
        <w:tc>
          <w:tcPr>
            <w:tcW w:w="703" w:type="dxa"/>
            <w:tcBorders>
              <w:top w:val="nil"/>
              <w:left w:val="nil"/>
              <w:bottom w:val="nil"/>
              <w:right w:val="nil"/>
            </w:tcBorders>
          </w:tcPr>
          <w:p w14:paraId="29B8BB4E" w14:textId="77777777" w:rsidR="00DB23E9" w:rsidRDefault="00DB23E9" w:rsidP="00DB23E9">
            <w:pPr>
              <w:spacing w:line="259" w:lineRule="auto"/>
              <w:ind w:left="130"/>
            </w:pPr>
            <w:r>
              <w:rPr>
                <w:sz w:val="17"/>
              </w:rPr>
              <w:t>0.13</w:t>
            </w:r>
          </w:p>
        </w:tc>
        <w:tc>
          <w:tcPr>
            <w:tcW w:w="627" w:type="dxa"/>
            <w:tcBorders>
              <w:top w:val="nil"/>
              <w:left w:val="nil"/>
              <w:bottom w:val="nil"/>
              <w:right w:val="nil"/>
            </w:tcBorders>
          </w:tcPr>
          <w:p w14:paraId="2EF66BD7" w14:textId="77777777" w:rsidR="00DB23E9" w:rsidRDefault="00DB23E9" w:rsidP="00DB23E9">
            <w:pPr>
              <w:spacing w:line="259" w:lineRule="auto"/>
              <w:ind w:left="54"/>
            </w:pPr>
            <w:r>
              <w:rPr>
                <w:sz w:val="17"/>
              </w:rPr>
              <w:t>0.14</w:t>
            </w:r>
            <w:r>
              <w:rPr>
                <w:sz w:val="17"/>
                <w:vertAlign w:val="superscript"/>
              </w:rPr>
              <w:t>a</w:t>
            </w:r>
          </w:p>
        </w:tc>
        <w:tc>
          <w:tcPr>
            <w:tcW w:w="695" w:type="dxa"/>
            <w:tcBorders>
              <w:top w:val="nil"/>
              <w:left w:val="nil"/>
              <w:bottom w:val="nil"/>
              <w:right w:val="nil"/>
            </w:tcBorders>
          </w:tcPr>
          <w:p w14:paraId="3E93DC0A" w14:textId="77777777" w:rsidR="00DB23E9" w:rsidRDefault="00DB23E9" w:rsidP="00DB23E9">
            <w:pPr>
              <w:spacing w:line="259" w:lineRule="auto"/>
              <w:ind w:left="130"/>
            </w:pPr>
            <w:r>
              <w:rPr>
                <w:sz w:val="17"/>
              </w:rPr>
              <w:t>0.10</w:t>
            </w:r>
          </w:p>
        </w:tc>
        <w:tc>
          <w:tcPr>
            <w:tcW w:w="573" w:type="dxa"/>
            <w:tcBorders>
              <w:top w:val="nil"/>
              <w:left w:val="nil"/>
              <w:bottom w:val="nil"/>
              <w:right w:val="nil"/>
            </w:tcBorders>
          </w:tcPr>
          <w:p w14:paraId="496D49AB" w14:textId="77777777" w:rsidR="00DB23E9" w:rsidRDefault="00DB23E9" w:rsidP="00DB23E9">
            <w:pPr>
              <w:spacing w:line="259" w:lineRule="auto"/>
            </w:pPr>
            <w:r>
              <w:rPr>
                <w:sz w:val="17"/>
              </w:rPr>
              <w:t>0.26</w:t>
            </w:r>
            <w:r>
              <w:rPr>
                <w:sz w:val="17"/>
                <w:vertAlign w:val="superscript"/>
              </w:rPr>
              <w:t>c</w:t>
            </w:r>
          </w:p>
        </w:tc>
        <w:tc>
          <w:tcPr>
            <w:tcW w:w="571" w:type="dxa"/>
            <w:tcBorders>
              <w:top w:val="nil"/>
              <w:left w:val="nil"/>
              <w:bottom w:val="nil"/>
              <w:right w:val="nil"/>
            </w:tcBorders>
          </w:tcPr>
          <w:p w14:paraId="00AFFD64" w14:textId="77777777" w:rsidR="00DB23E9" w:rsidRDefault="00DB23E9" w:rsidP="00DB23E9">
            <w:pPr>
              <w:spacing w:line="259" w:lineRule="auto"/>
            </w:pPr>
            <w:r>
              <w:rPr>
                <w:sz w:val="17"/>
              </w:rPr>
              <w:t>0.18</w:t>
            </w:r>
            <w:r>
              <w:rPr>
                <w:sz w:val="17"/>
                <w:vertAlign w:val="superscript"/>
              </w:rPr>
              <w:t>b</w:t>
            </w:r>
          </w:p>
        </w:tc>
        <w:tc>
          <w:tcPr>
            <w:tcW w:w="703" w:type="dxa"/>
            <w:tcBorders>
              <w:top w:val="nil"/>
              <w:left w:val="nil"/>
              <w:bottom w:val="nil"/>
              <w:right w:val="nil"/>
            </w:tcBorders>
          </w:tcPr>
          <w:p w14:paraId="7A9897C0" w14:textId="77777777" w:rsidR="00DB23E9" w:rsidRDefault="00DB23E9" w:rsidP="00DB23E9">
            <w:pPr>
              <w:spacing w:line="259" w:lineRule="auto"/>
              <w:ind w:left="130"/>
            </w:pPr>
            <w:r>
              <w:rPr>
                <w:sz w:val="17"/>
              </w:rPr>
              <w:t>0.46</w:t>
            </w:r>
            <w:r>
              <w:rPr>
                <w:sz w:val="17"/>
                <w:vertAlign w:val="superscript"/>
              </w:rPr>
              <w:t>d</w:t>
            </w:r>
          </w:p>
        </w:tc>
        <w:tc>
          <w:tcPr>
            <w:tcW w:w="703" w:type="dxa"/>
            <w:tcBorders>
              <w:top w:val="nil"/>
              <w:left w:val="nil"/>
              <w:bottom w:val="nil"/>
              <w:right w:val="nil"/>
            </w:tcBorders>
          </w:tcPr>
          <w:p w14:paraId="4B02AA52" w14:textId="77777777" w:rsidR="00DB23E9" w:rsidRDefault="00DB23E9" w:rsidP="00DB23E9">
            <w:pPr>
              <w:spacing w:line="259" w:lineRule="auto"/>
              <w:ind w:left="130"/>
            </w:pPr>
            <w:r>
              <w:rPr>
                <w:sz w:val="17"/>
              </w:rPr>
              <w:t>1.00</w:t>
            </w:r>
          </w:p>
        </w:tc>
        <w:tc>
          <w:tcPr>
            <w:tcW w:w="513" w:type="dxa"/>
            <w:tcBorders>
              <w:top w:val="nil"/>
              <w:left w:val="nil"/>
              <w:bottom w:val="nil"/>
              <w:right w:val="nil"/>
            </w:tcBorders>
          </w:tcPr>
          <w:p w14:paraId="404CDDB0" w14:textId="77777777" w:rsidR="00DB23E9" w:rsidRDefault="00DB23E9" w:rsidP="00DB23E9">
            <w:pPr>
              <w:spacing w:after="160" w:line="259" w:lineRule="auto"/>
            </w:pPr>
          </w:p>
        </w:tc>
        <w:tc>
          <w:tcPr>
            <w:tcW w:w="303" w:type="dxa"/>
            <w:tcBorders>
              <w:top w:val="nil"/>
              <w:left w:val="nil"/>
              <w:bottom w:val="nil"/>
              <w:right w:val="nil"/>
            </w:tcBorders>
          </w:tcPr>
          <w:p w14:paraId="5FE170DE" w14:textId="77777777" w:rsidR="00DB23E9" w:rsidRDefault="00DB23E9" w:rsidP="00DB23E9">
            <w:pPr>
              <w:spacing w:after="160" w:line="259" w:lineRule="auto"/>
            </w:pPr>
          </w:p>
        </w:tc>
      </w:tr>
      <w:tr w:rsidR="00DB23E9" w14:paraId="467BFB4F" w14:textId="77777777" w:rsidTr="0038445D">
        <w:trPr>
          <w:trHeight w:val="259"/>
        </w:trPr>
        <w:tc>
          <w:tcPr>
            <w:tcW w:w="1674" w:type="dxa"/>
            <w:tcBorders>
              <w:top w:val="nil"/>
              <w:left w:val="nil"/>
              <w:bottom w:val="nil"/>
              <w:right w:val="nil"/>
            </w:tcBorders>
          </w:tcPr>
          <w:p w14:paraId="1D2D4A41" w14:textId="77777777" w:rsidR="00DB23E9" w:rsidRDefault="00DB23E9" w:rsidP="00DB23E9">
            <w:pPr>
              <w:spacing w:line="259" w:lineRule="auto"/>
            </w:pPr>
            <w:r>
              <w:rPr>
                <w:sz w:val="17"/>
              </w:rPr>
              <w:t>12. Negative</w:t>
            </w:r>
          </w:p>
        </w:tc>
        <w:tc>
          <w:tcPr>
            <w:tcW w:w="702" w:type="dxa"/>
            <w:tcBorders>
              <w:top w:val="nil"/>
              <w:left w:val="nil"/>
              <w:bottom w:val="nil"/>
              <w:right w:val="nil"/>
            </w:tcBorders>
          </w:tcPr>
          <w:p w14:paraId="6D866106" w14:textId="77777777" w:rsidR="00DB23E9" w:rsidRDefault="00DB23E9" w:rsidP="00DB23E9">
            <w:pPr>
              <w:spacing w:line="259" w:lineRule="auto"/>
            </w:pPr>
            <w:r>
              <w:rPr>
                <w:rFonts w:ascii="Calibri" w:eastAsia="Calibri" w:hAnsi="Calibri" w:cs="Calibri"/>
                <w:sz w:val="17"/>
              </w:rPr>
              <w:t>−</w:t>
            </w:r>
            <w:r>
              <w:rPr>
                <w:sz w:val="17"/>
              </w:rPr>
              <w:t>0.24</w:t>
            </w:r>
            <w:r>
              <w:rPr>
                <w:sz w:val="17"/>
                <w:vertAlign w:val="superscript"/>
              </w:rPr>
              <w:t>c</w:t>
            </w:r>
          </w:p>
        </w:tc>
        <w:tc>
          <w:tcPr>
            <w:tcW w:w="694" w:type="dxa"/>
            <w:tcBorders>
              <w:top w:val="nil"/>
              <w:left w:val="nil"/>
              <w:bottom w:val="nil"/>
              <w:right w:val="nil"/>
            </w:tcBorders>
          </w:tcPr>
          <w:p w14:paraId="574512F9" w14:textId="77777777" w:rsidR="00DB23E9" w:rsidRDefault="00DB23E9" w:rsidP="00DB23E9">
            <w:pPr>
              <w:spacing w:line="259" w:lineRule="auto"/>
            </w:pPr>
            <w:r>
              <w:rPr>
                <w:rFonts w:ascii="Calibri" w:eastAsia="Calibri" w:hAnsi="Calibri" w:cs="Calibri"/>
                <w:sz w:val="17"/>
              </w:rPr>
              <w:t>−</w:t>
            </w:r>
            <w:r>
              <w:rPr>
                <w:sz w:val="17"/>
              </w:rPr>
              <w:t>0.08</w:t>
            </w:r>
          </w:p>
        </w:tc>
        <w:tc>
          <w:tcPr>
            <w:tcW w:w="702" w:type="dxa"/>
            <w:tcBorders>
              <w:top w:val="nil"/>
              <w:left w:val="nil"/>
              <w:bottom w:val="nil"/>
              <w:right w:val="nil"/>
            </w:tcBorders>
          </w:tcPr>
          <w:p w14:paraId="0FF5B499" w14:textId="77777777" w:rsidR="00DB23E9" w:rsidRDefault="00DB23E9" w:rsidP="00DB23E9">
            <w:pPr>
              <w:spacing w:line="259" w:lineRule="auto"/>
              <w:ind w:left="130"/>
            </w:pPr>
            <w:r>
              <w:rPr>
                <w:sz w:val="17"/>
              </w:rPr>
              <w:t>0.02</w:t>
            </w:r>
          </w:p>
        </w:tc>
        <w:tc>
          <w:tcPr>
            <w:tcW w:w="702" w:type="dxa"/>
            <w:tcBorders>
              <w:top w:val="nil"/>
              <w:left w:val="nil"/>
              <w:bottom w:val="nil"/>
              <w:right w:val="nil"/>
            </w:tcBorders>
          </w:tcPr>
          <w:p w14:paraId="601E18C3" w14:textId="77777777" w:rsidR="00DB23E9" w:rsidRDefault="00DB23E9" w:rsidP="00DB23E9">
            <w:pPr>
              <w:spacing w:line="259" w:lineRule="auto"/>
              <w:ind w:left="130"/>
            </w:pPr>
            <w:r>
              <w:rPr>
                <w:sz w:val="17"/>
              </w:rPr>
              <w:t>0.09</w:t>
            </w:r>
          </w:p>
        </w:tc>
        <w:tc>
          <w:tcPr>
            <w:tcW w:w="703" w:type="dxa"/>
            <w:tcBorders>
              <w:top w:val="nil"/>
              <w:left w:val="nil"/>
              <w:bottom w:val="nil"/>
              <w:right w:val="nil"/>
            </w:tcBorders>
          </w:tcPr>
          <w:p w14:paraId="7DA8E01B" w14:textId="77777777" w:rsidR="00DB23E9" w:rsidRDefault="00DB23E9" w:rsidP="00DB23E9">
            <w:pPr>
              <w:spacing w:line="259" w:lineRule="auto"/>
            </w:pPr>
            <w:r>
              <w:rPr>
                <w:rFonts w:ascii="Calibri" w:eastAsia="Calibri" w:hAnsi="Calibri" w:cs="Calibri"/>
                <w:sz w:val="17"/>
              </w:rPr>
              <w:t>−</w:t>
            </w:r>
            <w:r>
              <w:rPr>
                <w:sz w:val="17"/>
              </w:rPr>
              <w:t>0.02</w:t>
            </w:r>
          </w:p>
        </w:tc>
        <w:tc>
          <w:tcPr>
            <w:tcW w:w="627" w:type="dxa"/>
            <w:tcBorders>
              <w:top w:val="nil"/>
              <w:left w:val="nil"/>
              <w:bottom w:val="nil"/>
              <w:right w:val="nil"/>
            </w:tcBorders>
          </w:tcPr>
          <w:p w14:paraId="52AA61E5" w14:textId="77777777" w:rsidR="00DB23E9" w:rsidRDefault="00DB23E9" w:rsidP="00DB23E9">
            <w:pPr>
              <w:spacing w:line="259" w:lineRule="auto"/>
            </w:pPr>
            <w:r>
              <w:rPr>
                <w:sz w:val="17"/>
              </w:rPr>
              <w:t>-0.33</w:t>
            </w:r>
            <w:r>
              <w:rPr>
                <w:sz w:val="17"/>
                <w:vertAlign w:val="superscript"/>
              </w:rPr>
              <w:t>c</w:t>
            </w:r>
          </w:p>
        </w:tc>
        <w:tc>
          <w:tcPr>
            <w:tcW w:w="695" w:type="dxa"/>
            <w:tcBorders>
              <w:top w:val="nil"/>
              <w:left w:val="nil"/>
              <w:bottom w:val="nil"/>
              <w:right w:val="nil"/>
            </w:tcBorders>
          </w:tcPr>
          <w:p w14:paraId="6D7A7238" w14:textId="77777777" w:rsidR="00DB23E9" w:rsidRDefault="00DB23E9" w:rsidP="00DB23E9">
            <w:pPr>
              <w:spacing w:line="259" w:lineRule="auto"/>
            </w:pPr>
            <w:r>
              <w:rPr>
                <w:rFonts w:ascii="Calibri" w:eastAsia="Calibri" w:hAnsi="Calibri" w:cs="Calibri"/>
                <w:sz w:val="17"/>
              </w:rPr>
              <w:t>−</w:t>
            </w:r>
            <w:r>
              <w:rPr>
                <w:sz w:val="17"/>
              </w:rPr>
              <w:t>0.06</w:t>
            </w:r>
          </w:p>
        </w:tc>
        <w:tc>
          <w:tcPr>
            <w:tcW w:w="573" w:type="dxa"/>
            <w:tcBorders>
              <w:top w:val="nil"/>
              <w:left w:val="nil"/>
              <w:bottom w:val="nil"/>
              <w:right w:val="nil"/>
            </w:tcBorders>
          </w:tcPr>
          <w:p w14:paraId="0D7CBAFE" w14:textId="77777777" w:rsidR="00DB23E9" w:rsidRDefault="00DB23E9" w:rsidP="00DB23E9">
            <w:pPr>
              <w:spacing w:line="259" w:lineRule="auto"/>
            </w:pPr>
            <w:r>
              <w:rPr>
                <w:sz w:val="17"/>
              </w:rPr>
              <w:t>0.11</w:t>
            </w:r>
          </w:p>
        </w:tc>
        <w:tc>
          <w:tcPr>
            <w:tcW w:w="571" w:type="dxa"/>
            <w:tcBorders>
              <w:top w:val="nil"/>
              <w:left w:val="nil"/>
              <w:bottom w:val="nil"/>
              <w:right w:val="nil"/>
            </w:tcBorders>
          </w:tcPr>
          <w:p w14:paraId="051E6470" w14:textId="77777777" w:rsidR="00DB23E9" w:rsidRDefault="00DB23E9" w:rsidP="00DB23E9">
            <w:pPr>
              <w:spacing w:line="259" w:lineRule="auto"/>
            </w:pPr>
            <w:r>
              <w:rPr>
                <w:sz w:val="17"/>
              </w:rPr>
              <w:t>0.15</w:t>
            </w:r>
            <w:r>
              <w:rPr>
                <w:sz w:val="17"/>
                <w:vertAlign w:val="superscript"/>
              </w:rPr>
              <w:t>b</w:t>
            </w:r>
          </w:p>
        </w:tc>
        <w:tc>
          <w:tcPr>
            <w:tcW w:w="703" w:type="dxa"/>
            <w:tcBorders>
              <w:top w:val="nil"/>
              <w:left w:val="nil"/>
              <w:bottom w:val="nil"/>
              <w:right w:val="nil"/>
            </w:tcBorders>
          </w:tcPr>
          <w:p w14:paraId="79FFDF12" w14:textId="77777777" w:rsidR="00DB23E9" w:rsidRDefault="00DB23E9" w:rsidP="00DB23E9">
            <w:pPr>
              <w:spacing w:line="259" w:lineRule="auto"/>
            </w:pPr>
            <w:r>
              <w:rPr>
                <w:rFonts w:ascii="Calibri" w:eastAsia="Calibri" w:hAnsi="Calibri" w:cs="Calibri"/>
                <w:sz w:val="17"/>
              </w:rPr>
              <w:t>−</w:t>
            </w:r>
            <w:r>
              <w:rPr>
                <w:sz w:val="17"/>
              </w:rPr>
              <w:t>0.13</w:t>
            </w:r>
            <w:r>
              <w:rPr>
                <w:sz w:val="17"/>
                <w:vertAlign w:val="superscript"/>
              </w:rPr>
              <w:t>a</w:t>
            </w:r>
          </w:p>
        </w:tc>
        <w:tc>
          <w:tcPr>
            <w:tcW w:w="703" w:type="dxa"/>
            <w:tcBorders>
              <w:top w:val="nil"/>
              <w:left w:val="nil"/>
              <w:bottom w:val="nil"/>
              <w:right w:val="nil"/>
            </w:tcBorders>
          </w:tcPr>
          <w:p w14:paraId="681DB331" w14:textId="77777777" w:rsidR="00DB23E9" w:rsidRDefault="00DB23E9" w:rsidP="00DB23E9">
            <w:pPr>
              <w:spacing w:line="259" w:lineRule="auto"/>
            </w:pPr>
            <w:r>
              <w:rPr>
                <w:rFonts w:ascii="Calibri" w:eastAsia="Calibri" w:hAnsi="Calibri" w:cs="Calibri"/>
                <w:sz w:val="17"/>
              </w:rPr>
              <w:t>−</w:t>
            </w:r>
            <w:r>
              <w:rPr>
                <w:sz w:val="17"/>
              </w:rPr>
              <w:t>0.31</w:t>
            </w:r>
            <w:r>
              <w:rPr>
                <w:sz w:val="17"/>
                <w:vertAlign w:val="superscript"/>
              </w:rPr>
              <w:t>c</w:t>
            </w:r>
          </w:p>
        </w:tc>
        <w:tc>
          <w:tcPr>
            <w:tcW w:w="513" w:type="dxa"/>
            <w:tcBorders>
              <w:top w:val="nil"/>
              <w:left w:val="nil"/>
              <w:bottom w:val="nil"/>
              <w:right w:val="nil"/>
            </w:tcBorders>
          </w:tcPr>
          <w:p w14:paraId="5670502B" w14:textId="77777777" w:rsidR="00DB23E9" w:rsidRDefault="00DB23E9" w:rsidP="00DB23E9">
            <w:pPr>
              <w:spacing w:line="259" w:lineRule="auto"/>
            </w:pPr>
            <w:r>
              <w:rPr>
                <w:sz w:val="17"/>
              </w:rPr>
              <w:t>1.00</w:t>
            </w:r>
          </w:p>
        </w:tc>
        <w:tc>
          <w:tcPr>
            <w:tcW w:w="303" w:type="dxa"/>
            <w:tcBorders>
              <w:top w:val="nil"/>
              <w:left w:val="nil"/>
              <w:bottom w:val="nil"/>
              <w:right w:val="nil"/>
            </w:tcBorders>
          </w:tcPr>
          <w:p w14:paraId="2DC054A5" w14:textId="77777777" w:rsidR="00DB23E9" w:rsidRDefault="00DB23E9" w:rsidP="00DB23E9">
            <w:pPr>
              <w:spacing w:after="160" w:line="259" w:lineRule="auto"/>
            </w:pPr>
          </w:p>
        </w:tc>
      </w:tr>
      <w:tr w:rsidR="00DB23E9" w14:paraId="32AA693F" w14:textId="77777777" w:rsidTr="0038445D">
        <w:trPr>
          <w:trHeight w:val="279"/>
        </w:trPr>
        <w:tc>
          <w:tcPr>
            <w:tcW w:w="1674" w:type="dxa"/>
            <w:tcBorders>
              <w:top w:val="nil"/>
              <w:left w:val="nil"/>
              <w:bottom w:val="nil"/>
              <w:right w:val="nil"/>
            </w:tcBorders>
          </w:tcPr>
          <w:p w14:paraId="1D64D679" w14:textId="77777777" w:rsidR="00DB23E9" w:rsidRDefault="00DB23E9" w:rsidP="00DB23E9">
            <w:pPr>
              <w:spacing w:line="259" w:lineRule="auto"/>
            </w:pPr>
            <w:r>
              <w:rPr>
                <w:sz w:val="17"/>
              </w:rPr>
              <w:t>13. Behavioral</w:t>
            </w:r>
          </w:p>
        </w:tc>
        <w:tc>
          <w:tcPr>
            <w:tcW w:w="702" w:type="dxa"/>
            <w:tcBorders>
              <w:top w:val="nil"/>
              <w:left w:val="nil"/>
              <w:bottom w:val="nil"/>
              <w:right w:val="nil"/>
            </w:tcBorders>
          </w:tcPr>
          <w:p w14:paraId="4084B274" w14:textId="77777777" w:rsidR="00DB23E9" w:rsidRDefault="00DB23E9" w:rsidP="00DB23E9">
            <w:pPr>
              <w:spacing w:line="259" w:lineRule="auto"/>
              <w:ind w:left="130"/>
            </w:pPr>
            <w:r>
              <w:rPr>
                <w:sz w:val="17"/>
              </w:rPr>
              <w:t>0.15</w:t>
            </w:r>
            <w:r>
              <w:rPr>
                <w:sz w:val="17"/>
                <w:vertAlign w:val="superscript"/>
              </w:rPr>
              <w:t>b</w:t>
            </w:r>
          </w:p>
        </w:tc>
        <w:tc>
          <w:tcPr>
            <w:tcW w:w="694" w:type="dxa"/>
            <w:tcBorders>
              <w:top w:val="nil"/>
              <w:left w:val="nil"/>
              <w:bottom w:val="nil"/>
              <w:right w:val="nil"/>
            </w:tcBorders>
          </w:tcPr>
          <w:p w14:paraId="3DBEE575" w14:textId="77777777" w:rsidR="00DB23E9" w:rsidRDefault="00DB23E9" w:rsidP="00DB23E9">
            <w:pPr>
              <w:spacing w:line="259" w:lineRule="auto"/>
            </w:pPr>
            <w:r>
              <w:rPr>
                <w:rFonts w:ascii="Calibri" w:eastAsia="Calibri" w:hAnsi="Calibri" w:cs="Calibri"/>
                <w:sz w:val="17"/>
              </w:rPr>
              <w:t>−</w:t>
            </w:r>
            <w:r>
              <w:rPr>
                <w:sz w:val="17"/>
              </w:rPr>
              <w:t>0.07</w:t>
            </w:r>
          </w:p>
        </w:tc>
        <w:tc>
          <w:tcPr>
            <w:tcW w:w="702" w:type="dxa"/>
            <w:tcBorders>
              <w:top w:val="nil"/>
              <w:left w:val="nil"/>
              <w:bottom w:val="nil"/>
              <w:right w:val="nil"/>
            </w:tcBorders>
          </w:tcPr>
          <w:p w14:paraId="5F7580C2" w14:textId="77777777" w:rsidR="00DB23E9" w:rsidRDefault="00DB23E9" w:rsidP="00DB23E9">
            <w:pPr>
              <w:spacing w:line="259" w:lineRule="auto"/>
              <w:ind w:left="130"/>
            </w:pPr>
            <w:r>
              <w:rPr>
                <w:sz w:val="17"/>
              </w:rPr>
              <w:t>0.14</w:t>
            </w:r>
            <w:r>
              <w:rPr>
                <w:sz w:val="17"/>
                <w:vertAlign w:val="superscript"/>
              </w:rPr>
              <w:t>a</w:t>
            </w:r>
          </w:p>
        </w:tc>
        <w:tc>
          <w:tcPr>
            <w:tcW w:w="702" w:type="dxa"/>
            <w:tcBorders>
              <w:top w:val="nil"/>
              <w:left w:val="nil"/>
              <w:bottom w:val="nil"/>
              <w:right w:val="nil"/>
            </w:tcBorders>
          </w:tcPr>
          <w:p w14:paraId="39D988B7" w14:textId="77777777" w:rsidR="00DB23E9" w:rsidRDefault="00DB23E9" w:rsidP="00DB23E9">
            <w:pPr>
              <w:spacing w:line="259" w:lineRule="auto"/>
            </w:pPr>
            <w:r>
              <w:rPr>
                <w:rFonts w:ascii="Calibri" w:eastAsia="Calibri" w:hAnsi="Calibri" w:cs="Calibri"/>
                <w:sz w:val="17"/>
              </w:rPr>
              <w:t>−</w:t>
            </w:r>
            <w:r>
              <w:rPr>
                <w:sz w:val="17"/>
              </w:rPr>
              <w:t>0.15</w:t>
            </w:r>
            <w:r>
              <w:rPr>
                <w:sz w:val="17"/>
                <w:vertAlign w:val="superscript"/>
              </w:rPr>
              <w:t>b</w:t>
            </w:r>
          </w:p>
        </w:tc>
        <w:tc>
          <w:tcPr>
            <w:tcW w:w="703" w:type="dxa"/>
            <w:tcBorders>
              <w:top w:val="nil"/>
              <w:left w:val="nil"/>
              <w:bottom w:val="nil"/>
              <w:right w:val="nil"/>
            </w:tcBorders>
          </w:tcPr>
          <w:p w14:paraId="695EA015" w14:textId="77777777" w:rsidR="00DB23E9" w:rsidRDefault="00DB23E9" w:rsidP="00DB23E9">
            <w:pPr>
              <w:spacing w:line="259" w:lineRule="auto"/>
              <w:ind w:left="130"/>
            </w:pPr>
            <w:r>
              <w:rPr>
                <w:sz w:val="17"/>
              </w:rPr>
              <w:t>0.33</w:t>
            </w:r>
            <w:r>
              <w:rPr>
                <w:sz w:val="17"/>
                <w:vertAlign w:val="superscript"/>
              </w:rPr>
              <w:t>c</w:t>
            </w:r>
          </w:p>
        </w:tc>
        <w:tc>
          <w:tcPr>
            <w:tcW w:w="627" w:type="dxa"/>
            <w:tcBorders>
              <w:top w:val="nil"/>
              <w:left w:val="nil"/>
              <w:bottom w:val="nil"/>
              <w:right w:val="nil"/>
            </w:tcBorders>
          </w:tcPr>
          <w:p w14:paraId="6E302A08" w14:textId="77777777" w:rsidR="00DB23E9" w:rsidRDefault="00DB23E9" w:rsidP="00DB23E9">
            <w:pPr>
              <w:spacing w:line="259" w:lineRule="auto"/>
              <w:ind w:left="54"/>
            </w:pPr>
            <w:r>
              <w:rPr>
                <w:sz w:val="17"/>
              </w:rPr>
              <w:t>0.14</w:t>
            </w:r>
            <w:r>
              <w:rPr>
                <w:sz w:val="17"/>
                <w:vertAlign w:val="superscript"/>
              </w:rPr>
              <w:t>a</w:t>
            </w:r>
          </w:p>
        </w:tc>
        <w:tc>
          <w:tcPr>
            <w:tcW w:w="695" w:type="dxa"/>
            <w:tcBorders>
              <w:top w:val="nil"/>
              <w:left w:val="nil"/>
              <w:bottom w:val="nil"/>
              <w:right w:val="nil"/>
            </w:tcBorders>
          </w:tcPr>
          <w:p w14:paraId="48C95E08" w14:textId="77777777" w:rsidR="00DB23E9" w:rsidRDefault="00DB23E9" w:rsidP="00DB23E9">
            <w:pPr>
              <w:spacing w:line="259" w:lineRule="auto"/>
              <w:ind w:left="130"/>
            </w:pPr>
            <w:r>
              <w:rPr>
                <w:sz w:val="17"/>
              </w:rPr>
              <w:t>0.06</w:t>
            </w:r>
          </w:p>
        </w:tc>
        <w:tc>
          <w:tcPr>
            <w:tcW w:w="573" w:type="dxa"/>
            <w:tcBorders>
              <w:top w:val="nil"/>
              <w:left w:val="nil"/>
              <w:bottom w:val="nil"/>
              <w:right w:val="nil"/>
            </w:tcBorders>
          </w:tcPr>
          <w:p w14:paraId="70292CC0" w14:textId="77777777" w:rsidR="00DB23E9" w:rsidRDefault="00DB23E9" w:rsidP="00DB23E9">
            <w:pPr>
              <w:spacing w:line="259" w:lineRule="auto"/>
            </w:pPr>
            <w:r>
              <w:rPr>
                <w:sz w:val="17"/>
              </w:rPr>
              <w:t>0.66</w:t>
            </w:r>
            <w:r>
              <w:rPr>
                <w:sz w:val="17"/>
                <w:vertAlign w:val="superscript"/>
              </w:rPr>
              <w:t>d</w:t>
            </w:r>
          </w:p>
        </w:tc>
        <w:tc>
          <w:tcPr>
            <w:tcW w:w="571" w:type="dxa"/>
            <w:tcBorders>
              <w:top w:val="nil"/>
              <w:left w:val="nil"/>
              <w:bottom w:val="nil"/>
              <w:right w:val="nil"/>
            </w:tcBorders>
          </w:tcPr>
          <w:p w14:paraId="76A6A567" w14:textId="77777777" w:rsidR="00DB23E9" w:rsidRDefault="00DB23E9" w:rsidP="00DB23E9">
            <w:pPr>
              <w:spacing w:line="259" w:lineRule="auto"/>
            </w:pPr>
            <w:r>
              <w:rPr>
                <w:sz w:val="17"/>
              </w:rPr>
              <w:t>0.53</w:t>
            </w:r>
            <w:r>
              <w:rPr>
                <w:sz w:val="17"/>
                <w:vertAlign w:val="superscript"/>
              </w:rPr>
              <w:t>d</w:t>
            </w:r>
          </w:p>
        </w:tc>
        <w:tc>
          <w:tcPr>
            <w:tcW w:w="703" w:type="dxa"/>
            <w:tcBorders>
              <w:top w:val="nil"/>
              <w:left w:val="nil"/>
              <w:bottom w:val="nil"/>
              <w:right w:val="nil"/>
            </w:tcBorders>
          </w:tcPr>
          <w:p w14:paraId="722450BC" w14:textId="77777777" w:rsidR="00DB23E9" w:rsidRDefault="00DB23E9" w:rsidP="00DB23E9">
            <w:pPr>
              <w:spacing w:line="259" w:lineRule="auto"/>
              <w:ind w:left="130"/>
            </w:pPr>
            <w:r>
              <w:rPr>
                <w:sz w:val="17"/>
              </w:rPr>
              <w:t>0.63</w:t>
            </w:r>
            <w:r>
              <w:rPr>
                <w:sz w:val="17"/>
                <w:vertAlign w:val="superscript"/>
              </w:rPr>
              <w:t>d</w:t>
            </w:r>
          </w:p>
        </w:tc>
        <w:tc>
          <w:tcPr>
            <w:tcW w:w="703" w:type="dxa"/>
            <w:tcBorders>
              <w:top w:val="nil"/>
              <w:left w:val="nil"/>
              <w:bottom w:val="nil"/>
              <w:right w:val="nil"/>
            </w:tcBorders>
          </w:tcPr>
          <w:p w14:paraId="763A20EC" w14:textId="77777777" w:rsidR="00DB23E9" w:rsidRDefault="00DB23E9" w:rsidP="00DB23E9">
            <w:pPr>
              <w:spacing w:line="259" w:lineRule="auto"/>
              <w:ind w:left="130"/>
            </w:pPr>
            <w:r>
              <w:rPr>
                <w:sz w:val="17"/>
              </w:rPr>
              <w:t>0.35</w:t>
            </w:r>
            <w:r>
              <w:rPr>
                <w:sz w:val="17"/>
                <w:vertAlign w:val="superscript"/>
              </w:rPr>
              <w:t>d</w:t>
            </w:r>
          </w:p>
        </w:tc>
        <w:tc>
          <w:tcPr>
            <w:tcW w:w="513" w:type="dxa"/>
            <w:tcBorders>
              <w:top w:val="nil"/>
              <w:left w:val="nil"/>
              <w:bottom w:val="nil"/>
              <w:right w:val="nil"/>
            </w:tcBorders>
          </w:tcPr>
          <w:p w14:paraId="2F0DFBD7" w14:textId="77777777" w:rsidR="00DB23E9" w:rsidRDefault="00DB23E9" w:rsidP="00DB23E9">
            <w:pPr>
              <w:spacing w:line="259" w:lineRule="auto"/>
            </w:pPr>
            <w:r>
              <w:rPr>
                <w:sz w:val="17"/>
              </w:rPr>
              <w:t>0.01</w:t>
            </w:r>
          </w:p>
        </w:tc>
        <w:tc>
          <w:tcPr>
            <w:tcW w:w="303" w:type="dxa"/>
            <w:tcBorders>
              <w:top w:val="nil"/>
              <w:left w:val="nil"/>
              <w:bottom w:val="nil"/>
              <w:right w:val="nil"/>
            </w:tcBorders>
          </w:tcPr>
          <w:p w14:paraId="4683358E" w14:textId="77777777" w:rsidR="00DB23E9" w:rsidRDefault="00DB23E9" w:rsidP="00DB23E9">
            <w:pPr>
              <w:spacing w:line="259" w:lineRule="auto"/>
            </w:pPr>
            <w:r>
              <w:rPr>
                <w:sz w:val="17"/>
              </w:rPr>
              <w:t>1.00</w:t>
            </w:r>
          </w:p>
        </w:tc>
      </w:tr>
      <w:tr w:rsidR="00DB23E9" w14:paraId="6AD94347" w14:textId="77777777" w:rsidTr="0038445D">
        <w:trPr>
          <w:trHeight w:val="259"/>
        </w:trPr>
        <w:tc>
          <w:tcPr>
            <w:tcW w:w="1674" w:type="dxa"/>
            <w:tcBorders>
              <w:top w:val="nil"/>
              <w:left w:val="nil"/>
              <w:bottom w:val="nil"/>
              <w:right w:val="nil"/>
            </w:tcBorders>
          </w:tcPr>
          <w:p w14:paraId="4E945580" w14:textId="77777777" w:rsidR="00DB23E9" w:rsidRDefault="00DB23E9" w:rsidP="00DB23E9">
            <w:pPr>
              <w:spacing w:line="259" w:lineRule="auto"/>
            </w:pPr>
            <w:r>
              <w:rPr>
                <w:sz w:val="17"/>
              </w:rPr>
              <w:t>Mean</w:t>
            </w:r>
          </w:p>
        </w:tc>
        <w:tc>
          <w:tcPr>
            <w:tcW w:w="702" w:type="dxa"/>
            <w:tcBorders>
              <w:top w:val="nil"/>
              <w:left w:val="nil"/>
              <w:bottom w:val="nil"/>
              <w:right w:val="nil"/>
            </w:tcBorders>
          </w:tcPr>
          <w:p w14:paraId="2BA0F182" w14:textId="77777777" w:rsidR="00DB23E9" w:rsidRDefault="00DB23E9" w:rsidP="00DB23E9">
            <w:pPr>
              <w:spacing w:line="259" w:lineRule="auto"/>
              <w:ind w:left="47"/>
            </w:pPr>
            <w:r>
              <w:rPr>
                <w:sz w:val="17"/>
              </w:rPr>
              <w:t>32.2</w:t>
            </w:r>
          </w:p>
        </w:tc>
        <w:tc>
          <w:tcPr>
            <w:tcW w:w="694" w:type="dxa"/>
            <w:tcBorders>
              <w:top w:val="nil"/>
              <w:left w:val="nil"/>
              <w:bottom w:val="nil"/>
              <w:right w:val="nil"/>
            </w:tcBorders>
          </w:tcPr>
          <w:p w14:paraId="585DD22E" w14:textId="77777777" w:rsidR="00DB23E9" w:rsidRDefault="00DB23E9" w:rsidP="00DB23E9">
            <w:pPr>
              <w:spacing w:line="259" w:lineRule="auto"/>
              <w:ind w:left="215"/>
            </w:pPr>
            <w:r>
              <w:rPr>
                <w:rFonts w:ascii="Calibri" w:eastAsia="Calibri" w:hAnsi="Calibri" w:cs="Calibri"/>
                <w:sz w:val="17"/>
              </w:rPr>
              <w:t>–</w:t>
            </w:r>
          </w:p>
        </w:tc>
        <w:tc>
          <w:tcPr>
            <w:tcW w:w="702" w:type="dxa"/>
            <w:tcBorders>
              <w:top w:val="nil"/>
              <w:left w:val="nil"/>
              <w:bottom w:val="nil"/>
              <w:right w:val="nil"/>
            </w:tcBorders>
          </w:tcPr>
          <w:p w14:paraId="22551344" w14:textId="77777777" w:rsidR="00DB23E9" w:rsidRDefault="00DB23E9" w:rsidP="00DB23E9">
            <w:pPr>
              <w:spacing w:line="259" w:lineRule="auto"/>
              <w:ind w:left="130"/>
            </w:pPr>
            <w:r>
              <w:rPr>
                <w:sz w:val="17"/>
              </w:rPr>
              <w:t>4.86</w:t>
            </w:r>
          </w:p>
        </w:tc>
        <w:tc>
          <w:tcPr>
            <w:tcW w:w="702" w:type="dxa"/>
            <w:tcBorders>
              <w:top w:val="nil"/>
              <w:left w:val="nil"/>
              <w:bottom w:val="nil"/>
              <w:right w:val="nil"/>
            </w:tcBorders>
          </w:tcPr>
          <w:p w14:paraId="34D0E867" w14:textId="77777777" w:rsidR="00DB23E9" w:rsidRDefault="00DB23E9" w:rsidP="00DB23E9">
            <w:pPr>
              <w:spacing w:line="259" w:lineRule="auto"/>
              <w:ind w:left="215"/>
            </w:pPr>
            <w:r>
              <w:rPr>
                <w:rFonts w:ascii="Calibri" w:eastAsia="Calibri" w:hAnsi="Calibri" w:cs="Calibri"/>
                <w:sz w:val="17"/>
              </w:rPr>
              <w:t>–</w:t>
            </w:r>
          </w:p>
        </w:tc>
        <w:tc>
          <w:tcPr>
            <w:tcW w:w="703" w:type="dxa"/>
            <w:tcBorders>
              <w:top w:val="nil"/>
              <w:left w:val="nil"/>
              <w:bottom w:val="nil"/>
              <w:right w:val="nil"/>
            </w:tcBorders>
          </w:tcPr>
          <w:p w14:paraId="4D7082F2" w14:textId="77777777" w:rsidR="00DB23E9" w:rsidRDefault="00DB23E9" w:rsidP="00DB23E9">
            <w:pPr>
              <w:spacing w:line="259" w:lineRule="auto"/>
              <w:ind w:left="130"/>
            </w:pPr>
            <w:r>
              <w:rPr>
                <w:sz w:val="17"/>
              </w:rPr>
              <w:t>3.70</w:t>
            </w:r>
          </w:p>
        </w:tc>
        <w:tc>
          <w:tcPr>
            <w:tcW w:w="627" w:type="dxa"/>
            <w:tcBorders>
              <w:top w:val="nil"/>
              <w:left w:val="nil"/>
              <w:bottom w:val="nil"/>
              <w:right w:val="nil"/>
            </w:tcBorders>
          </w:tcPr>
          <w:p w14:paraId="705C5B59" w14:textId="77777777" w:rsidR="00DB23E9" w:rsidRDefault="00DB23E9" w:rsidP="00DB23E9">
            <w:pPr>
              <w:spacing w:line="259" w:lineRule="auto"/>
              <w:ind w:left="54"/>
            </w:pPr>
            <w:r>
              <w:rPr>
                <w:sz w:val="17"/>
              </w:rPr>
              <w:t>4.45</w:t>
            </w:r>
          </w:p>
        </w:tc>
        <w:tc>
          <w:tcPr>
            <w:tcW w:w="695" w:type="dxa"/>
            <w:tcBorders>
              <w:top w:val="nil"/>
              <w:left w:val="nil"/>
              <w:bottom w:val="nil"/>
              <w:right w:val="nil"/>
            </w:tcBorders>
          </w:tcPr>
          <w:p w14:paraId="22295294" w14:textId="77777777" w:rsidR="00DB23E9" w:rsidRDefault="00DB23E9" w:rsidP="00DB23E9">
            <w:pPr>
              <w:spacing w:line="259" w:lineRule="auto"/>
              <w:ind w:left="130"/>
            </w:pPr>
            <w:r>
              <w:rPr>
                <w:sz w:val="17"/>
              </w:rPr>
              <w:t>3.21</w:t>
            </w:r>
          </w:p>
        </w:tc>
        <w:tc>
          <w:tcPr>
            <w:tcW w:w="573" w:type="dxa"/>
            <w:tcBorders>
              <w:top w:val="nil"/>
              <w:left w:val="nil"/>
              <w:bottom w:val="nil"/>
              <w:right w:val="nil"/>
            </w:tcBorders>
          </w:tcPr>
          <w:p w14:paraId="2651CB50" w14:textId="77777777" w:rsidR="00DB23E9" w:rsidRDefault="00DB23E9" w:rsidP="00DB23E9">
            <w:pPr>
              <w:spacing w:line="259" w:lineRule="auto"/>
            </w:pPr>
            <w:r>
              <w:rPr>
                <w:sz w:val="17"/>
              </w:rPr>
              <w:t>2.71</w:t>
            </w:r>
          </w:p>
        </w:tc>
        <w:tc>
          <w:tcPr>
            <w:tcW w:w="571" w:type="dxa"/>
            <w:tcBorders>
              <w:top w:val="nil"/>
              <w:left w:val="nil"/>
              <w:bottom w:val="nil"/>
              <w:right w:val="nil"/>
            </w:tcBorders>
          </w:tcPr>
          <w:p w14:paraId="2AF183D8" w14:textId="77777777" w:rsidR="00DB23E9" w:rsidRDefault="00DB23E9" w:rsidP="00DB23E9">
            <w:pPr>
              <w:spacing w:line="259" w:lineRule="auto"/>
            </w:pPr>
            <w:r>
              <w:rPr>
                <w:sz w:val="17"/>
              </w:rPr>
              <w:t>2.55</w:t>
            </w:r>
          </w:p>
        </w:tc>
        <w:tc>
          <w:tcPr>
            <w:tcW w:w="703" w:type="dxa"/>
            <w:tcBorders>
              <w:top w:val="nil"/>
              <w:left w:val="nil"/>
              <w:bottom w:val="nil"/>
              <w:right w:val="nil"/>
            </w:tcBorders>
          </w:tcPr>
          <w:p w14:paraId="0E5BCFC3" w14:textId="77777777" w:rsidR="00DB23E9" w:rsidRDefault="00DB23E9" w:rsidP="00DB23E9">
            <w:pPr>
              <w:spacing w:line="259" w:lineRule="auto"/>
              <w:ind w:left="130"/>
            </w:pPr>
            <w:r>
              <w:rPr>
                <w:sz w:val="17"/>
              </w:rPr>
              <w:t>3.29</w:t>
            </w:r>
          </w:p>
        </w:tc>
        <w:tc>
          <w:tcPr>
            <w:tcW w:w="703" w:type="dxa"/>
            <w:tcBorders>
              <w:top w:val="nil"/>
              <w:left w:val="nil"/>
              <w:bottom w:val="nil"/>
              <w:right w:val="nil"/>
            </w:tcBorders>
          </w:tcPr>
          <w:p w14:paraId="733E1A98" w14:textId="77777777" w:rsidR="00DB23E9" w:rsidRDefault="00DB23E9" w:rsidP="00DB23E9">
            <w:pPr>
              <w:spacing w:line="259" w:lineRule="auto"/>
              <w:ind w:left="130"/>
            </w:pPr>
            <w:r>
              <w:rPr>
                <w:sz w:val="17"/>
              </w:rPr>
              <w:t>3.57</w:t>
            </w:r>
          </w:p>
        </w:tc>
        <w:tc>
          <w:tcPr>
            <w:tcW w:w="513" w:type="dxa"/>
            <w:tcBorders>
              <w:top w:val="nil"/>
              <w:left w:val="nil"/>
              <w:bottom w:val="nil"/>
              <w:right w:val="nil"/>
            </w:tcBorders>
          </w:tcPr>
          <w:p w14:paraId="308F203F" w14:textId="77777777" w:rsidR="00DB23E9" w:rsidRDefault="00DB23E9" w:rsidP="00DB23E9">
            <w:pPr>
              <w:spacing w:line="259" w:lineRule="auto"/>
            </w:pPr>
            <w:r>
              <w:rPr>
                <w:sz w:val="17"/>
              </w:rPr>
              <w:t>1.30</w:t>
            </w:r>
          </w:p>
        </w:tc>
        <w:tc>
          <w:tcPr>
            <w:tcW w:w="303" w:type="dxa"/>
            <w:tcBorders>
              <w:top w:val="nil"/>
              <w:left w:val="nil"/>
              <w:bottom w:val="nil"/>
              <w:right w:val="nil"/>
            </w:tcBorders>
          </w:tcPr>
          <w:p w14:paraId="7DD4E16E" w14:textId="77777777" w:rsidR="00DB23E9" w:rsidRDefault="00DB23E9" w:rsidP="00DB23E9">
            <w:pPr>
              <w:spacing w:line="259" w:lineRule="auto"/>
            </w:pPr>
            <w:r>
              <w:rPr>
                <w:sz w:val="17"/>
              </w:rPr>
              <w:t>2.95</w:t>
            </w:r>
          </w:p>
        </w:tc>
      </w:tr>
      <w:tr w:rsidR="00DB23E9" w14:paraId="4332197E" w14:textId="77777777" w:rsidTr="0038445D">
        <w:trPr>
          <w:trHeight w:val="296"/>
        </w:trPr>
        <w:tc>
          <w:tcPr>
            <w:tcW w:w="1674" w:type="dxa"/>
            <w:tcBorders>
              <w:top w:val="nil"/>
              <w:left w:val="nil"/>
              <w:bottom w:val="single" w:sz="5" w:space="0" w:color="000000"/>
              <w:right w:val="nil"/>
            </w:tcBorders>
          </w:tcPr>
          <w:p w14:paraId="2BF6E09F" w14:textId="77777777" w:rsidR="00DB23E9" w:rsidRDefault="00DB23E9" w:rsidP="00DB23E9">
            <w:pPr>
              <w:spacing w:line="259" w:lineRule="auto"/>
            </w:pPr>
            <w:r>
              <w:rPr>
                <w:sz w:val="17"/>
              </w:rPr>
              <w:t>SD</w:t>
            </w:r>
          </w:p>
        </w:tc>
        <w:tc>
          <w:tcPr>
            <w:tcW w:w="702" w:type="dxa"/>
            <w:tcBorders>
              <w:top w:val="nil"/>
              <w:left w:val="nil"/>
              <w:bottom w:val="single" w:sz="5" w:space="0" w:color="000000"/>
              <w:right w:val="nil"/>
            </w:tcBorders>
          </w:tcPr>
          <w:p w14:paraId="391407E8" w14:textId="77777777" w:rsidR="00DB23E9" w:rsidRDefault="00DB23E9" w:rsidP="00DB23E9">
            <w:pPr>
              <w:spacing w:line="259" w:lineRule="auto"/>
              <w:ind w:left="130"/>
            </w:pPr>
            <w:r>
              <w:rPr>
                <w:sz w:val="17"/>
              </w:rPr>
              <w:t>8.24</w:t>
            </w:r>
          </w:p>
        </w:tc>
        <w:tc>
          <w:tcPr>
            <w:tcW w:w="694" w:type="dxa"/>
            <w:tcBorders>
              <w:top w:val="nil"/>
              <w:left w:val="nil"/>
              <w:bottom w:val="single" w:sz="5" w:space="0" w:color="000000"/>
              <w:right w:val="nil"/>
            </w:tcBorders>
          </w:tcPr>
          <w:p w14:paraId="50802872" w14:textId="77777777" w:rsidR="00DB23E9" w:rsidRDefault="00DB23E9" w:rsidP="00DB23E9">
            <w:pPr>
              <w:spacing w:line="259" w:lineRule="auto"/>
              <w:ind w:left="215"/>
            </w:pPr>
            <w:r>
              <w:rPr>
                <w:rFonts w:ascii="Calibri" w:eastAsia="Calibri" w:hAnsi="Calibri" w:cs="Calibri"/>
                <w:sz w:val="17"/>
              </w:rPr>
              <w:t>–</w:t>
            </w:r>
          </w:p>
        </w:tc>
        <w:tc>
          <w:tcPr>
            <w:tcW w:w="702" w:type="dxa"/>
            <w:tcBorders>
              <w:top w:val="nil"/>
              <w:left w:val="nil"/>
              <w:bottom w:val="single" w:sz="5" w:space="0" w:color="000000"/>
              <w:right w:val="nil"/>
            </w:tcBorders>
          </w:tcPr>
          <w:p w14:paraId="5F9C7D19" w14:textId="77777777" w:rsidR="00DB23E9" w:rsidRDefault="00DB23E9" w:rsidP="00DB23E9">
            <w:pPr>
              <w:spacing w:line="259" w:lineRule="auto"/>
              <w:ind w:left="130"/>
            </w:pPr>
            <w:r>
              <w:rPr>
                <w:sz w:val="17"/>
              </w:rPr>
              <w:t>1.98</w:t>
            </w:r>
          </w:p>
        </w:tc>
        <w:tc>
          <w:tcPr>
            <w:tcW w:w="702" w:type="dxa"/>
            <w:tcBorders>
              <w:top w:val="nil"/>
              <w:left w:val="nil"/>
              <w:bottom w:val="single" w:sz="5" w:space="0" w:color="000000"/>
              <w:right w:val="nil"/>
            </w:tcBorders>
          </w:tcPr>
          <w:p w14:paraId="11780033" w14:textId="77777777" w:rsidR="00DB23E9" w:rsidRDefault="00DB23E9" w:rsidP="00DB23E9">
            <w:pPr>
              <w:spacing w:line="259" w:lineRule="auto"/>
              <w:ind w:left="215"/>
            </w:pPr>
            <w:r>
              <w:rPr>
                <w:rFonts w:ascii="Calibri" w:eastAsia="Calibri" w:hAnsi="Calibri" w:cs="Calibri"/>
                <w:sz w:val="17"/>
              </w:rPr>
              <w:t>–</w:t>
            </w:r>
          </w:p>
        </w:tc>
        <w:tc>
          <w:tcPr>
            <w:tcW w:w="703" w:type="dxa"/>
            <w:tcBorders>
              <w:top w:val="nil"/>
              <w:left w:val="nil"/>
              <w:bottom w:val="single" w:sz="5" w:space="0" w:color="000000"/>
              <w:right w:val="nil"/>
            </w:tcBorders>
          </w:tcPr>
          <w:p w14:paraId="43AC6F61" w14:textId="77777777" w:rsidR="00DB23E9" w:rsidRDefault="00DB23E9" w:rsidP="00DB23E9">
            <w:pPr>
              <w:spacing w:line="259" w:lineRule="auto"/>
              <w:ind w:left="130"/>
            </w:pPr>
            <w:r>
              <w:rPr>
                <w:sz w:val="17"/>
              </w:rPr>
              <w:t>0.58</w:t>
            </w:r>
          </w:p>
        </w:tc>
        <w:tc>
          <w:tcPr>
            <w:tcW w:w="627" w:type="dxa"/>
            <w:tcBorders>
              <w:top w:val="nil"/>
              <w:left w:val="nil"/>
              <w:bottom w:val="single" w:sz="5" w:space="0" w:color="000000"/>
              <w:right w:val="nil"/>
            </w:tcBorders>
          </w:tcPr>
          <w:p w14:paraId="4939C7AF" w14:textId="77777777" w:rsidR="00DB23E9" w:rsidRDefault="00DB23E9" w:rsidP="00DB23E9">
            <w:pPr>
              <w:spacing w:line="259" w:lineRule="auto"/>
              <w:ind w:left="54"/>
            </w:pPr>
            <w:r>
              <w:rPr>
                <w:sz w:val="17"/>
              </w:rPr>
              <w:t>0.48</w:t>
            </w:r>
          </w:p>
        </w:tc>
        <w:tc>
          <w:tcPr>
            <w:tcW w:w="695" w:type="dxa"/>
            <w:tcBorders>
              <w:top w:val="nil"/>
              <w:left w:val="nil"/>
              <w:bottom w:val="single" w:sz="5" w:space="0" w:color="000000"/>
              <w:right w:val="nil"/>
            </w:tcBorders>
          </w:tcPr>
          <w:p w14:paraId="48AE708C" w14:textId="77777777" w:rsidR="00DB23E9" w:rsidRDefault="00DB23E9" w:rsidP="00DB23E9">
            <w:pPr>
              <w:spacing w:line="259" w:lineRule="auto"/>
              <w:ind w:left="130"/>
            </w:pPr>
            <w:r>
              <w:rPr>
                <w:sz w:val="17"/>
              </w:rPr>
              <w:t>0.56</w:t>
            </w:r>
          </w:p>
        </w:tc>
        <w:tc>
          <w:tcPr>
            <w:tcW w:w="573" w:type="dxa"/>
            <w:tcBorders>
              <w:top w:val="nil"/>
              <w:left w:val="nil"/>
              <w:bottom w:val="single" w:sz="5" w:space="0" w:color="000000"/>
              <w:right w:val="nil"/>
            </w:tcBorders>
          </w:tcPr>
          <w:p w14:paraId="67207AE1" w14:textId="77777777" w:rsidR="00DB23E9" w:rsidRDefault="00DB23E9" w:rsidP="00DB23E9">
            <w:pPr>
              <w:spacing w:line="259" w:lineRule="auto"/>
            </w:pPr>
            <w:r>
              <w:rPr>
                <w:sz w:val="17"/>
              </w:rPr>
              <w:t>0.68</w:t>
            </w:r>
          </w:p>
        </w:tc>
        <w:tc>
          <w:tcPr>
            <w:tcW w:w="571" w:type="dxa"/>
            <w:tcBorders>
              <w:top w:val="nil"/>
              <w:left w:val="nil"/>
              <w:bottom w:val="single" w:sz="5" w:space="0" w:color="000000"/>
              <w:right w:val="nil"/>
            </w:tcBorders>
          </w:tcPr>
          <w:p w14:paraId="641709A4" w14:textId="77777777" w:rsidR="00DB23E9" w:rsidRDefault="00DB23E9" w:rsidP="00DB23E9">
            <w:pPr>
              <w:spacing w:line="259" w:lineRule="auto"/>
            </w:pPr>
            <w:r>
              <w:rPr>
                <w:sz w:val="17"/>
              </w:rPr>
              <w:t>0.82</w:t>
            </w:r>
          </w:p>
        </w:tc>
        <w:tc>
          <w:tcPr>
            <w:tcW w:w="703" w:type="dxa"/>
            <w:tcBorders>
              <w:top w:val="nil"/>
              <w:left w:val="nil"/>
              <w:bottom w:val="single" w:sz="5" w:space="0" w:color="000000"/>
              <w:right w:val="nil"/>
            </w:tcBorders>
          </w:tcPr>
          <w:p w14:paraId="62D9B4BD" w14:textId="77777777" w:rsidR="00DB23E9" w:rsidRDefault="00DB23E9" w:rsidP="00DB23E9">
            <w:pPr>
              <w:spacing w:line="259" w:lineRule="auto"/>
              <w:ind w:left="130"/>
            </w:pPr>
            <w:r>
              <w:rPr>
                <w:sz w:val="17"/>
              </w:rPr>
              <w:t>0.68</w:t>
            </w:r>
          </w:p>
        </w:tc>
        <w:tc>
          <w:tcPr>
            <w:tcW w:w="703" w:type="dxa"/>
            <w:tcBorders>
              <w:top w:val="nil"/>
              <w:left w:val="nil"/>
              <w:bottom w:val="single" w:sz="5" w:space="0" w:color="000000"/>
              <w:right w:val="nil"/>
            </w:tcBorders>
          </w:tcPr>
          <w:p w14:paraId="54F7A088" w14:textId="77777777" w:rsidR="00DB23E9" w:rsidRDefault="00DB23E9" w:rsidP="00DB23E9">
            <w:pPr>
              <w:spacing w:line="259" w:lineRule="auto"/>
              <w:ind w:left="130"/>
            </w:pPr>
            <w:r>
              <w:rPr>
                <w:sz w:val="17"/>
              </w:rPr>
              <w:t>0.59</w:t>
            </w:r>
          </w:p>
        </w:tc>
        <w:tc>
          <w:tcPr>
            <w:tcW w:w="513" w:type="dxa"/>
            <w:tcBorders>
              <w:top w:val="nil"/>
              <w:left w:val="nil"/>
              <w:bottom w:val="single" w:sz="5" w:space="0" w:color="000000"/>
              <w:right w:val="nil"/>
            </w:tcBorders>
          </w:tcPr>
          <w:p w14:paraId="3AD6747F" w14:textId="77777777" w:rsidR="00DB23E9" w:rsidRDefault="00DB23E9" w:rsidP="00DB23E9">
            <w:pPr>
              <w:spacing w:line="259" w:lineRule="auto"/>
            </w:pPr>
            <w:r>
              <w:rPr>
                <w:sz w:val="17"/>
              </w:rPr>
              <w:t>0.58</w:t>
            </w:r>
          </w:p>
        </w:tc>
        <w:tc>
          <w:tcPr>
            <w:tcW w:w="303" w:type="dxa"/>
            <w:tcBorders>
              <w:top w:val="nil"/>
              <w:left w:val="nil"/>
              <w:bottom w:val="single" w:sz="5" w:space="0" w:color="000000"/>
              <w:right w:val="nil"/>
            </w:tcBorders>
          </w:tcPr>
          <w:p w14:paraId="504005FA" w14:textId="77777777" w:rsidR="00DB23E9" w:rsidRDefault="00DB23E9" w:rsidP="00DB23E9">
            <w:pPr>
              <w:spacing w:line="259" w:lineRule="auto"/>
            </w:pPr>
            <w:r>
              <w:rPr>
                <w:sz w:val="17"/>
              </w:rPr>
              <w:t>0.65</w:t>
            </w:r>
          </w:p>
        </w:tc>
      </w:tr>
    </w:tbl>
    <w:p w14:paraId="14CF233A" w14:textId="77777777" w:rsidR="00DB23E9" w:rsidRDefault="00DB23E9" w:rsidP="00C44C6F">
      <w:pPr>
        <w:tabs>
          <w:tab w:val="right" w:pos="8640"/>
          <w:tab w:val="right" w:pos="8640"/>
        </w:tabs>
        <w:spacing w:line="240" w:lineRule="auto"/>
        <w:ind w:firstLine="0"/>
      </w:pPr>
      <w:r>
        <w:t xml:space="preserve">a) Child gender (1 = female; 2 = boy); b) father education level (1 = none; 9 = M.D., Ph.D., Law, Dental); c) Father residential Status (1 = residential; 2 = non-residential) </w:t>
      </w:r>
    </w:p>
    <w:p w14:paraId="6DE2DBD5" w14:textId="2786F1BD" w:rsidR="00DB23E9" w:rsidRDefault="00DB23E9" w:rsidP="00C44C6F">
      <w:pPr>
        <w:tabs>
          <w:tab w:val="right" w:pos="8640"/>
          <w:tab w:val="right" w:pos="8640"/>
        </w:tabs>
        <w:spacing w:line="240" w:lineRule="auto"/>
        <w:ind w:firstLine="0"/>
      </w:pPr>
      <w:r>
        <w:t>a</w:t>
      </w:r>
      <w:r w:rsidR="00C44C6F">
        <w:t>)</w:t>
      </w:r>
      <w:r>
        <w:t xml:space="preserve"> p &lt; 0.10; b</w:t>
      </w:r>
      <w:r w:rsidR="00C44C6F">
        <w:t>)</w:t>
      </w:r>
      <w:r>
        <w:t xml:space="preserve"> p &lt; 0.05; c</w:t>
      </w:r>
      <w:r w:rsidR="00C44C6F">
        <w:t>)</w:t>
      </w:r>
      <w:r>
        <w:t xml:space="preserve"> p &lt; 0 .01; d</w:t>
      </w:r>
      <w:r w:rsidR="00C44C6F">
        <w:t>)</w:t>
      </w:r>
      <w:r>
        <w:t xml:space="preserve"> p &lt; 0 .001</w:t>
      </w:r>
      <w:r w:rsidR="0038445D">
        <w:tab/>
      </w:r>
    </w:p>
    <w:p w14:paraId="71B4540E" w14:textId="77777777" w:rsidR="0038445D" w:rsidRDefault="0038445D" w:rsidP="00C44C6F">
      <w:pPr>
        <w:tabs>
          <w:tab w:val="right" w:pos="8640"/>
          <w:tab w:val="right" w:pos="8640"/>
        </w:tabs>
        <w:spacing w:line="240" w:lineRule="auto"/>
        <w:ind w:firstLine="0"/>
        <w:rPr>
          <w:color w:val="555555"/>
          <w:shd w:val="clear" w:color="auto" w:fill="FFFFFF"/>
        </w:rPr>
      </w:pPr>
    </w:p>
    <w:p w14:paraId="78FF1104" w14:textId="751B177F" w:rsidR="00DB23E9" w:rsidRDefault="0038445D" w:rsidP="0038445D">
      <w:pPr>
        <w:tabs>
          <w:tab w:val="right" w:pos="8640"/>
          <w:tab w:val="right" w:pos="8640"/>
        </w:tabs>
        <w:ind w:firstLine="0"/>
        <w:rPr>
          <w:color w:val="555555"/>
          <w:shd w:val="clear" w:color="auto" w:fill="FFFFFF"/>
        </w:rPr>
      </w:pPr>
      <w:r>
        <w:t>(Cooper et al., 2019, p. 2804)</w:t>
      </w:r>
    </w:p>
    <w:p w14:paraId="424B2A37" w14:textId="110275F2" w:rsidR="00494CDD" w:rsidRPr="00187A3E" w:rsidRDefault="00A22AF9">
      <w:pPr>
        <w:tabs>
          <w:tab w:val="right" w:pos="8640"/>
          <w:tab w:val="right" w:pos="8640"/>
        </w:tabs>
        <w:rPr>
          <w:shd w:val="clear" w:color="auto" w:fill="FFFFFF"/>
        </w:rPr>
      </w:pPr>
      <w:r w:rsidRPr="00187A3E">
        <w:rPr>
          <w:shd w:val="clear" w:color="auto" w:fill="FFFFFF"/>
        </w:rPr>
        <w:t xml:space="preserve">By looking at the first ERS practice, #8 racial pride, we can </w:t>
      </w:r>
      <w:r w:rsidR="000D62C0" w:rsidRPr="00187A3E">
        <w:rPr>
          <w:shd w:val="clear" w:color="auto" w:fill="FFFFFF"/>
        </w:rPr>
        <w:t xml:space="preserve">see </w:t>
      </w:r>
      <w:r w:rsidRPr="00187A3E">
        <w:rPr>
          <w:shd w:val="clear" w:color="auto" w:fill="FFFFFF"/>
        </w:rPr>
        <w:t>it is positively associated with #5, racial centrality</w:t>
      </w:r>
      <w:r w:rsidR="009D40C5" w:rsidRPr="00187A3E">
        <w:rPr>
          <w:shd w:val="clear" w:color="auto" w:fill="FFFFFF"/>
        </w:rPr>
        <w:t xml:space="preserve"> </w:t>
      </w:r>
      <w:r w:rsidR="00B51F6F" w:rsidRPr="00187A3E">
        <w:rPr>
          <w:shd w:val="clear" w:color="auto" w:fill="FFFFFF"/>
        </w:rPr>
        <w:t>(0.36</w:t>
      </w:r>
      <w:r w:rsidR="00150D3B" w:rsidRPr="00187A3E">
        <w:rPr>
          <w:shd w:val="clear" w:color="auto" w:fill="FFFFFF"/>
        </w:rPr>
        <w:t xml:space="preserve">, </w:t>
      </w:r>
      <w:r w:rsidR="00150D3B" w:rsidRPr="00187A3E">
        <w:t>p &lt; 0 .01</w:t>
      </w:r>
      <w:r w:rsidR="00B51F6F" w:rsidRPr="00187A3E">
        <w:rPr>
          <w:shd w:val="clear" w:color="auto" w:fill="FFFFFF"/>
        </w:rPr>
        <w:t>)</w:t>
      </w:r>
      <w:r w:rsidRPr="00187A3E">
        <w:rPr>
          <w:shd w:val="clear" w:color="auto" w:fill="FFFFFF"/>
        </w:rPr>
        <w:t xml:space="preserve">. </w:t>
      </w:r>
      <w:r w:rsidR="009D40C5" w:rsidRPr="00187A3E">
        <w:rPr>
          <w:shd w:val="clear" w:color="auto" w:fill="FFFFFF"/>
        </w:rPr>
        <w:t xml:space="preserve">Given this description, the reader is informed that holding a balanced view of race </w:t>
      </w:r>
      <w:r w:rsidR="00494CDD" w:rsidRPr="00187A3E">
        <w:rPr>
          <w:shd w:val="clear" w:color="auto" w:fill="FFFFFF"/>
        </w:rPr>
        <w:t>identity</w:t>
      </w:r>
      <w:r w:rsidR="009D40C5" w:rsidRPr="00187A3E">
        <w:rPr>
          <w:shd w:val="clear" w:color="auto" w:fill="FFFFFF"/>
        </w:rPr>
        <w:t xml:space="preserve"> enables a father to instill racial pride in his children and perhaps involve one’s child in race pride activities such as Kwanza or reading from an African American study bible. My definition of racial centrality </w:t>
      </w:r>
      <w:r w:rsidR="00494CDD" w:rsidRPr="00187A3E">
        <w:rPr>
          <w:shd w:val="clear" w:color="auto" w:fill="FFFFFF"/>
        </w:rPr>
        <w:t>is that although one may be proud to identify as black, one is more than one’s race</w:t>
      </w:r>
      <w:r w:rsidR="009D40C5" w:rsidRPr="00187A3E">
        <w:rPr>
          <w:shd w:val="clear" w:color="auto" w:fill="FFFFFF"/>
        </w:rPr>
        <w:t xml:space="preserve">. </w:t>
      </w:r>
      <w:r w:rsidR="00494CDD" w:rsidRPr="00187A3E">
        <w:rPr>
          <w:b/>
          <w:bCs/>
          <w:shd w:val="clear" w:color="auto" w:fill="FFFFFF"/>
          <w:vertAlign w:val="superscript"/>
        </w:rPr>
        <w:t> “</w:t>
      </w:r>
      <w:r w:rsidR="00494CDD" w:rsidRPr="00187A3E">
        <w:rPr>
          <w:shd w:val="clear" w:color="auto" w:fill="FFFFFF"/>
        </w:rPr>
        <w:t>So, God created man in His </w:t>
      </w:r>
      <w:r w:rsidR="00494CDD" w:rsidRPr="00187A3E">
        <w:rPr>
          <w:i/>
          <w:iCs/>
          <w:shd w:val="clear" w:color="auto" w:fill="FFFFFF"/>
        </w:rPr>
        <w:t>own</w:t>
      </w:r>
      <w:r w:rsidR="00494CDD" w:rsidRPr="00187A3E">
        <w:rPr>
          <w:shd w:val="clear" w:color="auto" w:fill="FFFFFF"/>
        </w:rPr>
        <w:t xml:space="preserve"> image; in the image of </w:t>
      </w:r>
      <w:r w:rsidR="00925315" w:rsidRPr="00187A3E">
        <w:rPr>
          <w:shd w:val="clear" w:color="auto" w:fill="FFFFFF"/>
        </w:rPr>
        <w:t>God,</w:t>
      </w:r>
      <w:r w:rsidR="00494CDD" w:rsidRPr="00187A3E">
        <w:rPr>
          <w:shd w:val="clear" w:color="auto" w:fill="FFFFFF"/>
        </w:rPr>
        <w:t xml:space="preserve"> </w:t>
      </w:r>
      <w:r w:rsidR="00925315" w:rsidRPr="00187A3E">
        <w:rPr>
          <w:shd w:val="clear" w:color="auto" w:fill="FFFFFF"/>
        </w:rPr>
        <w:t>“</w:t>
      </w:r>
      <w:r w:rsidR="00494CDD" w:rsidRPr="00187A3E">
        <w:rPr>
          <w:shd w:val="clear" w:color="auto" w:fill="FFFFFF"/>
        </w:rPr>
        <w:t>He created him; male and female He created them” (King James Bible, 1769/2023, Genesis 1:27)</w:t>
      </w:r>
      <w:r w:rsidR="00925315" w:rsidRPr="00187A3E">
        <w:rPr>
          <w:shd w:val="clear" w:color="auto" w:fill="FFFFFF"/>
        </w:rPr>
        <w:t>.</w:t>
      </w:r>
    </w:p>
    <w:p w14:paraId="73B0D94D" w14:textId="3DD0F6EE" w:rsidR="00494CDD" w:rsidRPr="00187A3E" w:rsidRDefault="00494CDD">
      <w:pPr>
        <w:tabs>
          <w:tab w:val="right" w:pos="8640"/>
          <w:tab w:val="right" w:pos="8640"/>
        </w:tabs>
        <w:rPr>
          <w:shd w:val="clear" w:color="auto" w:fill="FFFFFF"/>
        </w:rPr>
      </w:pPr>
      <w:r w:rsidRPr="00187A3E">
        <w:rPr>
          <w:shd w:val="clear" w:color="auto" w:fill="FFFFFF"/>
        </w:rPr>
        <w:t>Cooper et al. (2019) cite</w:t>
      </w:r>
      <w:r w:rsidR="009D40C5" w:rsidRPr="00187A3E">
        <w:rPr>
          <w:shd w:val="clear" w:color="auto" w:fill="FFFFFF"/>
        </w:rPr>
        <w:t xml:space="preserve"> </w:t>
      </w:r>
      <w:r w:rsidRPr="00187A3E">
        <w:rPr>
          <w:shd w:val="clear" w:color="auto" w:fill="FFFFFF"/>
        </w:rPr>
        <w:t>“</w:t>
      </w:r>
      <w:r w:rsidRPr="00187A3E">
        <w:t>This study found that fathers with more positive public regard utilized a balanced socialization approach, which included messages about cultural pride, discrimination awareness, and self-development” (p. 2801).</w:t>
      </w:r>
    </w:p>
    <w:p w14:paraId="7EDF8C26" w14:textId="00E5B41A" w:rsidR="002210AF" w:rsidRPr="00187A3E" w:rsidRDefault="000D62C0" w:rsidP="00925315">
      <w:pPr>
        <w:tabs>
          <w:tab w:val="right" w:pos="8640"/>
          <w:tab w:val="right" w:pos="8640"/>
        </w:tabs>
      </w:pPr>
      <w:r w:rsidRPr="00187A3E">
        <w:rPr>
          <w:shd w:val="clear" w:color="auto" w:fill="FFFFFF"/>
        </w:rPr>
        <w:t>Education is positively associated with self-development</w:t>
      </w:r>
      <w:r w:rsidR="00B51F6F" w:rsidRPr="00187A3E">
        <w:rPr>
          <w:shd w:val="clear" w:color="auto" w:fill="FFFFFF"/>
        </w:rPr>
        <w:t xml:space="preserve"> (0.15</w:t>
      </w:r>
      <w:r w:rsidR="007321E3" w:rsidRPr="00187A3E">
        <w:rPr>
          <w:shd w:val="clear" w:color="auto" w:fill="FFFFFF"/>
        </w:rPr>
        <w:t xml:space="preserve">, </w:t>
      </w:r>
      <w:r w:rsidR="007321E3" w:rsidRPr="00187A3E">
        <w:t>p &lt; 0.05</w:t>
      </w:r>
      <w:r w:rsidR="00B51F6F" w:rsidRPr="00187A3E">
        <w:rPr>
          <w:shd w:val="clear" w:color="auto" w:fill="FFFFFF"/>
        </w:rPr>
        <w:t>)</w:t>
      </w:r>
      <w:r w:rsidRPr="00187A3E">
        <w:rPr>
          <w:shd w:val="clear" w:color="auto" w:fill="FFFFFF"/>
        </w:rPr>
        <w:t xml:space="preserve"> and behavioral socialization</w:t>
      </w:r>
      <w:r w:rsidR="00B51F6F" w:rsidRPr="00187A3E">
        <w:rPr>
          <w:shd w:val="clear" w:color="auto" w:fill="FFFFFF"/>
        </w:rPr>
        <w:t xml:space="preserve"> (0.14</w:t>
      </w:r>
      <w:r w:rsidR="007321E3" w:rsidRPr="00187A3E">
        <w:rPr>
          <w:shd w:val="clear" w:color="auto" w:fill="FFFFFF"/>
        </w:rPr>
        <w:t>,</w:t>
      </w:r>
      <w:r w:rsidR="007321E3" w:rsidRPr="00187A3E">
        <w:t xml:space="preserve"> p &lt; 0.10</w:t>
      </w:r>
      <w:r w:rsidR="00B51F6F" w:rsidRPr="00187A3E">
        <w:rPr>
          <w:shd w:val="clear" w:color="auto" w:fill="FFFFFF"/>
        </w:rPr>
        <w:t>)</w:t>
      </w:r>
      <w:r w:rsidRPr="00187A3E">
        <w:rPr>
          <w:shd w:val="clear" w:color="auto" w:fill="FFFFFF"/>
        </w:rPr>
        <w:t>.</w:t>
      </w:r>
      <w:r w:rsidR="00025853" w:rsidRPr="00187A3E">
        <w:rPr>
          <w:shd w:val="clear" w:color="auto" w:fill="FFFFFF"/>
        </w:rPr>
        <w:t xml:space="preserve"> This statistical element informs me that those fathers who </w:t>
      </w:r>
      <w:r w:rsidR="00150D3B" w:rsidRPr="00187A3E">
        <w:rPr>
          <w:shd w:val="clear" w:color="auto" w:fill="FFFFFF"/>
        </w:rPr>
        <w:t xml:space="preserve">are </w:t>
      </w:r>
      <w:r w:rsidR="00025853" w:rsidRPr="00187A3E">
        <w:rPr>
          <w:shd w:val="clear" w:color="auto" w:fill="FFFFFF"/>
        </w:rPr>
        <w:t xml:space="preserve">learned, and worldly (well-rounded) want their </w:t>
      </w:r>
      <w:r w:rsidR="00150D3B" w:rsidRPr="00187A3E">
        <w:rPr>
          <w:shd w:val="clear" w:color="auto" w:fill="FFFFFF"/>
        </w:rPr>
        <w:t xml:space="preserve">children </w:t>
      </w:r>
      <w:r w:rsidR="00025853" w:rsidRPr="00187A3E">
        <w:rPr>
          <w:shd w:val="clear" w:color="auto" w:fill="FFFFFF"/>
        </w:rPr>
        <w:t>to understand that no matter their race, their success will be buoyed by their education</w:t>
      </w:r>
      <w:r w:rsidR="00150D3B" w:rsidRPr="00187A3E">
        <w:rPr>
          <w:shd w:val="clear" w:color="auto" w:fill="FFFFFF"/>
        </w:rPr>
        <w:t xml:space="preserve"> </w:t>
      </w:r>
      <w:r w:rsidR="0000760D">
        <w:rPr>
          <w:shd w:val="clear" w:color="auto" w:fill="FFFFFF"/>
        </w:rPr>
        <w:t xml:space="preserve">and </w:t>
      </w:r>
      <w:r w:rsidR="00150D3B" w:rsidRPr="00187A3E">
        <w:rPr>
          <w:shd w:val="clear" w:color="auto" w:fill="FFFFFF"/>
        </w:rPr>
        <w:t xml:space="preserve">inquisitiveness. In addition, those who have an </w:t>
      </w:r>
      <w:r w:rsidR="00A32AE1" w:rsidRPr="00187A3E">
        <w:rPr>
          <w:shd w:val="clear" w:color="auto" w:fill="FFFFFF"/>
        </w:rPr>
        <w:t>education</w:t>
      </w:r>
      <w:r w:rsidR="00150D3B" w:rsidRPr="00187A3E">
        <w:rPr>
          <w:shd w:val="clear" w:color="auto" w:fill="FFFFFF"/>
        </w:rPr>
        <w:t xml:space="preserve"> expose their family to events that affirm racial pride and tend to </w:t>
      </w:r>
      <w:r w:rsidR="007321E3" w:rsidRPr="00187A3E">
        <w:rPr>
          <w:shd w:val="clear" w:color="auto" w:fill="FFFFFF"/>
        </w:rPr>
        <w:t>model</w:t>
      </w:r>
      <w:r w:rsidR="00150D3B" w:rsidRPr="00187A3E">
        <w:rPr>
          <w:shd w:val="clear" w:color="auto" w:fill="FFFFFF"/>
        </w:rPr>
        <w:t xml:space="preserve"> good character. </w:t>
      </w:r>
      <w:r w:rsidR="00B51F6F" w:rsidRPr="00187A3E">
        <w:rPr>
          <w:shd w:val="clear" w:color="auto" w:fill="FFFFFF"/>
        </w:rPr>
        <w:t xml:space="preserve"> Racial centrality has a low association (-0.02) with negative values and father’s age has an ever-lower association with negative values (-0.24</w:t>
      </w:r>
      <w:r w:rsidR="007321E3" w:rsidRPr="00187A3E">
        <w:rPr>
          <w:shd w:val="clear" w:color="auto" w:fill="FFFFFF"/>
        </w:rPr>
        <w:t xml:space="preserve">, </w:t>
      </w:r>
      <w:r w:rsidR="007321E3" w:rsidRPr="00187A3E">
        <w:t>p &lt; 0 .01</w:t>
      </w:r>
      <w:r w:rsidR="00B51F6F" w:rsidRPr="00187A3E">
        <w:rPr>
          <w:shd w:val="clear" w:color="auto" w:fill="FFFFFF"/>
        </w:rPr>
        <w:t>)</w:t>
      </w:r>
      <w:r w:rsidR="00150D3B" w:rsidRPr="00187A3E">
        <w:rPr>
          <w:shd w:val="clear" w:color="auto" w:fill="FFFFFF"/>
        </w:rPr>
        <w:t xml:space="preserve"> which is a good thing</w:t>
      </w:r>
      <w:r w:rsidR="00B51F6F" w:rsidRPr="00187A3E">
        <w:rPr>
          <w:shd w:val="clear" w:color="auto" w:fill="FFFFFF"/>
        </w:rPr>
        <w:t xml:space="preserve">. </w:t>
      </w:r>
      <w:r w:rsidR="00D40706" w:rsidRPr="00187A3E">
        <w:rPr>
          <w:shd w:val="clear" w:color="auto" w:fill="FFFFFF"/>
        </w:rPr>
        <w:t xml:space="preserve">Fathers </w:t>
      </w:r>
      <w:r w:rsidR="007321E3" w:rsidRPr="00187A3E">
        <w:rPr>
          <w:shd w:val="clear" w:color="auto" w:fill="FFFFFF"/>
        </w:rPr>
        <w:t>who</w:t>
      </w:r>
      <w:r w:rsidR="00D40706" w:rsidRPr="00187A3E">
        <w:rPr>
          <w:shd w:val="clear" w:color="auto" w:fill="FFFFFF"/>
        </w:rPr>
        <w:t xml:space="preserve"> hold a positive view of their own racial group (p</w:t>
      </w:r>
      <w:r w:rsidR="00D40706" w:rsidRPr="00187A3E">
        <w:t xml:space="preserve">rivate regard) communicated </w:t>
      </w:r>
      <w:r w:rsidR="00150D3B" w:rsidRPr="00187A3E">
        <w:t>few</w:t>
      </w:r>
      <w:r w:rsidR="00D40706" w:rsidRPr="00187A3E">
        <w:t xml:space="preserve"> racial barrier messages  (r = −0.21, p = &lt; 0.01). </w:t>
      </w:r>
    </w:p>
    <w:p w14:paraId="0B150354" w14:textId="180D0A3E" w:rsidR="00925315" w:rsidRPr="00187A3E" w:rsidRDefault="00D40706" w:rsidP="0000760D">
      <w:pPr>
        <w:tabs>
          <w:tab w:val="right" w:pos="8640"/>
          <w:tab w:val="right" w:pos="8640"/>
        </w:tabs>
      </w:pPr>
      <w:r w:rsidRPr="00187A3E">
        <w:t>My summation of th</w:t>
      </w:r>
      <w:r w:rsidR="0000760D">
        <w:t>ese</w:t>
      </w:r>
      <w:r w:rsidRPr="00187A3E">
        <w:t xml:space="preserve"> result</w:t>
      </w:r>
      <w:r w:rsidR="0000760D">
        <w:t>s</w:t>
      </w:r>
      <w:r w:rsidRPr="00187A3E">
        <w:t xml:space="preserve"> is that fathers </w:t>
      </w:r>
      <w:r w:rsidR="00852A92" w:rsidRPr="00187A3E">
        <w:t>who</w:t>
      </w:r>
      <w:r w:rsidRPr="00187A3E">
        <w:t xml:space="preserve"> </w:t>
      </w:r>
      <w:r w:rsidR="00852A92" w:rsidRPr="00187A3E">
        <w:t>are proud of being black and see themselves as valuable despite how society may view them do not communicate to their children</w:t>
      </w:r>
      <w:r w:rsidR="009D40C5" w:rsidRPr="00187A3E">
        <w:t xml:space="preserve"> </w:t>
      </w:r>
      <w:r w:rsidR="00852A92" w:rsidRPr="00187A3E">
        <w:t>that blacks have limited opportunities for success or that blacks can never get ahead.</w:t>
      </w:r>
      <w:r w:rsidR="00925315" w:rsidRPr="00187A3E">
        <w:t xml:space="preserve"> Annamaria, C., &amp; Atkin (2022) “Familial messages that aim to instill pride in the family’s racial-ethnic heritage can convey a powerful counter-narrative to the dominant ideology (a </w:t>
      </w:r>
      <w:proofErr w:type="spellStart"/>
      <w:r w:rsidR="00925315" w:rsidRPr="00187A3E">
        <w:t>MultiCrit</w:t>
      </w:r>
      <w:proofErr w:type="spellEnd"/>
      <w:r w:rsidR="00925315" w:rsidRPr="00187A3E">
        <w:t xml:space="preserve"> tenet), which portrays people of color as deviant and inferior” (p. 669). From their article, it is understood that cultural socialization is the inculcation of racial pride and a celebration of one’s ethnic background and traditions.</w:t>
      </w:r>
    </w:p>
    <w:p w14:paraId="718D7D3A" w14:textId="77777777" w:rsidR="009A18E6" w:rsidRDefault="00187A3E" w:rsidP="00187A3E">
      <w:pPr>
        <w:tabs>
          <w:tab w:val="right" w:pos="8640"/>
          <w:tab w:val="right" w:pos="8640"/>
        </w:tabs>
      </w:pPr>
      <w:r w:rsidRPr="00187A3E">
        <w:t xml:space="preserve">Cooper et al. (2019) also conducted A one-way analysis of variance (ANOVA) in order to compare the </w:t>
      </w:r>
      <w:proofErr w:type="gramStart"/>
      <w:r w:rsidRPr="00187A3E">
        <w:t>mean</w:t>
      </w:r>
      <w:proofErr w:type="gramEnd"/>
      <w:r w:rsidRPr="00187A3E">
        <w:t xml:space="preserve"> of how sociodemographic factors (three age groups, education, residential status) varied in fathers’ socialization and racial identity beliefs.</w:t>
      </w:r>
      <w:r w:rsidR="00BA1A5A">
        <w:t xml:space="preserve"> Fathers with higher degrees reported higher race centrality. Older fathers communicated more self-development and behavioral socialization and less negative messaging than younger fathers. This shows maturity and education at play.   </w:t>
      </w:r>
      <w:r w:rsidR="00BA1A5A" w:rsidRPr="00187A3E">
        <w:t xml:space="preserve">“For younger fathers who are likely still making sense of and constructing their own race-related experiences, perceptions of others’ views about their racial group, including negative stereotypes, may be an important backdrop for ERS” </w:t>
      </w:r>
      <w:r w:rsidR="00BA1A5A">
        <w:t xml:space="preserve">(Cooper et al., 2019, </w:t>
      </w:r>
      <w:r w:rsidR="00BA1A5A" w:rsidRPr="00187A3E">
        <w:t>p. 2809).</w:t>
      </w:r>
      <w:r w:rsidR="00BA1A5A">
        <w:t xml:space="preserve"> </w:t>
      </w:r>
    </w:p>
    <w:p w14:paraId="0FD10B32" w14:textId="77777777" w:rsidR="009A18E6" w:rsidRDefault="00333F8D" w:rsidP="009A18E6">
      <w:pPr>
        <w:tabs>
          <w:tab w:val="right" w:pos="8640"/>
          <w:tab w:val="right" w:pos="8640"/>
        </w:tabs>
      </w:pPr>
      <w:r>
        <w:t xml:space="preserve">Cooper et al. (2019) also found that </w:t>
      </w:r>
      <w:r w:rsidR="00BA1A5A">
        <w:t>Fathers at home also engaged in more behavioral and self-development socialization than fathers not residing in the home</w:t>
      </w:r>
      <w:r>
        <w:t xml:space="preserve">, citing </w:t>
      </w:r>
      <w:r w:rsidR="00187A3E" w:rsidRPr="00187A3E">
        <w:t>“</w:t>
      </w:r>
      <w:r>
        <w:t>F</w:t>
      </w:r>
      <w:r w:rsidR="00187A3E" w:rsidRPr="00187A3E">
        <w:t>or more highly educated fathers, public regard was associated with greater self-development messages. Thus, fathers who endorsed that other racial groups viewed African Americans positively were more likely to communicate messages emphasizing personal success and achievement (p. 2809)</w:t>
      </w:r>
      <w:r w:rsidR="009A18E6">
        <w:t>.</w:t>
      </w:r>
    </w:p>
    <w:p w14:paraId="00000033" w14:textId="4A91DEFD" w:rsidR="00893BCB" w:rsidRDefault="009D40C5" w:rsidP="009A18E6">
      <w:pPr>
        <w:tabs>
          <w:tab w:val="right" w:pos="8640"/>
          <w:tab w:val="right" w:pos="8640"/>
        </w:tabs>
      </w:pPr>
      <w:r w:rsidRPr="00187A3E">
        <w:rPr>
          <w:shd w:val="clear" w:color="auto" w:fill="FFFFFF"/>
        </w:rPr>
        <w:t>The results of the above study were intriguing and have, in my opinion, significant implications.</w:t>
      </w:r>
      <w:r w:rsidR="00B56040" w:rsidRPr="00187A3E">
        <w:rPr>
          <w:shd w:val="clear" w:color="auto" w:fill="FFFFFF"/>
        </w:rPr>
        <w:t xml:space="preserve"> Positivity and not blind ignorance are crucial. Communication in the home, whether about race, sex, </w:t>
      </w:r>
      <w:r w:rsidR="001A1E4E" w:rsidRPr="00187A3E">
        <w:rPr>
          <w:shd w:val="clear" w:color="auto" w:fill="FFFFFF"/>
        </w:rPr>
        <w:t xml:space="preserve">finances, character, and God should be intentional and explicit, with </w:t>
      </w:r>
      <w:proofErr w:type="spellStart"/>
      <w:r w:rsidR="001A1E4E" w:rsidRPr="00187A3E">
        <w:rPr>
          <w:shd w:val="clear" w:color="auto" w:fill="FFFFFF"/>
        </w:rPr>
        <w:t>implicity</w:t>
      </w:r>
      <w:proofErr w:type="spellEnd"/>
      <w:r w:rsidR="001A1E4E" w:rsidRPr="00187A3E">
        <w:rPr>
          <w:shd w:val="clear" w:color="auto" w:fill="FFFFFF"/>
        </w:rPr>
        <w:t xml:space="preserve"> being the lesser of communication types. Using age-appropriate discussions, children can be prepared for but not stifled by racism, biases, and negative race relations. </w:t>
      </w:r>
      <w:r w:rsidR="009D1877" w:rsidRPr="00187A3E">
        <w:rPr>
          <w:shd w:val="clear" w:color="auto" w:fill="FFFFFF"/>
        </w:rPr>
        <w:t>Annamaria,</w:t>
      </w:r>
      <w:r w:rsidR="005111BC" w:rsidRPr="00187A3E">
        <w:rPr>
          <w:shd w:val="clear" w:color="auto" w:fill="FFFFFF"/>
        </w:rPr>
        <w:t xml:space="preserve"> </w:t>
      </w:r>
      <w:r w:rsidR="009D1877" w:rsidRPr="00187A3E">
        <w:rPr>
          <w:shd w:val="clear" w:color="auto" w:fill="FFFFFF"/>
        </w:rPr>
        <w:t xml:space="preserve">&amp; Atkin, (2022) </w:t>
      </w:r>
      <w:r w:rsidR="001A1E4E" w:rsidRPr="00187A3E">
        <w:rPr>
          <w:shd w:val="clear" w:color="auto" w:fill="FFFFFF"/>
        </w:rPr>
        <w:t xml:space="preserve">assert </w:t>
      </w:r>
      <w:r w:rsidR="009D1877" w:rsidRPr="00187A3E">
        <w:t xml:space="preserve">“RES has been linked to children’s cognitive and social-emotional outcomes (e.g., racial-ethnic identity, psychological well-being, and academic adjustment). The literature also reveals that whether RES is associated with positive adjustment (e.g., racial-ethnic identity and self-esteem) or maladjustment (e.g., depressive symptoms), depends on the specific RES strategy used” (p. 666). </w:t>
      </w:r>
    </w:p>
    <w:p w14:paraId="65195AFF" w14:textId="2635EE6F" w:rsidR="009A18E6" w:rsidRPr="00187A3E" w:rsidRDefault="009A18E6" w:rsidP="009A18E6">
      <w:pPr>
        <w:tabs>
          <w:tab w:val="right" w:pos="8640"/>
          <w:tab w:val="right" w:pos="8640"/>
        </w:tabs>
      </w:pPr>
      <w:r>
        <w:t xml:space="preserve">For a family living in subsidized housing, their immediate cultural and familial dynamic must be the dominant force over their environment, especially if the neighborhood, neighbors, and community are not positive influences. Socialization is essentially the rearing of the child through explicit and implicit communication and </w:t>
      </w:r>
      <w:r w:rsidR="009D645E">
        <w:t xml:space="preserve">plays a huge role in how the child will </w:t>
      </w:r>
      <w:r w:rsidR="0000760D">
        <w:t>react to life’s events</w:t>
      </w:r>
      <w:r w:rsidR="009D645E">
        <w:t xml:space="preserve">, and his or her peers, and how he or she will prepare to live life independently and hopefully successfully. Emotional, cultural, financial, and religious socialization behavioral and communication messages for low-income housing families have serious implications for housing policy, non-profit agencies, as well as churches and deserve more study. </w:t>
      </w:r>
    </w:p>
    <w:p w14:paraId="00000039" w14:textId="61A73D87" w:rsidR="00893BCB" w:rsidRDefault="00893BCB">
      <w:pPr>
        <w:tabs>
          <w:tab w:val="right" w:pos="8640"/>
          <w:tab w:val="right" w:pos="8640"/>
        </w:tabs>
      </w:pPr>
    </w:p>
    <w:p w14:paraId="06ADF6D6" w14:textId="77777777" w:rsidR="009A18E6" w:rsidRDefault="009A18E6">
      <w:pPr>
        <w:tabs>
          <w:tab w:val="right" w:pos="8640"/>
          <w:tab w:val="right" w:pos="8640"/>
        </w:tabs>
      </w:pPr>
    </w:p>
    <w:p w14:paraId="58F5B40E" w14:textId="77777777" w:rsidR="009A18E6" w:rsidRDefault="009A18E6">
      <w:pPr>
        <w:tabs>
          <w:tab w:val="right" w:pos="8640"/>
          <w:tab w:val="right" w:pos="8640"/>
        </w:tabs>
      </w:pPr>
    </w:p>
    <w:p w14:paraId="33D122D4" w14:textId="77777777" w:rsidR="009A18E6" w:rsidRDefault="009A18E6">
      <w:pPr>
        <w:tabs>
          <w:tab w:val="right" w:pos="8640"/>
          <w:tab w:val="right" w:pos="8640"/>
        </w:tabs>
      </w:pPr>
    </w:p>
    <w:p w14:paraId="0CA920CB" w14:textId="77777777" w:rsidR="009A18E6" w:rsidRDefault="009A18E6">
      <w:pPr>
        <w:tabs>
          <w:tab w:val="right" w:pos="8640"/>
          <w:tab w:val="right" w:pos="8640"/>
        </w:tabs>
      </w:pPr>
    </w:p>
    <w:p w14:paraId="11449708" w14:textId="77777777" w:rsidR="009A18E6" w:rsidRDefault="009A18E6">
      <w:pPr>
        <w:tabs>
          <w:tab w:val="right" w:pos="8640"/>
          <w:tab w:val="right" w:pos="8640"/>
        </w:tabs>
      </w:pPr>
    </w:p>
    <w:p w14:paraId="5D593EFA" w14:textId="77777777" w:rsidR="009A18E6" w:rsidRDefault="009A18E6">
      <w:pPr>
        <w:tabs>
          <w:tab w:val="right" w:pos="8640"/>
          <w:tab w:val="right" w:pos="8640"/>
        </w:tabs>
      </w:pPr>
    </w:p>
    <w:p w14:paraId="64196395" w14:textId="77777777" w:rsidR="009A18E6" w:rsidRDefault="009A18E6">
      <w:pPr>
        <w:tabs>
          <w:tab w:val="right" w:pos="8640"/>
          <w:tab w:val="right" w:pos="8640"/>
        </w:tabs>
      </w:pPr>
    </w:p>
    <w:p w14:paraId="3559684C" w14:textId="77777777" w:rsidR="0000760D" w:rsidRDefault="0000760D">
      <w:pPr>
        <w:tabs>
          <w:tab w:val="right" w:pos="8640"/>
          <w:tab w:val="right" w:pos="8640"/>
        </w:tabs>
      </w:pPr>
    </w:p>
    <w:p w14:paraId="073FF21C" w14:textId="77777777" w:rsidR="0000760D" w:rsidRDefault="0000760D">
      <w:pPr>
        <w:tabs>
          <w:tab w:val="right" w:pos="8640"/>
          <w:tab w:val="right" w:pos="8640"/>
        </w:tabs>
      </w:pPr>
    </w:p>
    <w:p w14:paraId="68F79006" w14:textId="77777777" w:rsidR="0000760D" w:rsidRDefault="0000760D">
      <w:pPr>
        <w:tabs>
          <w:tab w:val="right" w:pos="8640"/>
          <w:tab w:val="right" w:pos="8640"/>
        </w:tabs>
      </w:pPr>
    </w:p>
    <w:p w14:paraId="65143417" w14:textId="77777777" w:rsidR="009A18E6" w:rsidRPr="00187A3E" w:rsidRDefault="009A18E6">
      <w:pPr>
        <w:tabs>
          <w:tab w:val="right" w:pos="8640"/>
          <w:tab w:val="right" w:pos="8640"/>
        </w:tabs>
      </w:pPr>
    </w:p>
    <w:p w14:paraId="0000003A" w14:textId="77777777" w:rsidR="00893BCB" w:rsidRPr="00187A3E" w:rsidRDefault="00000000">
      <w:pPr>
        <w:tabs>
          <w:tab w:val="right" w:pos="8640"/>
          <w:tab w:val="right" w:pos="8640"/>
        </w:tabs>
        <w:jc w:val="center"/>
      </w:pPr>
      <w:r w:rsidRPr="00187A3E">
        <w:t>WORKS CITED</w:t>
      </w:r>
    </w:p>
    <w:p w14:paraId="0000003B" w14:textId="77777777" w:rsidR="00893BCB" w:rsidRPr="00187A3E" w:rsidRDefault="00893BCB">
      <w:pPr>
        <w:pStyle w:val="Title"/>
        <w:tabs>
          <w:tab w:val="right" w:pos="8640"/>
          <w:tab w:val="right" w:pos="8640"/>
        </w:tabs>
        <w:spacing w:line="276" w:lineRule="auto"/>
        <w:jc w:val="left"/>
      </w:pPr>
    </w:p>
    <w:p w14:paraId="2B8FFEDE" w14:textId="601B233F" w:rsidR="00191123" w:rsidRPr="00187A3E" w:rsidRDefault="00191123" w:rsidP="00187A3E">
      <w:pPr>
        <w:pStyle w:val="Title"/>
        <w:tabs>
          <w:tab w:val="right" w:pos="8640"/>
          <w:tab w:val="right" w:pos="8640"/>
        </w:tabs>
        <w:ind w:left="720" w:hanging="720"/>
        <w:jc w:val="left"/>
      </w:pPr>
      <w:r w:rsidRPr="00187A3E">
        <w:rPr>
          <w:shd w:val="clear" w:color="auto" w:fill="FFFFFF"/>
        </w:rPr>
        <w:t>Annamaria, C., &amp; Atkin, A. L. (2022). Supporting children and youth in multiracial families in the United States: Racial-ethnic socialization and familial support of multiracial experiences.</w:t>
      </w:r>
      <w:r w:rsidRPr="00187A3E">
        <w:rPr>
          <w:i/>
          <w:iCs/>
          <w:shd w:val="clear" w:color="auto" w:fill="FFFFFF"/>
        </w:rPr>
        <w:t> Journal of Child and Family Studies, 31</w:t>
      </w:r>
      <w:r w:rsidRPr="00187A3E">
        <w:rPr>
          <w:shd w:val="clear" w:color="auto" w:fill="FFFFFF"/>
        </w:rPr>
        <w:t>(3), 664-674. https://doi.org/10.1007/s10826-022-02265-6</w:t>
      </w:r>
    </w:p>
    <w:p w14:paraId="0000003D" w14:textId="6FC0140E" w:rsidR="00893BCB" w:rsidRPr="00187A3E" w:rsidRDefault="00191123" w:rsidP="00187A3E">
      <w:pPr>
        <w:tabs>
          <w:tab w:val="right" w:pos="8640"/>
          <w:tab w:val="right" w:pos="8640"/>
        </w:tabs>
        <w:ind w:left="720" w:hanging="720"/>
        <w:rPr>
          <w:shd w:val="clear" w:color="auto" w:fill="FFFFFF"/>
        </w:rPr>
      </w:pPr>
      <w:r w:rsidRPr="00187A3E">
        <w:rPr>
          <w:shd w:val="clear" w:color="auto" w:fill="FFFFFF"/>
        </w:rPr>
        <w:t>Atkin, A. L., Jackson, K. F., White, R. M. B., &amp; Tran, A. G</w:t>
      </w:r>
      <w:proofErr w:type="gramStart"/>
      <w:r w:rsidRPr="00187A3E">
        <w:rPr>
          <w:shd w:val="clear" w:color="auto" w:fill="FFFFFF"/>
        </w:rPr>
        <w:t>. T</w:t>
      </w:r>
      <w:proofErr w:type="gramEnd"/>
      <w:r w:rsidRPr="00187A3E">
        <w:rPr>
          <w:shd w:val="clear" w:color="auto" w:fill="FFFFFF"/>
        </w:rPr>
        <w:t>. T. (2022). A qualitative examination of familial racial-ethnic socialization experiences among multiracial American emerging adults. </w:t>
      </w:r>
      <w:r w:rsidRPr="00187A3E">
        <w:rPr>
          <w:rStyle w:val="Emphasis"/>
          <w:shd w:val="clear" w:color="auto" w:fill="FFFFFF"/>
        </w:rPr>
        <w:t>Journal of Family Psychology, 36</w:t>
      </w:r>
      <w:r w:rsidRPr="00187A3E">
        <w:rPr>
          <w:shd w:val="clear" w:color="auto" w:fill="FFFFFF"/>
        </w:rPr>
        <w:t>(2), 179–190</w:t>
      </w:r>
      <w:r w:rsidR="00187A3E">
        <w:rPr>
          <w:shd w:val="clear" w:color="auto" w:fill="FFFFFF"/>
        </w:rPr>
        <w:t>.</w:t>
      </w:r>
    </w:p>
    <w:p w14:paraId="1CA19E7C" w14:textId="42DFB2C4" w:rsidR="00DB23E9" w:rsidRDefault="00DB23E9" w:rsidP="00187A3E">
      <w:pPr>
        <w:ind w:left="720" w:hanging="720"/>
        <w:rPr>
          <w:shd w:val="clear" w:color="auto" w:fill="FFFFFF"/>
        </w:rPr>
      </w:pPr>
      <w:r w:rsidRPr="00187A3E">
        <w:rPr>
          <w:shd w:val="clear" w:color="auto" w:fill="FFFFFF"/>
        </w:rPr>
        <w:t>Cooper, S. M., Banerjee, M., Charity, B. G., Ciara, S. G., Shaheed, J., McBride, M., &amp; Burnett, M. A. (2019). African American fathers’ race-related discussions with their children: Associations with racial identity beliefs and sociodemographic factors.</w:t>
      </w:r>
      <w:r w:rsidRPr="00187A3E">
        <w:rPr>
          <w:i/>
          <w:iCs/>
          <w:shd w:val="clear" w:color="auto" w:fill="FFFFFF"/>
        </w:rPr>
        <w:t> Journal of Child and Family Studies, 28</w:t>
      </w:r>
      <w:r w:rsidRPr="00187A3E">
        <w:rPr>
          <w:shd w:val="clear" w:color="auto" w:fill="FFFFFF"/>
        </w:rPr>
        <w:t xml:space="preserve">(10), 2800-2812. </w:t>
      </w:r>
      <w:hyperlink r:id="rId8" w:history="1">
        <w:r w:rsidR="0000760D" w:rsidRPr="00A01D84">
          <w:rPr>
            <w:rStyle w:val="Hyperlink"/>
            <w:shd w:val="clear" w:color="auto" w:fill="FFFFFF"/>
          </w:rPr>
          <w:t>https://doi.org/10.1007/s10826-019-01460-2</w:t>
        </w:r>
      </w:hyperlink>
    </w:p>
    <w:p w14:paraId="5BB92011" w14:textId="77777777" w:rsidR="0000760D" w:rsidRDefault="0000760D" w:rsidP="0000760D">
      <w:pPr>
        <w:tabs>
          <w:tab w:val="right" w:pos="8640"/>
        </w:tabs>
        <w:ind w:left="720" w:hanging="720"/>
      </w:pPr>
      <w:r w:rsidRPr="00900B56">
        <w:t xml:space="preserve">King James Bible, (2023). Kings James Bible Online. </w:t>
      </w:r>
      <w:hyperlink r:id="rId9" w:history="1">
        <w:r w:rsidRPr="00900B56">
          <w:rPr>
            <w:rStyle w:val="Hyperlink"/>
          </w:rPr>
          <w:t>https://www.kingjamesbibleonline.org/</w:t>
        </w:r>
      </w:hyperlink>
      <w:r w:rsidRPr="00900B56">
        <w:t xml:space="preserve"> (Original work published 1769)</w:t>
      </w:r>
    </w:p>
    <w:p w14:paraId="3D05A327" w14:textId="644F961A" w:rsidR="008729D8" w:rsidRPr="00187A3E" w:rsidRDefault="008729D8" w:rsidP="00187A3E">
      <w:pPr>
        <w:tabs>
          <w:tab w:val="right" w:pos="8640"/>
          <w:tab w:val="right" w:pos="8640"/>
        </w:tabs>
        <w:ind w:left="720" w:hanging="720"/>
        <w:rPr>
          <w:shd w:val="clear" w:color="auto" w:fill="FFFFFF"/>
        </w:rPr>
      </w:pPr>
      <w:r w:rsidRPr="00187A3E">
        <w:rPr>
          <w:shd w:val="clear" w:color="auto" w:fill="FFFFFF"/>
        </w:rPr>
        <w:t>Nieri, T., &amp; Huft, J. (2023). Contextual factors in ethnic-racial socialization in white families in the United States.</w:t>
      </w:r>
      <w:r w:rsidRPr="00187A3E">
        <w:rPr>
          <w:i/>
          <w:iCs/>
          <w:shd w:val="clear" w:color="auto" w:fill="FFFFFF"/>
        </w:rPr>
        <w:t> Societies, 13</w:t>
      </w:r>
      <w:r w:rsidRPr="00187A3E">
        <w:rPr>
          <w:shd w:val="clear" w:color="auto" w:fill="FFFFFF"/>
        </w:rPr>
        <w:t>(5), 114. https://doi.org/10.3390/soc13050114</w:t>
      </w:r>
    </w:p>
    <w:p w14:paraId="603AAF9D" w14:textId="10686B47" w:rsidR="00BC4475" w:rsidRPr="00187A3E" w:rsidRDefault="003C51E2" w:rsidP="00187A3E">
      <w:pPr>
        <w:tabs>
          <w:tab w:val="right" w:pos="8640"/>
          <w:tab w:val="right" w:pos="8640"/>
        </w:tabs>
        <w:ind w:left="720" w:hanging="720"/>
      </w:pPr>
      <w:r w:rsidRPr="00187A3E">
        <w:rPr>
          <w:shd w:val="clear" w:color="auto" w:fill="FFFFFF"/>
        </w:rPr>
        <w:t>Rapp, A. M., Tan, P. Z., Grammer, J. K., Gehring, W. J., Miller, G. A., &amp; Chavira, D. A. (2022). Cultural values influence relations between parent emotion socialization and adolescents’ neural responses to peer rejection.</w:t>
      </w:r>
      <w:r w:rsidRPr="00187A3E">
        <w:rPr>
          <w:i/>
          <w:iCs/>
          <w:shd w:val="clear" w:color="auto" w:fill="FFFFFF"/>
        </w:rPr>
        <w:t> Research on Child and Adolescent Psychopathology, 50</w:t>
      </w:r>
      <w:r w:rsidRPr="00187A3E">
        <w:rPr>
          <w:shd w:val="clear" w:color="auto" w:fill="FFFFFF"/>
        </w:rPr>
        <w:t>(2), 255-267. https://doi.org/10.1007/s10802-020-00764-y</w:t>
      </w:r>
    </w:p>
    <w:sectPr w:rsidR="00BC4475" w:rsidRPr="00187A3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B35A2" w14:textId="77777777" w:rsidR="00E95E21" w:rsidRDefault="00E95E21">
      <w:pPr>
        <w:spacing w:line="240" w:lineRule="auto"/>
      </w:pPr>
      <w:r>
        <w:separator/>
      </w:r>
    </w:p>
  </w:endnote>
  <w:endnote w:type="continuationSeparator" w:id="0">
    <w:p w14:paraId="489EDA76" w14:textId="77777777" w:rsidR="00E95E21" w:rsidRDefault="00E95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65997" w14:textId="77777777" w:rsidR="00E95E21" w:rsidRDefault="00E95E21">
      <w:pPr>
        <w:spacing w:line="240" w:lineRule="auto"/>
      </w:pPr>
      <w:r>
        <w:separator/>
      </w:r>
    </w:p>
  </w:footnote>
  <w:footnote w:type="continuationSeparator" w:id="0">
    <w:p w14:paraId="671B89F6" w14:textId="77777777" w:rsidR="00E95E21" w:rsidRDefault="00E95E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14CFC2E0" w:rsidR="00893BCB" w:rsidRDefault="00024C02">
    <w:pPr>
      <w:pBdr>
        <w:top w:val="nil"/>
        <w:left w:val="nil"/>
        <w:bottom w:val="nil"/>
        <w:right w:val="nil"/>
        <w:between w:val="nil"/>
      </w:pBdr>
      <w:tabs>
        <w:tab w:val="right" w:pos="8640"/>
        <w:tab w:val="right" w:pos="9360"/>
      </w:tabs>
      <w:ind w:firstLine="0"/>
      <w:rPr>
        <w:color w:val="000000"/>
      </w:rPr>
    </w:pPr>
    <w:r>
      <w:rPr>
        <w:sz w:val="20"/>
        <w:szCs w:val="20"/>
      </w:rPr>
      <w:t>Tamar Shaw</w:t>
    </w:r>
    <w:r w:rsidR="00000000">
      <w:rPr>
        <w:sz w:val="20"/>
        <w:szCs w:val="20"/>
      </w:rPr>
      <w:t>, Co</w:t>
    </w:r>
    <w:r>
      <w:rPr>
        <w:sz w:val="20"/>
        <w:szCs w:val="20"/>
      </w:rPr>
      <w:t>re</w:t>
    </w:r>
    <w:r w:rsidR="00000000">
      <w:rPr>
        <w:sz w:val="20"/>
        <w:szCs w:val="20"/>
      </w:rPr>
      <w:t xml:space="preserve"> #</w:t>
    </w:r>
    <w:r>
      <w:rPr>
        <w:sz w:val="20"/>
        <w:szCs w:val="20"/>
      </w:rPr>
      <w:t>4</w:t>
    </w:r>
    <w:r w:rsidR="00000000">
      <w:rPr>
        <w:sz w:val="20"/>
        <w:szCs w:val="20"/>
      </w:rPr>
      <w:t xml:space="preserve">, </w:t>
    </w:r>
    <w:r>
      <w:rPr>
        <w:sz w:val="20"/>
        <w:szCs w:val="20"/>
      </w:rPr>
      <w:t>COM 968-42</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3</w:t>
    </w:r>
    <w:r w:rsidR="00000000">
      <w:rPr>
        <w:sz w:val="20"/>
        <w:szCs w:val="20"/>
      </w:rPr>
      <w:t>, (</w:t>
    </w:r>
    <w:r>
      <w:rPr>
        <w:sz w:val="20"/>
        <w:szCs w:val="20"/>
      </w:rPr>
      <w:t>09</w:t>
    </w:r>
    <w:r w:rsidR="00000000">
      <w:rPr>
        <w:sz w:val="20"/>
        <w:szCs w:val="20"/>
      </w:rPr>
      <w:t>/</w:t>
    </w:r>
    <w:r>
      <w:rPr>
        <w:sz w:val="20"/>
        <w:szCs w:val="20"/>
      </w:rPr>
      <w:t>30</w:t>
    </w:r>
    <w:r w:rsidR="00000000">
      <w:rPr>
        <w:sz w:val="20"/>
        <w:szCs w:val="20"/>
      </w:rPr>
      <w:t>/</w:t>
    </w:r>
    <w:r>
      <w:rPr>
        <w:sz w:val="20"/>
        <w:szCs w:val="20"/>
      </w:rPr>
      <w:t>2023</w:t>
    </w:r>
    <w:r w:rsidR="00000000">
      <w:rPr>
        <w:sz w:val="20"/>
        <w:szCs w:val="20"/>
      </w:rPr>
      <w:t>)</w:t>
    </w:r>
    <w:r w:rsidR="00000000">
      <w:rPr>
        <w:color w:val="000000"/>
      </w:rPr>
      <w:t xml:space="preserve"> </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191123">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BCB"/>
    <w:rsid w:val="0000760D"/>
    <w:rsid w:val="00023E03"/>
    <w:rsid w:val="00024C02"/>
    <w:rsid w:val="00025853"/>
    <w:rsid w:val="000376B7"/>
    <w:rsid w:val="000504B5"/>
    <w:rsid w:val="0005777C"/>
    <w:rsid w:val="0007202D"/>
    <w:rsid w:val="000D3469"/>
    <w:rsid w:val="000D62C0"/>
    <w:rsid w:val="000E1B4B"/>
    <w:rsid w:val="00101BA1"/>
    <w:rsid w:val="0013029C"/>
    <w:rsid w:val="00150D3B"/>
    <w:rsid w:val="00174271"/>
    <w:rsid w:val="00187A3E"/>
    <w:rsid w:val="00191123"/>
    <w:rsid w:val="001A1E4E"/>
    <w:rsid w:val="001E0C75"/>
    <w:rsid w:val="002210AF"/>
    <w:rsid w:val="00225B5E"/>
    <w:rsid w:val="002C1C42"/>
    <w:rsid w:val="002D4499"/>
    <w:rsid w:val="002F400A"/>
    <w:rsid w:val="00333F8D"/>
    <w:rsid w:val="0038445D"/>
    <w:rsid w:val="00391F90"/>
    <w:rsid w:val="003C51E2"/>
    <w:rsid w:val="003C637A"/>
    <w:rsid w:val="003E7612"/>
    <w:rsid w:val="00443CF5"/>
    <w:rsid w:val="00450E92"/>
    <w:rsid w:val="00465FCA"/>
    <w:rsid w:val="00494CDD"/>
    <w:rsid w:val="005111BC"/>
    <w:rsid w:val="0055542A"/>
    <w:rsid w:val="00663268"/>
    <w:rsid w:val="006A3E48"/>
    <w:rsid w:val="006D1320"/>
    <w:rsid w:val="006D43E5"/>
    <w:rsid w:val="007166F9"/>
    <w:rsid w:val="007321E3"/>
    <w:rsid w:val="00743308"/>
    <w:rsid w:val="00852A92"/>
    <w:rsid w:val="008729D8"/>
    <w:rsid w:val="00893BCB"/>
    <w:rsid w:val="008C27C5"/>
    <w:rsid w:val="008E6341"/>
    <w:rsid w:val="00925315"/>
    <w:rsid w:val="00925C8E"/>
    <w:rsid w:val="00931703"/>
    <w:rsid w:val="009A18E6"/>
    <w:rsid w:val="009D1877"/>
    <w:rsid w:val="009D40C5"/>
    <w:rsid w:val="009D645E"/>
    <w:rsid w:val="00A22AF9"/>
    <w:rsid w:val="00A32AE1"/>
    <w:rsid w:val="00A34577"/>
    <w:rsid w:val="00A523C2"/>
    <w:rsid w:val="00A52C83"/>
    <w:rsid w:val="00AF0F1A"/>
    <w:rsid w:val="00B2465A"/>
    <w:rsid w:val="00B42810"/>
    <w:rsid w:val="00B51F6F"/>
    <w:rsid w:val="00B552C4"/>
    <w:rsid w:val="00B56040"/>
    <w:rsid w:val="00B62091"/>
    <w:rsid w:val="00B67E55"/>
    <w:rsid w:val="00BA1A5A"/>
    <w:rsid w:val="00BC4475"/>
    <w:rsid w:val="00BD660B"/>
    <w:rsid w:val="00BF63E2"/>
    <w:rsid w:val="00C43533"/>
    <w:rsid w:val="00C44C6F"/>
    <w:rsid w:val="00C779F3"/>
    <w:rsid w:val="00CE7031"/>
    <w:rsid w:val="00D15BE4"/>
    <w:rsid w:val="00D40706"/>
    <w:rsid w:val="00DB23E9"/>
    <w:rsid w:val="00E61FA6"/>
    <w:rsid w:val="00E62EDF"/>
    <w:rsid w:val="00E76C31"/>
    <w:rsid w:val="00E95E21"/>
    <w:rsid w:val="00EF4560"/>
    <w:rsid w:val="00F23B14"/>
    <w:rsid w:val="00FC3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B018"/>
  <w15:docId w15:val="{6E65C804-B39A-47C6-BA27-A1924DF9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it">
    <w:name w:val="hit"/>
    <w:basedOn w:val="DefaultParagraphFont"/>
    <w:rsid w:val="00191123"/>
  </w:style>
  <w:style w:type="character" w:styleId="Emphasis">
    <w:name w:val="Emphasis"/>
    <w:basedOn w:val="DefaultParagraphFont"/>
    <w:uiPriority w:val="20"/>
    <w:qFormat/>
    <w:rsid w:val="00191123"/>
    <w:rPr>
      <w:i/>
      <w:iCs/>
    </w:rPr>
  </w:style>
  <w:style w:type="table" w:styleId="TableGrid">
    <w:name w:val="Table Grid"/>
    <w:basedOn w:val="TableNormal"/>
    <w:uiPriority w:val="39"/>
    <w:rsid w:val="001742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B23E9"/>
    <w:pPr>
      <w:tabs>
        <w:tab w:val="clear" w:pos="8640"/>
      </w:tabs>
      <w:spacing w:line="240" w:lineRule="auto"/>
      <w:ind w:firstLine="0"/>
    </w:pPr>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DB23E9"/>
    <w:pPr>
      <w:ind w:left="720"/>
      <w:contextualSpacing/>
    </w:pPr>
  </w:style>
  <w:style w:type="character" w:styleId="UnresolvedMention">
    <w:name w:val="Unresolved Mention"/>
    <w:basedOn w:val="DefaultParagraphFont"/>
    <w:uiPriority w:val="99"/>
    <w:semiHidden/>
    <w:unhideWhenUsed/>
    <w:rsid w:val="00007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0826-019-0146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ingjamesbibl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0034A1-D3BA-49E3-9D99-33C607DD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13</Pages>
  <Words>3068</Words>
  <Characters>17549</Characters>
  <Application>Microsoft Office Word</Application>
  <DocSecurity>0</DocSecurity>
  <Lines>331</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 Shaw</cp:lastModifiedBy>
  <cp:revision>27</cp:revision>
  <dcterms:created xsi:type="dcterms:W3CDTF">2023-09-22T21:57:00Z</dcterms:created>
  <dcterms:modified xsi:type="dcterms:W3CDTF">2023-09-30T18:50:00Z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c3abbe92f9b0e93ff40ba8296c6f4311093a0e9c224fdc88df5a6910d9b34611</vt:lpwstr>
  </property>
</Properties>
</file>