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5680" w14:textId="0C63D820"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p>
    <w:p w14:paraId="17D7200E"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32F56B5D"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0C24A40F" w14:textId="6D66F48D"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t>Sociological Interventions to Overcome Insolvency in the</w:t>
      </w:r>
    </w:p>
    <w:p w14:paraId="74B67BAF" w14:textId="21C0B684"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t>U.S. Social Security Trust Funds, SSTF, 2034, and 2097</w:t>
      </w:r>
    </w:p>
    <w:p w14:paraId="17B3D72C"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1FF39851" w14:textId="77777777" w:rsid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7B3F4562"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19C707D1" w14:textId="7926B201"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t>SR 950-32: Clinical and Applied Sociology</w:t>
      </w:r>
    </w:p>
    <w:p w14:paraId="03839FD7" w14:textId="77777777"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t>(Fall 2023)</w:t>
      </w:r>
    </w:p>
    <w:p w14:paraId="6B97B672" w14:textId="77777777"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p>
    <w:p w14:paraId="37C16FD1" w14:textId="2EA77054"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 </w:t>
      </w:r>
    </w:p>
    <w:p w14:paraId="30DD0F75" w14:textId="77777777"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t>Peter Abraham Airewele</w:t>
      </w:r>
    </w:p>
    <w:p w14:paraId="2BA6D1AC" w14:textId="77777777"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t>Omega Graduate School</w:t>
      </w:r>
    </w:p>
    <w:p w14:paraId="39C688FA" w14:textId="77777777"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t>August 24, 2023</w:t>
      </w:r>
    </w:p>
    <w:p w14:paraId="1081C254"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49B9490F" w14:textId="77777777"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t>Professor:  Dr. Joshua Reichard</w:t>
      </w:r>
    </w:p>
    <w:p w14:paraId="64349645" w14:textId="77777777" w:rsidR="009D01B7" w:rsidRPr="009D01B7" w:rsidRDefault="009D01B7" w:rsidP="009D01B7">
      <w:pPr>
        <w:spacing w:after="0" w:line="480" w:lineRule="auto"/>
        <w:jc w:val="both"/>
        <w:rPr>
          <w:rFonts w:ascii="Times New Roman" w:eastAsia="Times New Roman" w:hAnsi="Times New Roman" w:cs="Times New Roman"/>
          <w:b/>
          <w:bCs/>
          <w:color w:val="0E101A"/>
          <w:kern w:val="0"/>
          <w:sz w:val="24"/>
          <w:szCs w:val="24"/>
          <w14:ligatures w14:val="none"/>
        </w:rPr>
      </w:pPr>
    </w:p>
    <w:p w14:paraId="5075BC64"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4FC934AC"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74F69D59"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 </w:t>
      </w:r>
    </w:p>
    <w:p w14:paraId="33FF4AA1"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63DEE085"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2796B4AC" w14:textId="77777777"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lastRenderedPageBreak/>
        <w:t>Assignment #1 – Core Essential Elements</w:t>
      </w:r>
    </w:p>
    <w:p w14:paraId="5B9DF7E2"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1. Select One (1) Core Essential Element from the Syllabus Outline:</w:t>
      </w:r>
    </w:p>
    <w:p w14:paraId="563B8B4B"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 Weekend Residency: Create a 350-word original discussion paper (with cited</w:t>
      </w:r>
    </w:p>
    <w:p w14:paraId="455B8F31"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sources) during the residency week. Be prepared to discuss and </w:t>
      </w:r>
      <w:proofErr w:type="gramStart"/>
      <w:r w:rsidRPr="009D01B7">
        <w:rPr>
          <w:rFonts w:ascii="Times New Roman" w:eastAsia="Times New Roman" w:hAnsi="Times New Roman" w:cs="Times New Roman"/>
          <w:color w:val="0E101A"/>
          <w:kern w:val="0"/>
          <w:sz w:val="24"/>
          <w:szCs w:val="24"/>
          <w14:ligatures w14:val="none"/>
        </w:rPr>
        <w:t>engage</w:t>
      </w:r>
      <w:proofErr w:type="gramEnd"/>
    </w:p>
    <w:p w14:paraId="6491278F"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with other students during the live sessions. Post this document in DIAL.</w:t>
      </w:r>
    </w:p>
    <w:p w14:paraId="2FA79435"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b. Professor will check for quality of content and word-count requirements. The grade</w:t>
      </w:r>
    </w:p>
    <w:p w14:paraId="4AED8760"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assigned will be Credit or No Credit (CR/NC).</w:t>
      </w:r>
    </w:p>
    <w:p w14:paraId="156F4AB7"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699203FA" w14:textId="77777777" w:rsidR="009D01B7" w:rsidRPr="009D01B7" w:rsidRDefault="009D01B7" w:rsidP="009D01B7">
      <w:pPr>
        <w:spacing w:after="0" w:line="480" w:lineRule="auto"/>
        <w:jc w:val="both"/>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t>Point of Note:</w:t>
      </w:r>
    </w:p>
    <w:p w14:paraId="21AF8230" w14:textId="5744FA35" w:rsidR="009D01B7" w:rsidRPr="009D01B7" w:rsidRDefault="009D01B7" w:rsidP="009D01B7">
      <w:pPr>
        <w:pStyle w:val="ListParagraph"/>
        <w:numPr>
          <w:ilvl w:val="0"/>
          <w:numId w:val="3"/>
        </w:num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Table 1 on page 3 is made available as an illustration to give the Professor or prospective readers a broad understanding of the data and information about the current financial solvency of the Social Security Trust Fund, SSTF, 2022 and 2023 reporting years.</w:t>
      </w:r>
    </w:p>
    <w:p w14:paraId="65222248" w14:textId="78E8F159" w:rsidR="009D01B7" w:rsidRPr="009D01B7" w:rsidRDefault="009D01B7" w:rsidP="009D01B7">
      <w:pPr>
        <w:pStyle w:val="ListParagraph"/>
        <w:numPr>
          <w:ilvl w:val="0"/>
          <w:numId w:val="3"/>
        </w:num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The Trust Fund Reserve, also called Social Security Trust Fund, SSTF Reserves</w:t>
      </w:r>
      <w:r w:rsidR="0079460D">
        <w:rPr>
          <w:rFonts w:ascii="Times New Roman" w:eastAsia="Times New Roman" w:hAnsi="Times New Roman" w:cs="Times New Roman"/>
          <w:color w:val="0E101A"/>
          <w:kern w:val="0"/>
          <w:sz w:val="24"/>
          <w:szCs w:val="24"/>
          <w14:ligatures w14:val="none"/>
        </w:rPr>
        <w:t xml:space="preserve"> are shown </w:t>
      </w:r>
      <w:r w:rsidRPr="009D01B7">
        <w:rPr>
          <w:rFonts w:ascii="Times New Roman" w:eastAsia="Times New Roman" w:hAnsi="Times New Roman" w:cs="Times New Roman"/>
          <w:color w:val="0E101A"/>
          <w:kern w:val="0"/>
          <w:sz w:val="24"/>
          <w:szCs w:val="24"/>
          <w14:ligatures w14:val="none"/>
        </w:rPr>
        <w:t xml:space="preserve">in lines 17 to 21 on Table 1, next page 3. </w:t>
      </w:r>
    </w:p>
    <w:p w14:paraId="698A22DC"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736831AD"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7F46BF4B"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58258D6A"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33AF0E60"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5DC73DCF" w14:textId="77777777" w:rsid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p>
    <w:p w14:paraId="12991469" w14:textId="77777777" w:rsidR="005D19FA" w:rsidRDefault="005D19FA" w:rsidP="009D01B7">
      <w:pPr>
        <w:spacing w:after="0" w:line="480" w:lineRule="auto"/>
        <w:jc w:val="both"/>
        <w:rPr>
          <w:rFonts w:ascii="Times New Roman" w:eastAsia="Times New Roman" w:hAnsi="Times New Roman" w:cs="Times New Roman"/>
          <w:color w:val="0E101A"/>
          <w:kern w:val="0"/>
          <w:sz w:val="24"/>
          <w:szCs w:val="24"/>
          <w14:ligatures w14:val="none"/>
        </w:rPr>
      </w:pPr>
    </w:p>
    <w:p w14:paraId="6F99CDA3" w14:textId="77777777" w:rsidR="00A149B1" w:rsidRPr="009D01B7" w:rsidRDefault="00A149B1" w:rsidP="009D01B7">
      <w:pPr>
        <w:spacing w:after="0" w:line="480" w:lineRule="auto"/>
        <w:jc w:val="both"/>
        <w:rPr>
          <w:rFonts w:ascii="Times New Roman" w:eastAsia="Times New Roman" w:hAnsi="Times New Roman" w:cs="Times New Roman"/>
          <w:color w:val="0E101A"/>
          <w:kern w:val="0"/>
          <w:sz w:val="24"/>
          <w:szCs w:val="24"/>
          <w14:ligatures w14:val="none"/>
        </w:rPr>
      </w:pPr>
    </w:p>
    <w:p w14:paraId="5A52A844" w14:textId="2B2EA279" w:rsid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lastRenderedPageBreak/>
        <w:t xml:space="preserve">                                                                                                                                            Table 1</w:t>
      </w:r>
    </w:p>
    <w:tbl>
      <w:tblPr>
        <w:tblW w:w="0" w:type="auto"/>
        <w:jc w:val="center"/>
        <w:shd w:val="clear" w:color="auto" w:fill="FFFFFF"/>
        <w:tblLook w:val="04A0" w:firstRow="1" w:lastRow="0" w:firstColumn="1" w:lastColumn="0" w:noHBand="0" w:noVBand="1"/>
      </w:tblPr>
      <w:tblGrid>
        <w:gridCol w:w="6930"/>
        <w:gridCol w:w="1003"/>
        <w:gridCol w:w="1427"/>
      </w:tblGrid>
      <w:tr w:rsidR="009D01B7" w:rsidRPr="001346D3" w14:paraId="50A4F967" w14:textId="77777777" w:rsidTr="00450B32">
        <w:trPr>
          <w:tblHeader/>
          <w:jc w:val="center"/>
        </w:trPr>
        <w:tc>
          <w:tcPr>
            <w:tcW w:w="9360" w:type="dxa"/>
            <w:gridSpan w:val="3"/>
            <w:shd w:val="clear" w:color="auto" w:fill="EEEEEE"/>
            <w:tcMar>
              <w:top w:w="30" w:type="dxa"/>
              <w:left w:w="45" w:type="dxa"/>
              <w:bottom w:w="30" w:type="dxa"/>
              <w:right w:w="45" w:type="dxa"/>
            </w:tcMar>
            <w:vAlign w:val="center"/>
            <w:hideMark/>
          </w:tcPr>
          <w:p w14:paraId="66E09445" w14:textId="77777777" w:rsidR="009D01B7" w:rsidRPr="005D19FA" w:rsidRDefault="009D01B7" w:rsidP="00450B32">
            <w:pPr>
              <w:pStyle w:val="NoSpacing"/>
              <w:jc w:val="center"/>
              <w:rPr>
                <w:rFonts w:ascii="Times New Roman" w:hAnsi="Times New Roman" w:cs="Times New Roman"/>
                <w:b/>
                <w:bCs/>
              </w:rPr>
            </w:pPr>
            <w:r w:rsidRPr="005D19FA">
              <w:rPr>
                <w:rFonts w:ascii="Times New Roman" w:hAnsi="Times New Roman" w:cs="Times New Roman"/>
                <w:b/>
                <w:bCs/>
              </w:rPr>
              <w:t>Comparison: Key Measures of Actuarial Status in the Social Security Trustees Reports</w:t>
            </w:r>
          </w:p>
        </w:tc>
      </w:tr>
      <w:tr w:rsidR="009D01B7" w:rsidRPr="001346D3" w14:paraId="343C123F" w14:textId="77777777" w:rsidTr="00450B32">
        <w:trPr>
          <w:tblHeader/>
          <w:jc w:val="center"/>
        </w:trPr>
        <w:tc>
          <w:tcPr>
            <w:tcW w:w="6930" w:type="dxa"/>
            <w:tcBorders>
              <w:top w:val="nil"/>
              <w:left w:val="single" w:sz="6" w:space="0" w:color="C0C0C0"/>
              <w:bottom w:val="single" w:sz="6" w:space="0" w:color="C0C0C0"/>
              <w:right w:val="single" w:sz="6" w:space="0" w:color="C0C0C0"/>
            </w:tcBorders>
            <w:shd w:val="clear" w:color="auto" w:fill="EEEEEE"/>
            <w:tcMar>
              <w:top w:w="30" w:type="dxa"/>
              <w:left w:w="45" w:type="dxa"/>
              <w:bottom w:w="30" w:type="dxa"/>
              <w:right w:w="45" w:type="dxa"/>
            </w:tcMar>
            <w:vAlign w:val="bottom"/>
            <w:hideMark/>
          </w:tcPr>
          <w:p w14:paraId="6400B231"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 </w:t>
            </w:r>
          </w:p>
        </w:tc>
        <w:tc>
          <w:tcPr>
            <w:tcW w:w="1003" w:type="dxa"/>
            <w:tcBorders>
              <w:top w:val="nil"/>
              <w:left w:val="single" w:sz="6" w:space="0" w:color="C0C0C0"/>
              <w:bottom w:val="single" w:sz="6" w:space="0" w:color="C0C0C0"/>
              <w:right w:val="single" w:sz="6" w:space="0" w:color="C0C0C0"/>
            </w:tcBorders>
            <w:shd w:val="clear" w:color="auto" w:fill="EEEEEE"/>
            <w:tcMar>
              <w:top w:w="30" w:type="dxa"/>
              <w:left w:w="45" w:type="dxa"/>
              <w:bottom w:w="30" w:type="dxa"/>
              <w:right w:w="45" w:type="dxa"/>
            </w:tcMar>
            <w:vAlign w:val="bottom"/>
            <w:hideMark/>
          </w:tcPr>
          <w:p w14:paraId="09C0F079"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2022 report</w:t>
            </w:r>
          </w:p>
        </w:tc>
        <w:tc>
          <w:tcPr>
            <w:tcW w:w="0" w:type="auto"/>
            <w:tcBorders>
              <w:top w:val="nil"/>
              <w:left w:val="single" w:sz="6" w:space="0" w:color="C0C0C0"/>
              <w:bottom w:val="single" w:sz="6" w:space="0" w:color="C0C0C0"/>
              <w:right w:val="single" w:sz="6" w:space="0" w:color="C0C0C0"/>
            </w:tcBorders>
            <w:shd w:val="clear" w:color="auto" w:fill="EEEEEE"/>
            <w:tcMar>
              <w:top w:w="30" w:type="dxa"/>
              <w:left w:w="45" w:type="dxa"/>
              <w:bottom w:w="30" w:type="dxa"/>
              <w:right w:w="45" w:type="dxa"/>
            </w:tcMar>
            <w:vAlign w:val="bottom"/>
            <w:hideMark/>
          </w:tcPr>
          <w:p w14:paraId="49D6104C"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2023 report</w:t>
            </w:r>
          </w:p>
        </w:tc>
      </w:tr>
      <w:tr w:rsidR="009D01B7" w:rsidRPr="001346D3" w14:paraId="12B863E7" w14:textId="77777777" w:rsidTr="00450B32">
        <w:trPr>
          <w:jc w:val="center"/>
        </w:trPr>
        <w:tc>
          <w:tcPr>
            <w:tcW w:w="6930" w:type="dxa"/>
            <w:shd w:val="clear" w:color="auto" w:fill="FFFFFF"/>
            <w:tcMar>
              <w:top w:w="30" w:type="dxa"/>
              <w:left w:w="45" w:type="dxa"/>
              <w:bottom w:w="30" w:type="dxa"/>
              <w:right w:w="45" w:type="dxa"/>
            </w:tcMar>
            <w:vAlign w:val="bottom"/>
            <w:hideMark/>
          </w:tcPr>
          <w:p w14:paraId="7F94BE2B"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75-year actuarial deficit</w:t>
            </w:r>
          </w:p>
        </w:tc>
        <w:tc>
          <w:tcPr>
            <w:tcW w:w="2430" w:type="dxa"/>
            <w:gridSpan w:val="2"/>
            <w:shd w:val="clear" w:color="auto" w:fill="FFFFFF"/>
            <w:tcMar>
              <w:top w:w="30" w:type="dxa"/>
              <w:left w:w="45" w:type="dxa"/>
              <w:bottom w:w="30" w:type="dxa"/>
              <w:right w:w="45" w:type="dxa"/>
            </w:tcMar>
            <w:vAlign w:val="bottom"/>
            <w:hideMark/>
          </w:tcPr>
          <w:p w14:paraId="08507C2C"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 </w:t>
            </w:r>
          </w:p>
        </w:tc>
      </w:tr>
      <w:tr w:rsidR="009D01B7" w:rsidRPr="001346D3" w14:paraId="1A0FD74A" w14:textId="77777777" w:rsidTr="00450B32">
        <w:trPr>
          <w:jc w:val="center"/>
        </w:trPr>
        <w:tc>
          <w:tcPr>
            <w:tcW w:w="6930" w:type="dxa"/>
            <w:shd w:val="clear" w:color="auto" w:fill="FFFFFF"/>
            <w:tcMar>
              <w:top w:w="30" w:type="dxa"/>
              <w:left w:w="45" w:type="dxa"/>
              <w:bottom w:w="30" w:type="dxa"/>
              <w:right w:w="45" w:type="dxa"/>
            </w:tcMar>
            <w:vAlign w:val="bottom"/>
            <w:hideMark/>
          </w:tcPr>
          <w:p w14:paraId="46DD4612"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As a percentage of taxable payroll</w:t>
            </w:r>
          </w:p>
        </w:tc>
        <w:tc>
          <w:tcPr>
            <w:tcW w:w="1003" w:type="dxa"/>
            <w:shd w:val="clear" w:color="auto" w:fill="FFFFFF"/>
            <w:tcMar>
              <w:top w:w="30" w:type="dxa"/>
              <w:left w:w="45" w:type="dxa"/>
              <w:bottom w:w="30" w:type="dxa"/>
              <w:right w:w="45" w:type="dxa"/>
            </w:tcMar>
            <w:vAlign w:val="bottom"/>
            <w:hideMark/>
          </w:tcPr>
          <w:p w14:paraId="31D60060"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3.42%</w:t>
            </w:r>
          </w:p>
        </w:tc>
        <w:tc>
          <w:tcPr>
            <w:tcW w:w="0" w:type="auto"/>
            <w:shd w:val="clear" w:color="auto" w:fill="FFFFFF"/>
            <w:tcMar>
              <w:top w:w="30" w:type="dxa"/>
              <w:left w:w="45" w:type="dxa"/>
              <w:bottom w:w="30" w:type="dxa"/>
              <w:right w:w="45" w:type="dxa"/>
            </w:tcMar>
            <w:vAlign w:val="bottom"/>
            <w:hideMark/>
          </w:tcPr>
          <w:p w14:paraId="79D92290"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3.61%</w:t>
            </w:r>
          </w:p>
        </w:tc>
      </w:tr>
      <w:tr w:rsidR="009D01B7" w:rsidRPr="001346D3" w14:paraId="3F54A847" w14:textId="77777777" w:rsidTr="00450B32">
        <w:trPr>
          <w:trHeight w:val="366"/>
          <w:jc w:val="center"/>
        </w:trPr>
        <w:tc>
          <w:tcPr>
            <w:tcW w:w="6930" w:type="dxa"/>
            <w:shd w:val="clear" w:color="auto" w:fill="FFFFFF"/>
            <w:tcMar>
              <w:top w:w="30" w:type="dxa"/>
              <w:left w:w="45" w:type="dxa"/>
              <w:bottom w:w="30" w:type="dxa"/>
              <w:right w:w="45" w:type="dxa"/>
            </w:tcMar>
            <w:vAlign w:val="bottom"/>
            <w:hideMark/>
          </w:tcPr>
          <w:p w14:paraId="6CC2F7CA"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As a percentage of GDP</w:t>
            </w:r>
          </w:p>
        </w:tc>
        <w:tc>
          <w:tcPr>
            <w:tcW w:w="1003" w:type="dxa"/>
            <w:shd w:val="clear" w:color="auto" w:fill="FFFFFF"/>
            <w:tcMar>
              <w:top w:w="30" w:type="dxa"/>
              <w:left w:w="45" w:type="dxa"/>
              <w:bottom w:w="30" w:type="dxa"/>
              <w:right w:w="45" w:type="dxa"/>
            </w:tcMar>
            <w:vAlign w:val="bottom"/>
            <w:hideMark/>
          </w:tcPr>
          <w:p w14:paraId="0EA8EC48"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1.2%</w:t>
            </w:r>
          </w:p>
        </w:tc>
        <w:tc>
          <w:tcPr>
            <w:tcW w:w="0" w:type="auto"/>
            <w:shd w:val="clear" w:color="auto" w:fill="FFFFFF"/>
            <w:tcMar>
              <w:top w:w="30" w:type="dxa"/>
              <w:left w:w="45" w:type="dxa"/>
              <w:bottom w:w="30" w:type="dxa"/>
              <w:right w:w="45" w:type="dxa"/>
            </w:tcMar>
            <w:vAlign w:val="bottom"/>
            <w:hideMark/>
          </w:tcPr>
          <w:p w14:paraId="017D4F37"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1.3%</w:t>
            </w:r>
          </w:p>
        </w:tc>
      </w:tr>
      <w:tr w:rsidR="009D01B7" w:rsidRPr="001346D3" w14:paraId="65AAA070" w14:textId="77777777" w:rsidTr="00450B32">
        <w:trPr>
          <w:jc w:val="center"/>
        </w:trPr>
        <w:tc>
          <w:tcPr>
            <w:tcW w:w="6930" w:type="dxa"/>
            <w:shd w:val="clear" w:color="auto" w:fill="FFFFFF"/>
            <w:tcMar>
              <w:top w:w="240" w:type="dxa"/>
              <w:left w:w="45" w:type="dxa"/>
              <w:bottom w:w="30" w:type="dxa"/>
              <w:right w:w="45" w:type="dxa"/>
            </w:tcMar>
            <w:vAlign w:val="bottom"/>
            <w:hideMark/>
          </w:tcPr>
          <w:p w14:paraId="2DC88795"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Income and outgo in the year prior to the reporting year (in billions)</w:t>
            </w:r>
          </w:p>
        </w:tc>
        <w:tc>
          <w:tcPr>
            <w:tcW w:w="2430" w:type="dxa"/>
            <w:gridSpan w:val="2"/>
            <w:shd w:val="clear" w:color="auto" w:fill="FFFFFF"/>
            <w:tcMar>
              <w:top w:w="240" w:type="dxa"/>
              <w:left w:w="45" w:type="dxa"/>
              <w:bottom w:w="30" w:type="dxa"/>
              <w:right w:w="45" w:type="dxa"/>
            </w:tcMar>
            <w:vAlign w:val="bottom"/>
            <w:hideMark/>
          </w:tcPr>
          <w:p w14:paraId="010631A1"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 </w:t>
            </w:r>
          </w:p>
        </w:tc>
      </w:tr>
      <w:tr w:rsidR="009D01B7" w:rsidRPr="001346D3" w14:paraId="4A79F338" w14:textId="77777777" w:rsidTr="00450B32">
        <w:trPr>
          <w:jc w:val="center"/>
        </w:trPr>
        <w:tc>
          <w:tcPr>
            <w:tcW w:w="6930" w:type="dxa"/>
            <w:shd w:val="clear" w:color="auto" w:fill="FFFFFF"/>
            <w:tcMar>
              <w:top w:w="30" w:type="dxa"/>
              <w:left w:w="45" w:type="dxa"/>
              <w:bottom w:w="30" w:type="dxa"/>
              <w:right w:w="45" w:type="dxa"/>
            </w:tcMar>
            <w:vAlign w:val="bottom"/>
            <w:hideMark/>
          </w:tcPr>
          <w:p w14:paraId="5DD9D64F"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Income</w:t>
            </w:r>
          </w:p>
        </w:tc>
        <w:tc>
          <w:tcPr>
            <w:tcW w:w="2430" w:type="dxa"/>
            <w:gridSpan w:val="2"/>
            <w:shd w:val="clear" w:color="auto" w:fill="FFFFFF"/>
            <w:tcMar>
              <w:top w:w="30" w:type="dxa"/>
              <w:left w:w="45" w:type="dxa"/>
              <w:bottom w:w="30" w:type="dxa"/>
              <w:right w:w="45" w:type="dxa"/>
            </w:tcMar>
            <w:vAlign w:val="bottom"/>
            <w:hideMark/>
          </w:tcPr>
          <w:p w14:paraId="08FF700A"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 </w:t>
            </w:r>
          </w:p>
        </w:tc>
      </w:tr>
      <w:tr w:rsidR="009D01B7" w:rsidRPr="001346D3" w14:paraId="1ACBDCE5" w14:textId="77777777" w:rsidTr="00450B32">
        <w:trPr>
          <w:jc w:val="center"/>
        </w:trPr>
        <w:tc>
          <w:tcPr>
            <w:tcW w:w="6930" w:type="dxa"/>
            <w:shd w:val="clear" w:color="auto" w:fill="FFFFFF"/>
            <w:tcMar>
              <w:top w:w="30" w:type="dxa"/>
              <w:left w:w="45" w:type="dxa"/>
              <w:bottom w:w="30" w:type="dxa"/>
              <w:right w:w="45" w:type="dxa"/>
            </w:tcMar>
            <w:vAlign w:val="bottom"/>
            <w:hideMark/>
          </w:tcPr>
          <w:p w14:paraId="43747F0A"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Total</w:t>
            </w:r>
          </w:p>
        </w:tc>
        <w:tc>
          <w:tcPr>
            <w:tcW w:w="1003" w:type="dxa"/>
            <w:shd w:val="clear" w:color="auto" w:fill="FFFFFF"/>
            <w:tcMar>
              <w:top w:w="30" w:type="dxa"/>
              <w:left w:w="45" w:type="dxa"/>
              <w:bottom w:w="30" w:type="dxa"/>
              <w:right w:w="45" w:type="dxa"/>
            </w:tcMar>
            <w:vAlign w:val="bottom"/>
            <w:hideMark/>
          </w:tcPr>
          <w:p w14:paraId="673A7859"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$1,088</w:t>
            </w:r>
          </w:p>
        </w:tc>
        <w:tc>
          <w:tcPr>
            <w:tcW w:w="0" w:type="auto"/>
            <w:shd w:val="clear" w:color="auto" w:fill="FFFFFF"/>
            <w:tcMar>
              <w:top w:w="30" w:type="dxa"/>
              <w:left w:w="45" w:type="dxa"/>
              <w:bottom w:w="30" w:type="dxa"/>
              <w:right w:w="45" w:type="dxa"/>
            </w:tcMar>
            <w:vAlign w:val="bottom"/>
            <w:hideMark/>
          </w:tcPr>
          <w:p w14:paraId="4927E6BE"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$1,222</w:t>
            </w:r>
          </w:p>
        </w:tc>
      </w:tr>
      <w:tr w:rsidR="009D01B7" w:rsidRPr="001346D3" w14:paraId="6B133791" w14:textId="77777777" w:rsidTr="00450B32">
        <w:trPr>
          <w:jc w:val="center"/>
        </w:trPr>
        <w:tc>
          <w:tcPr>
            <w:tcW w:w="6930" w:type="dxa"/>
            <w:shd w:val="clear" w:color="auto" w:fill="FFFFFF"/>
            <w:tcMar>
              <w:top w:w="30" w:type="dxa"/>
              <w:left w:w="45" w:type="dxa"/>
              <w:bottom w:w="30" w:type="dxa"/>
              <w:right w:w="45" w:type="dxa"/>
            </w:tcMar>
            <w:vAlign w:val="bottom"/>
            <w:hideMark/>
          </w:tcPr>
          <w:p w14:paraId="19E5F6D0"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Social Security contributions a</w:t>
            </w:r>
          </w:p>
        </w:tc>
        <w:tc>
          <w:tcPr>
            <w:tcW w:w="1003" w:type="dxa"/>
            <w:shd w:val="clear" w:color="auto" w:fill="FFFFFF"/>
            <w:tcMar>
              <w:top w:w="30" w:type="dxa"/>
              <w:left w:w="45" w:type="dxa"/>
              <w:bottom w:w="30" w:type="dxa"/>
              <w:right w:w="45" w:type="dxa"/>
            </w:tcMar>
            <w:vAlign w:val="bottom"/>
            <w:hideMark/>
          </w:tcPr>
          <w:p w14:paraId="263A5731"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$981</w:t>
            </w:r>
          </w:p>
        </w:tc>
        <w:tc>
          <w:tcPr>
            <w:tcW w:w="0" w:type="auto"/>
            <w:shd w:val="clear" w:color="auto" w:fill="FFFFFF"/>
            <w:tcMar>
              <w:top w:w="30" w:type="dxa"/>
              <w:left w:w="45" w:type="dxa"/>
              <w:bottom w:w="30" w:type="dxa"/>
              <w:right w:w="45" w:type="dxa"/>
            </w:tcMar>
            <w:vAlign w:val="bottom"/>
            <w:hideMark/>
          </w:tcPr>
          <w:p w14:paraId="272FAD2C"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$1,107</w:t>
            </w:r>
          </w:p>
        </w:tc>
      </w:tr>
      <w:tr w:rsidR="009D01B7" w:rsidRPr="001346D3" w14:paraId="20DD7E05" w14:textId="77777777" w:rsidTr="00450B32">
        <w:trPr>
          <w:jc w:val="center"/>
        </w:trPr>
        <w:tc>
          <w:tcPr>
            <w:tcW w:w="6930" w:type="dxa"/>
            <w:shd w:val="clear" w:color="auto" w:fill="ECFAFF"/>
            <w:tcMar>
              <w:top w:w="30" w:type="dxa"/>
              <w:left w:w="45" w:type="dxa"/>
              <w:bottom w:w="30" w:type="dxa"/>
              <w:right w:w="45" w:type="dxa"/>
            </w:tcMar>
            <w:vAlign w:val="bottom"/>
            <w:hideMark/>
          </w:tcPr>
          <w:p w14:paraId="5B47938F"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Income taxes on benefits</w:t>
            </w:r>
          </w:p>
        </w:tc>
        <w:tc>
          <w:tcPr>
            <w:tcW w:w="1003" w:type="dxa"/>
            <w:shd w:val="clear" w:color="auto" w:fill="ECFAFF"/>
            <w:tcMar>
              <w:top w:w="30" w:type="dxa"/>
              <w:left w:w="45" w:type="dxa"/>
              <w:bottom w:w="30" w:type="dxa"/>
              <w:right w:w="45" w:type="dxa"/>
            </w:tcMar>
            <w:vAlign w:val="bottom"/>
            <w:hideMark/>
          </w:tcPr>
          <w:p w14:paraId="63F4C5B7"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$38</w:t>
            </w:r>
          </w:p>
        </w:tc>
        <w:tc>
          <w:tcPr>
            <w:tcW w:w="0" w:type="auto"/>
            <w:shd w:val="clear" w:color="auto" w:fill="ECFAFF"/>
            <w:tcMar>
              <w:top w:w="30" w:type="dxa"/>
              <w:left w:w="45" w:type="dxa"/>
              <w:bottom w:w="30" w:type="dxa"/>
              <w:right w:w="45" w:type="dxa"/>
            </w:tcMar>
            <w:vAlign w:val="bottom"/>
            <w:hideMark/>
          </w:tcPr>
          <w:p w14:paraId="4051E57B"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$49</w:t>
            </w:r>
          </w:p>
        </w:tc>
      </w:tr>
      <w:tr w:rsidR="009D01B7" w:rsidRPr="001346D3" w14:paraId="227EC91C" w14:textId="77777777" w:rsidTr="00450B32">
        <w:trPr>
          <w:jc w:val="center"/>
        </w:trPr>
        <w:tc>
          <w:tcPr>
            <w:tcW w:w="6930" w:type="dxa"/>
            <w:shd w:val="clear" w:color="auto" w:fill="FFFFFF"/>
            <w:tcMar>
              <w:top w:w="30" w:type="dxa"/>
              <w:left w:w="45" w:type="dxa"/>
              <w:bottom w:w="30" w:type="dxa"/>
              <w:right w:w="45" w:type="dxa"/>
            </w:tcMar>
            <w:vAlign w:val="bottom"/>
            <w:hideMark/>
          </w:tcPr>
          <w:p w14:paraId="6C385397"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Interest</w:t>
            </w:r>
          </w:p>
        </w:tc>
        <w:tc>
          <w:tcPr>
            <w:tcW w:w="1003" w:type="dxa"/>
            <w:shd w:val="clear" w:color="auto" w:fill="FFFFFF"/>
            <w:tcMar>
              <w:top w:w="30" w:type="dxa"/>
              <w:left w:w="45" w:type="dxa"/>
              <w:bottom w:w="30" w:type="dxa"/>
              <w:right w:w="45" w:type="dxa"/>
            </w:tcMar>
            <w:vAlign w:val="bottom"/>
            <w:hideMark/>
          </w:tcPr>
          <w:p w14:paraId="47EBB686"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$70</w:t>
            </w:r>
          </w:p>
        </w:tc>
        <w:tc>
          <w:tcPr>
            <w:tcW w:w="0" w:type="auto"/>
            <w:shd w:val="clear" w:color="auto" w:fill="FFFFFF"/>
            <w:tcMar>
              <w:top w:w="30" w:type="dxa"/>
              <w:left w:w="45" w:type="dxa"/>
              <w:bottom w:w="30" w:type="dxa"/>
              <w:right w:w="45" w:type="dxa"/>
            </w:tcMar>
            <w:vAlign w:val="bottom"/>
            <w:hideMark/>
          </w:tcPr>
          <w:p w14:paraId="38C61776"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$66</w:t>
            </w:r>
          </w:p>
        </w:tc>
      </w:tr>
      <w:tr w:rsidR="009D01B7" w:rsidRPr="001346D3" w14:paraId="3BE8DE4E" w14:textId="77777777" w:rsidTr="00450B32">
        <w:trPr>
          <w:jc w:val="center"/>
        </w:trPr>
        <w:tc>
          <w:tcPr>
            <w:tcW w:w="6930" w:type="dxa"/>
            <w:shd w:val="clear" w:color="auto" w:fill="FFFFFF"/>
            <w:tcMar>
              <w:top w:w="30" w:type="dxa"/>
              <w:left w:w="45" w:type="dxa"/>
              <w:bottom w:w="30" w:type="dxa"/>
              <w:right w:w="45" w:type="dxa"/>
            </w:tcMar>
            <w:vAlign w:val="bottom"/>
            <w:hideMark/>
          </w:tcPr>
          <w:p w14:paraId="74F5F655"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Outgo</w:t>
            </w:r>
          </w:p>
        </w:tc>
        <w:tc>
          <w:tcPr>
            <w:tcW w:w="2430" w:type="dxa"/>
            <w:gridSpan w:val="2"/>
            <w:shd w:val="clear" w:color="auto" w:fill="FFFFFF"/>
            <w:tcMar>
              <w:top w:w="30" w:type="dxa"/>
              <w:left w:w="45" w:type="dxa"/>
              <w:bottom w:w="30" w:type="dxa"/>
              <w:right w:w="45" w:type="dxa"/>
            </w:tcMar>
            <w:vAlign w:val="bottom"/>
            <w:hideMark/>
          </w:tcPr>
          <w:p w14:paraId="1AF81FCE"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 </w:t>
            </w:r>
          </w:p>
        </w:tc>
      </w:tr>
      <w:tr w:rsidR="009D01B7" w:rsidRPr="001346D3" w14:paraId="24A5792A" w14:textId="77777777" w:rsidTr="00450B32">
        <w:trPr>
          <w:jc w:val="center"/>
        </w:trPr>
        <w:tc>
          <w:tcPr>
            <w:tcW w:w="6930" w:type="dxa"/>
            <w:shd w:val="clear" w:color="auto" w:fill="FFFFFF"/>
            <w:tcMar>
              <w:top w:w="30" w:type="dxa"/>
              <w:left w:w="45" w:type="dxa"/>
              <w:bottom w:w="30" w:type="dxa"/>
              <w:right w:w="45" w:type="dxa"/>
            </w:tcMar>
            <w:vAlign w:val="bottom"/>
            <w:hideMark/>
          </w:tcPr>
          <w:p w14:paraId="6FA52036"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Total</w:t>
            </w:r>
          </w:p>
        </w:tc>
        <w:tc>
          <w:tcPr>
            <w:tcW w:w="1003" w:type="dxa"/>
            <w:shd w:val="clear" w:color="auto" w:fill="FFFFFF"/>
            <w:tcMar>
              <w:top w:w="30" w:type="dxa"/>
              <w:left w:w="45" w:type="dxa"/>
              <w:bottom w:w="30" w:type="dxa"/>
              <w:right w:w="45" w:type="dxa"/>
            </w:tcMar>
            <w:vAlign w:val="bottom"/>
            <w:hideMark/>
          </w:tcPr>
          <w:p w14:paraId="2CD1BB91"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$1,145</w:t>
            </w:r>
          </w:p>
        </w:tc>
        <w:tc>
          <w:tcPr>
            <w:tcW w:w="0" w:type="auto"/>
            <w:shd w:val="clear" w:color="auto" w:fill="FFFFFF"/>
            <w:tcMar>
              <w:top w:w="30" w:type="dxa"/>
              <w:left w:w="45" w:type="dxa"/>
              <w:bottom w:w="30" w:type="dxa"/>
              <w:right w:w="45" w:type="dxa"/>
            </w:tcMar>
            <w:vAlign w:val="bottom"/>
            <w:hideMark/>
          </w:tcPr>
          <w:p w14:paraId="05157E93"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$1,244</w:t>
            </w:r>
          </w:p>
        </w:tc>
      </w:tr>
      <w:tr w:rsidR="009D01B7" w:rsidRPr="001346D3" w14:paraId="1C3C2634" w14:textId="77777777" w:rsidTr="00450B32">
        <w:trPr>
          <w:jc w:val="center"/>
        </w:trPr>
        <w:tc>
          <w:tcPr>
            <w:tcW w:w="6930" w:type="dxa"/>
            <w:shd w:val="clear" w:color="auto" w:fill="FFFFFF"/>
            <w:tcMar>
              <w:top w:w="30" w:type="dxa"/>
              <w:left w:w="45" w:type="dxa"/>
              <w:bottom w:w="30" w:type="dxa"/>
              <w:right w:w="45" w:type="dxa"/>
            </w:tcMar>
            <w:vAlign w:val="bottom"/>
            <w:hideMark/>
          </w:tcPr>
          <w:p w14:paraId="7B25F6BA"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Benefit payments b</w:t>
            </w:r>
          </w:p>
        </w:tc>
        <w:tc>
          <w:tcPr>
            <w:tcW w:w="1003" w:type="dxa"/>
            <w:shd w:val="clear" w:color="auto" w:fill="FFFFFF"/>
            <w:tcMar>
              <w:top w:w="30" w:type="dxa"/>
              <w:left w:w="45" w:type="dxa"/>
              <w:bottom w:w="30" w:type="dxa"/>
              <w:right w:w="45" w:type="dxa"/>
            </w:tcMar>
            <w:vAlign w:val="bottom"/>
            <w:hideMark/>
          </w:tcPr>
          <w:p w14:paraId="7A773FCB"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$1,138</w:t>
            </w:r>
          </w:p>
        </w:tc>
        <w:tc>
          <w:tcPr>
            <w:tcW w:w="0" w:type="auto"/>
            <w:shd w:val="clear" w:color="auto" w:fill="FFFFFF"/>
            <w:tcMar>
              <w:top w:w="30" w:type="dxa"/>
              <w:left w:w="45" w:type="dxa"/>
              <w:bottom w:w="30" w:type="dxa"/>
              <w:right w:w="45" w:type="dxa"/>
            </w:tcMar>
            <w:vAlign w:val="bottom"/>
            <w:hideMark/>
          </w:tcPr>
          <w:p w14:paraId="4BD74342"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$1,237</w:t>
            </w:r>
          </w:p>
        </w:tc>
      </w:tr>
      <w:tr w:rsidR="009D01B7" w:rsidRPr="001346D3" w14:paraId="762491EE" w14:textId="77777777" w:rsidTr="00450B32">
        <w:trPr>
          <w:jc w:val="center"/>
        </w:trPr>
        <w:tc>
          <w:tcPr>
            <w:tcW w:w="6930" w:type="dxa"/>
            <w:shd w:val="clear" w:color="auto" w:fill="FFFFFF"/>
            <w:tcMar>
              <w:top w:w="30" w:type="dxa"/>
              <w:left w:w="45" w:type="dxa"/>
              <w:bottom w:w="30" w:type="dxa"/>
              <w:right w:w="45" w:type="dxa"/>
            </w:tcMar>
            <w:vAlign w:val="bottom"/>
            <w:hideMark/>
          </w:tcPr>
          <w:p w14:paraId="4A924998"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Administration</w:t>
            </w:r>
          </w:p>
        </w:tc>
        <w:tc>
          <w:tcPr>
            <w:tcW w:w="1003" w:type="dxa"/>
            <w:shd w:val="clear" w:color="auto" w:fill="FFFFFF"/>
            <w:tcMar>
              <w:top w:w="30" w:type="dxa"/>
              <w:left w:w="45" w:type="dxa"/>
              <w:bottom w:w="30" w:type="dxa"/>
              <w:right w:w="45" w:type="dxa"/>
            </w:tcMar>
            <w:vAlign w:val="bottom"/>
            <w:hideMark/>
          </w:tcPr>
          <w:p w14:paraId="691E289A"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$6</w:t>
            </w:r>
          </w:p>
        </w:tc>
        <w:tc>
          <w:tcPr>
            <w:tcW w:w="0" w:type="auto"/>
            <w:shd w:val="clear" w:color="auto" w:fill="FFFFFF"/>
            <w:tcMar>
              <w:top w:w="30" w:type="dxa"/>
              <w:left w:w="45" w:type="dxa"/>
              <w:bottom w:w="30" w:type="dxa"/>
              <w:right w:w="45" w:type="dxa"/>
            </w:tcMar>
            <w:vAlign w:val="bottom"/>
            <w:hideMark/>
          </w:tcPr>
          <w:p w14:paraId="45089AB9"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$7</w:t>
            </w:r>
          </w:p>
        </w:tc>
      </w:tr>
      <w:tr w:rsidR="009D01B7" w:rsidRPr="001346D3" w14:paraId="5DCD289D" w14:textId="77777777" w:rsidTr="00450B32">
        <w:trPr>
          <w:jc w:val="center"/>
        </w:trPr>
        <w:tc>
          <w:tcPr>
            <w:tcW w:w="6930" w:type="dxa"/>
            <w:shd w:val="clear" w:color="auto" w:fill="FFFFFF"/>
            <w:tcMar>
              <w:top w:w="30" w:type="dxa"/>
              <w:left w:w="45" w:type="dxa"/>
              <w:bottom w:w="30" w:type="dxa"/>
              <w:right w:w="45" w:type="dxa"/>
            </w:tcMar>
            <w:vAlign w:val="bottom"/>
            <w:hideMark/>
          </w:tcPr>
          <w:p w14:paraId="73FF58C9"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The net change in assets</w:t>
            </w:r>
          </w:p>
        </w:tc>
        <w:tc>
          <w:tcPr>
            <w:tcW w:w="1003" w:type="dxa"/>
            <w:shd w:val="clear" w:color="auto" w:fill="FFFFFF"/>
            <w:tcMar>
              <w:top w:w="30" w:type="dxa"/>
              <w:left w:w="45" w:type="dxa"/>
              <w:bottom w:w="30" w:type="dxa"/>
              <w:right w:w="45" w:type="dxa"/>
            </w:tcMar>
            <w:vAlign w:val="bottom"/>
            <w:hideMark/>
          </w:tcPr>
          <w:p w14:paraId="25FE04A4"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−$56</w:t>
            </w:r>
          </w:p>
        </w:tc>
        <w:tc>
          <w:tcPr>
            <w:tcW w:w="0" w:type="auto"/>
            <w:shd w:val="clear" w:color="auto" w:fill="FFFFFF"/>
            <w:tcMar>
              <w:top w:w="30" w:type="dxa"/>
              <w:left w:w="45" w:type="dxa"/>
              <w:bottom w:w="30" w:type="dxa"/>
              <w:right w:w="45" w:type="dxa"/>
            </w:tcMar>
            <w:vAlign w:val="bottom"/>
            <w:hideMark/>
          </w:tcPr>
          <w:p w14:paraId="1D04D787"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−$22</w:t>
            </w:r>
          </w:p>
        </w:tc>
      </w:tr>
      <w:tr w:rsidR="009D01B7" w:rsidRPr="001346D3" w14:paraId="47F35758" w14:textId="77777777" w:rsidTr="00450B32">
        <w:trPr>
          <w:jc w:val="center"/>
        </w:trPr>
        <w:tc>
          <w:tcPr>
            <w:tcW w:w="6930" w:type="dxa"/>
            <w:shd w:val="clear" w:color="auto" w:fill="FFFFFF"/>
            <w:tcMar>
              <w:top w:w="240" w:type="dxa"/>
              <w:left w:w="45" w:type="dxa"/>
              <w:bottom w:w="30" w:type="dxa"/>
              <w:right w:w="45" w:type="dxa"/>
            </w:tcMar>
            <w:vAlign w:val="bottom"/>
            <w:hideMark/>
          </w:tcPr>
          <w:p w14:paraId="229BEF52"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Trust fund reserves</w:t>
            </w:r>
          </w:p>
        </w:tc>
        <w:tc>
          <w:tcPr>
            <w:tcW w:w="2430" w:type="dxa"/>
            <w:gridSpan w:val="2"/>
            <w:shd w:val="clear" w:color="auto" w:fill="FFFFFF"/>
            <w:tcMar>
              <w:top w:w="240" w:type="dxa"/>
              <w:left w:w="45" w:type="dxa"/>
              <w:bottom w:w="30" w:type="dxa"/>
              <w:right w:w="45" w:type="dxa"/>
            </w:tcMar>
            <w:vAlign w:val="bottom"/>
            <w:hideMark/>
          </w:tcPr>
          <w:p w14:paraId="5338DFED"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 </w:t>
            </w:r>
          </w:p>
        </w:tc>
      </w:tr>
      <w:tr w:rsidR="009D01B7" w:rsidRPr="001346D3" w14:paraId="0F9B5368" w14:textId="77777777" w:rsidTr="00450B32">
        <w:trPr>
          <w:jc w:val="center"/>
        </w:trPr>
        <w:tc>
          <w:tcPr>
            <w:tcW w:w="6930" w:type="dxa"/>
            <w:shd w:val="clear" w:color="auto" w:fill="FFFFFF"/>
            <w:tcMar>
              <w:top w:w="30" w:type="dxa"/>
              <w:left w:w="45" w:type="dxa"/>
              <w:bottom w:w="30" w:type="dxa"/>
              <w:right w:w="45" w:type="dxa"/>
            </w:tcMar>
            <w:vAlign w:val="bottom"/>
            <w:hideMark/>
          </w:tcPr>
          <w:p w14:paraId="5D6AB969"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Amount at the beginning of the reporting year (in billions)</w:t>
            </w:r>
          </w:p>
        </w:tc>
        <w:tc>
          <w:tcPr>
            <w:tcW w:w="1003" w:type="dxa"/>
            <w:shd w:val="clear" w:color="auto" w:fill="FFFFFF"/>
            <w:tcMar>
              <w:top w:w="30" w:type="dxa"/>
              <w:left w:w="45" w:type="dxa"/>
              <w:bottom w:w="30" w:type="dxa"/>
              <w:right w:w="45" w:type="dxa"/>
            </w:tcMar>
            <w:vAlign w:val="bottom"/>
            <w:hideMark/>
          </w:tcPr>
          <w:p w14:paraId="6257E74E"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$2,852</w:t>
            </w:r>
          </w:p>
        </w:tc>
        <w:tc>
          <w:tcPr>
            <w:tcW w:w="0" w:type="auto"/>
            <w:shd w:val="clear" w:color="auto" w:fill="FFFFFF"/>
            <w:tcMar>
              <w:top w:w="30" w:type="dxa"/>
              <w:left w:w="45" w:type="dxa"/>
              <w:bottom w:w="30" w:type="dxa"/>
              <w:right w:w="45" w:type="dxa"/>
            </w:tcMar>
            <w:vAlign w:val="bottom"/>
            <w:hideMark/>
          </w:tcPr>
          <w:p w14:paraId="61518655"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$2,830</w:t>
            </w:r>
          </w:p>
        </w:tc>
      </w:tr>
      <w:tr w:rsidR="009D01B7" w:rsidRPr="001346D3" w14:paraId="1CE2553E" w14:textId="77777777" w:rsidTr="00450B32">
        <w:trPr>
          <w:jc w:val="center"/>
        </w:trPr>
        <w:tc>
          <w:tcPr>
            <w:tcW w:w="6930" w:type="dxa"/>
            <w:shd w:val="clear" w:color="auto" w:fill="FFFFFF"/>
            <w:tcMar>
              <w:top w:w="30" w:type="dxa"/>
              <w:left w:w="45" w:type="dxa"/>
              <w:bottom w:w="30" w:type="dxa"/>
              <w:right w:w="45" w:type="dxa"/>
            </w:tcMar>
            <w:vAlign w:val="bottom"/>
            <w:hideMark/>
          </w:tcPr>
          <w:p w14:paraId="54DB7F2B"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Amount at the beginning of report year (as a percentage of report year outgo)</w:t>
            </w:r>
          </w:p>
        </w:tc>
        <w:tc>
          <w:tcPr>
            <w:tcW w:w="1003" w:type="dxa"/>
            <w:shd w:val="clear" w:color="auto" w:fill="FFFFFF"/>
            <w:tcMar>
              <w:top w:w="30" w:type="dxa"/>
              <w:left w:w="45" w:type="dxa"/>
              <w:bottom w:w="30" w:type="dxa"/>
              <w:right w:w="45" w:type="dxa"/>
            </w:tcMar>
            <w:vAlign w:val="bottom"/>
            <w:hideMark/>
          </w:tcPr>
          <w:p w14:paraId="03AA6BEB"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230%</w:t>
            </w:r>
          </w:p>
        </w:tc>
        <w:tc>
          <w:tcPr>
            <w:tcW w:w="0" w:type="auto"/>
            <w:shd w:val="clear" w:color="auto" w:fill="FFFFFF"/>
            <w:tcMar>
              <w:top w:w="30" w:type="dxa"/>
              <w:left w:w="45" w:type="dxa"/>
              <w:bottom w:w="30" w:type="dxa"/>
              <w:right w:w="45" w:type="dxa"/>
            </w:tcMar>
            <w:vAlign w:val="bottom"/>
            <w:hideMark/>
          </w:tcPr>
          <w:p w14:paraId="3BFABAF0"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204%</w:t>
            </w:r>
          </w:p>
        </w:tc>
      </w:tr>
      <w:tr w:rsidR="009D01B7" w:rsidRPr="001346D3" w14:paraId="13C42C85" w14:textId="77777777" w:rsidTr="00450B32">
        <w:trPr>
          <w:jc w:val="center"/>
        </w:trPr>
        <w:tc>
          <w:tcPr>
            <w:tcW w:w="6930" w:type="dxa"/>
            <w:shd w:val="clear" w:color="auto" w:fill="FFFFFF"/>
            <w:tcMar>
              <w:top w:w="30" w:type="dxa"/>
              <w:left w:w="45" w:type="dxa"/>
              <w:bottom w:w="30" w:type="dxa"/>
              <w:right w:w="45" w:type="dxa"/>
            </w:tcMar>
            <w:vAlign w:val="bottom"/>
            <w:hideMark/>
          </w:tcPr>
          <w:p w14:paraId="31ECED03"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Projected year of peak trust fund reserves c</w:t>
            </w:r>
          </w:p>
        </w:tc>
        <w:tc>
          <w:tcPr>
            <w:tcW w:w="1003" w:type="dxa"/>
            <w:shd w:val="clear" w:color="auto" w:fill="FFFFFF"/>
            <w:tcMar>
              <w:top w:w="30" w:type="dxa"/>
              <w:left w:w="45" w:type="dxa"/>
              <w:bottom w:w="30" w:type="dxa"/>
              <w:right w:w="45" w:type="dxa"/>
            </w:tcMar>
            <w:vAlign w:val="bottom"/>
            <w:hideMark/>
          </w:tcPr>
          <w:p w14:paraId="694D5C7C"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2022</w:t>
            </w:r>
          </w:p>
        </w:tc>
        <w:tc>
          <w:tcPr>
            <w:tcW w:w="0" w:type="auto"/>
            <w:shd w:val="clear" w:color="auto" w:fill="FFFFFF"/>
            <w:tcMar>
              <w:top w:w="30" w:type="dxa"/>
              <w:left w:w="45" w:type="dxa"/>
              <w:bottom w:w="30" w:type="dxa"/>
              <w:right w:w="45" w:type="dxa"/>
            </w:tcMar>
            <w:vAlign w:val="bottom"/>
            <w:hideMark/>
          </w:tcPr>
          <w:p w14:paraId="57E1FD6D"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2023</w:t>
            </w:r>
          </w:p>
        </w:tc>
      </w:tr>
      <w:tr w:rsidR="009D01B7" w:rsidRPr="001346D3" w14:paraId="5FA2C906" w14:textId="77777777" w:rsidTr="00450B32">
        <w:trPr>
          <w:jc w:val="center"/>
        </w:trPr>
        <w:tc>
          <w:tcPr>
            <w:tcW w:w="6930" w:type="dxa"/>
            <w:shd w:val="clear" w:color="auto" w:fill="FFFFFF"/>
            <w:tcMar>
              <w:top w:w="30" w:type="dxa"/>
              <w:left w:w="45" w:type="dxa"/>
              <w:bottom w:w="30" w:type="dxa"/>
              <w:right w:w="45" w:type="dxa"/>
            </w:tcMar>
            <w:vAlign w:val="bottom"/>
            <w:hideMark/>
          </w:tcPr>
          <w:p w14:paraId="67ECAFB3"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Amount at end of peak year (in billions)</w:t>
            </w:r>
          </w:p>
        </w:tc>
        <w:tc>
          <w:tcPr>
            <w:tcW w:w="1003" w:type="dxa"/>
            <w:shd w:val="clear" w:color="auto" w:fill="FFFFFF"/>
            <w:tcMar>
              <w:top w:w="30" w:type="dxa"/>
              <w:left w:w="45" w:type="dxa"/>
              <w:bottom w:w="30" w:type="dxa"/>
              <w:right w:w="45" w:type="dxa"/>
            </w:tcMar>
            <w:vAlign w:val="bottom"/>
            <w:hideMark/>
          </w:tcPr>
          <w:p w14:paraId="7E1D4781"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$2,805</w:t>
            </w:r>
          </w:p>
        </w:tc>
        <w:tc>
          <w:tcPr>
            <w:tcW w:w="0" w:type="auto"/>
            <w:shd w:val="clear" w:color="auto" w:fill="FFFFFF"/>
            <w:tcMar>
              <w:top w:w="30" w:type="dxa"/>
              <w:left w:w="45" w:type="dxa"/>
              <w:bottom w:w="30" w:type="dxa"/>
              <w:right w:w="45" w:type="dxa"/>
            </w:tcMar>
            <w:vAlign w:val="bottom"/>
            <w:hideMark/>
          </w:tcPr>
          <w:p w14:paraId="444D2C21" w14:textId="77777777" w:rsidR="009D01B7" w:rsidRPr="009D01B7" w:rsidRDefault="009D01B7" w:rsidP="00450B32">
            <w:pPr>
              <w:pStyle w:val="NoSpacing"/>
              <w:rPr>
                <w:rFonts w:ascii="Times New Roman" w:hAnsi="Times New Roman" w:cs="Times New Roman"/>
                <w:b/>
                <w:bCs/>
                <w:sz w:val="18"/>
                <w:szCs w:val="18"/>
              </w:rPr>
            </w:pPr>
            <w:r w:rsidRPr="009D01B7">
              <w:rPr>
                <w:rFonts w:ascii="Times New Roman" w:hAnsi="Times New Roman" w:cs="Times New Roman"/>
                <w:b/>
                <w:bCs/>
                <w:sz w:val="18"/>
                <w:szCs w:val="18"/>
              </w:rPr>
              <w:t>$2,777</w:t>
            </w:r>
          </w:p>
        </w:tc>
      </w:tr>
      <w:tr w:rsidR="009D01B7" w:rsidRPr="001346D3" w14:paraId="38F9C5FD" w14:textId="77777777" w:rsidTr="00450B32">
        <w:trPr>
          <w:jc w:val="center"/>
        </w:trPr>
        <w:tc>
          <w:tcPr>
            <w:tcW w:w="6930" w:type="dxa"/>
            <w:shd w:val="clear" w:color="auto" w:fill="FFFFFF"/>
            <w:tcMar>
              <w:top w:w="240" w:type="dxa"/>
              <w:left w:w="45" w:type="dxa"/>
              <w:bottom w:w="30" w:type="dxa"/>
              <w:right w:w="45" w:type="dxa"/>
            </w:tcMar>
            <w:vAlign w:val="bottom"/>
            <w:hideMark/>
          </w:tcPr>
          <w:p w14:paraId="0306DF9F"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Year of trust fund depletion</w:t>
            </w:r>
          </w:p>
        </w:tc>
        <w:tc>
          <w:tcPr>
            <w:tcW w:w="2430" w:type="dxa"/>
            <w:gridSpan w:val="2"/>
            <w:shd w:val="clear" w:color="auto" w:fill="FFFFFF"/>
            <w:tcMar>
              <w:top w:w="240" w:type="dxa"/>
              <w:left w:w="45" w:type="dxa"/>
              <w:bottom w:w="30" w:type="dxa"/>
              <w:right w:w="45" w:type="dxa"/>
            </w:tcMar>
            <w:vAlign w:val="bottom"/>
            <w:hideMark/>
          </w:tcPr>
          <w:p w14:paraId="39BD9494" w14:textId="77777777" w:rsidR="009D01B7" w:rsidRPr="009D01B7" w:rsidRDefault="009D01B7" w:rsidP="00450B32">
            <w:pPr>
              <w:pStyle w:val="NoSpacing"/>
              <w:rPr>
                <w:rFonts w:ascii="Times New Roman" w:hAnsi="Times New Roman" w:cs="Times New Roman"/>
                <w:sz w:val="18"/>
                <w:szCs w:val="18"/>
              </w:rPr>
            </w:pPr>
          </w:p>
        </w:tc>
      </w:tr>
      <w:tr w:rsidR="009D01B7" w:rsidRPr="001346D3" w14:paraId="7173FAD0" w14:textId="77777777" w:rsidTr="00450B32">
        <w:trPr>
          <w:jc w:val="center"/>
        </w:trPr>
        <w:tc>
          <w:tcPr>
            <w:tcW w:w="6930" w:type="dxa"/>
            <w:shd w:val="clear" w:color="auto" w:fill="FFFFFF"/>
            <w:tcMar>
              <w:top w:w="30" w:type="dxa"/>
              <w:left w:w="45" w:type="dxa"/>
              <w:bottom w:w="30" w:type="dxa"/>
              <w:right w:w="45" w:type="dxa"/>
            </w:tcMar>
            <w:vAlign w:val="bottom"/>
            <w:hideMark/>
          </w:tcPr>
          <w:p w14:paraId="612D4BAE"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OASDI</w:t>
            </w:r>
          </w:p>
        </w:tc>
        <w:tc>
          <w:tcPr>
            <w:tcW w:w="1003" w:type="dxa"/>
            <w:shd w:val="clear" w:color="auto" w:fill="FFFFFF"/>
            <w:tcMar>
              <w:top w:w="30" w:type="dxa"/>
              <w:left w:w="45" w:type="dxa"/>
              <w:bottom w:w="30" w:type="dxa"/>
              <w:right w:w="45" w:type="dxa"/>
            </w:tcMar>
            <w:vAlign w:val="bottom"/>
            <w:hideMark/>
          </w:tcPr>
          <w:p w14:paraId="21BD4B13"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2035</w:t>
            </w:r>
          </w:p>
        </w:tc>
        <w:tc>
          <w:tcPr>
            <w:tcW w:w="1427" w:type="dxa"/>
            <w:shd w:val="clear" w:color="auto" w:fill="FFFFFF"/>
            <w:tcMar>
              <w:top w:w="30" w:type="dxa"/>
              <w:left w:w="45" w:type="dxa"/>
              <w:bottom w:w="30" w:type="dxa"/>
              <w:right w:w="45" w:type="dxa"/>
            </w:tcMar>
            <w:vAlign w:val="bottom"/>
            <w:hideMark/>
          </w:tcPr>
          <w:p w14:paraId="75F5CADA"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2034</w:t>
            </w:r>
          </w:p>
        </w:tc>
      </w:tr>
      <w:tr w:rsidR="009D01B7" w:rsidRPr="001346D3" w14:paraId="66F95F8D" w14:textId="77777777" w:rsidTr="00450B32">
        <w:trPr>
          <w:jc w:val="center"/>
        </w:trPr>
        <w:tc>
          <w:tcPr>
            <w:tcW w:w="6930" w:type="dxa"/>
            <w:shd w:val="clear" w:color="auto" w:fill="FFFFFF"/>
            <w:tcMar>
              <w:top w:w="30" w:type="dxa"/>
              <w:left w:w="45" w:type="dxa"/>
              <w:bottom w:w="30" w:type="dxa"/>
              <w:right w:w="45" w:type="dxa"/>
            </w:tcMar>
            <w:vAlign w:val="bottom"/>
            <w:hideMark/>
          </w:tcPr>
          <w:p w14:paraId="0969F3E1"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OASI</w:t>
            </w:r>
          </w:p>
        </w:tc>
        <w:tc>
          <w:tcPr>
            <w:tcW w:w="1003" w:type="dxa"/>
            <w:shd w:val="clear" w:color="auto" w:fill="FFFFFF"/>
            <w:tcMar>
              <w:top w:w="30" w:type="dxa"/>
              <w:left w:w="45" w:type="dxa"/>
              <w:bottom w:w="30" w:type="dxa"/>
              <w:right w:w="45" w:type="dxa"/>
            </w:tcMar>
            <w:vAlign w:val="bottom"/>
            <w:hideMark/>
          </w:tcPr>
          <w:p w14:paraId="40BDAB05"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2034</w:t>
            </w:r>
          </w:p>
        </w:tc>
        <w:tc>
          <w:tcPr>
            <w:tcW w:w="1427" w:type="dxa"/>
            <w:shd w:val="clear" w:color="auto" w:fill="FFFFFF"/>
            <w:tcMar>
              <w:top w:w="30" w:type="dxa"/>
              <w:left w:w="45" w:type="dxa"/>
              <w:bottom w:w="30" w:type="dxa"/>
              <w:right w:w="45" w:type="dxa"/>
            </w:tcMar>
            <w:vAlign w:val="bottom"/>
            <w:hideMark/>
          </w:tcPr>
          <w:p w14:paraId="4756C611"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2033</w:t>
            </w:r>
          </w:p>
        </w:tc>
      </w:tr>
      <w:tr w:rsidR="009D01B7" w:rsidRPr="001346D3" w14:paraId="61F110C9" w14:textId="77777777" w:rsidTr="00450B32">
        <w:trPr>
          <w:jc w:val="center"/>
        </w:trPr>
        <w:tc>
          <w:tcPr>
            <w:tcW w:w="6930" w:type="dxa"/>
            <w:shd w:val="clear" w:color="auto" w:fill="FFFFFF"/>
            <w:tcMar>
              <w:top w:w="30" w:type="dxa"/>
              <w:left w:w="45" w:type="dxa"/>
              <w:bottom w:w="30" w:type="dxa"/>
              <w:right w:w="45" w:type="dxa"/>
            </w:tcMar>
            <w:vAlign w:val="bottom"/>
            <w:hideMark/>
          </w:tcPr>
          <w:p w14:paraId="07D39B36"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DI</w:t>
            </w:r>
          </w:p>
        </w:tc>
        <w:tc>
          <w:tcPr>
            <w:tcW w:w="1003" w:type="dxa"/>
            <w:shd w:val="clear" w:color="auto" w:fill="FFFFFF"/>
            <w:tcMar>
              <w:top w:w="30" w:type="dxa"/>
              <w:left w:w="45" w:type="dxa"/>
              <w:bottom w:w="30" w:type="dxa"/>
              <w:right w:w="45" w:type="dxa"/>
            </w:tcMar>
            <w:vAlign w:val="bottom"/>
            <w:hideMark/>
          </w:tcPr>
          <w:p w14:paraId="5BF62B2D"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d</w:t>
            </w:r>
          </w:p>
        </w:tc>
        <w:tc>
          <w:tcPr>
            <w:tcW w:w="1427" w:type="dxa"/>
            <w:shd w:val="clear" w:color="auto" w:fill="FFFFFF"/>
            <w:tcMar>
              <w:top w:w="30" w:type="dxa"/>
              <w:left w:w="45" w:type="dxa"/>
              <w:bottom w:w="30" w:type="dxa"/>
              <w:right w:w="45" w:type="dxa"/>
            </w:tcMar>
            <w:vAlign w:val="bottom"/>
            <w:hideMark/>
          </w:tcPr>
          <w:p w14:paraId="0DE33EE8"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d</w:t>
            </w:r>
          </w:p>
        </w:tc>
      </w:tr>
      <w:tr w:rsidR="009D01B7" w:rsidRPr="001346D3" w14:paraId="0ABF53F8" w14:textId="77777777" w:rsidTr="00450B32">
        <w:trPr>
          <w:trHeight w:val="18"/>
          <w:jc w:val="center"/>
        </w:trPr>
        <w:tc>
          <w:tcPr>
            <w:tcW w:w="6930" w:type="dxa"/>
            <w:shd w:val="clear" w:color="auto" w:fill="FFFFFF"/>
            <w:tcMar>
              <w:top w:w="240" w:type="dxa"/>
              <w:left w:w="45" w:type="dxa"/>
              <w:bottom w:w="30" w:type="dxa"/>
              <w:right w:w="45" w:type="dxa"/>
            </w:tcMar>
            <w:vAlign w:val="bottom"/>
            <w:hideMark/>
          </w:tcPr>
          <w:p w14:paraId="781DEC4C"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Share of OASDI outgo covered by scheduled revenue in—</w:t>
            </w:r>
          </w:p>
        </w:tc>
        <w:tc>
          <w:tcPr>
            <w:tcW w:w="2430" w:type="dxa"/>
            <w:gridSpan w:val="2"/>
            <w:shd w:val="clear" w:color="auto" w:fill="FFFFFF"/>
            <w:tcMar>
              <w:top w:w="240" w:type="dxa"/>
              <w:left w:w="45" w:type="dxa"/>
              <w:bottom w:w="30" w:type="dxa"/>
              <w:right w:w="45" w:type="dxa"/>
            </w:tcMar>
            <w:vAlign w:val="bottom"/>
            <w:hideMark/>
          </w:tcPr>
          <w:p w14:paraId="2EFF146D" w14:textId="77777777" w:rsidR="009D01B7" w:rsidRPr="009D01B7" w:rsidRDefault="009D01B7" w:rsidP="00450B32">
            <w:pPr>
              <w:pStyle w:val="NoSpacing"/>
              <w:rPr>
                <w:rFonts w:ascii="Times New Roman" w:hAnsi="Times New Roman" w:cs="Times New Roman"/>
                <w:sz w:val="18"/>
                <w:szCs w:val="18"/>
              </w:rPr>
            </w:pPr>
          </w:p>
        </w:tc>
      </w:tr>
      <w:tr w:rsidR="009D01B7" w:rsidRPr="001346D3" w14:paraId="34324628" w14:textId="77777777" w:rsidTr="00450B32">
        <w:trPr>
          <w:jc w:val="center"/>
        </w:trPr>
        <w:tc>
          <w:tcPr>
            <w:tcW w:w="6930" w:type="dxa"/>
            <w:shd w:val="clear" w:color="auto" w:fill="FFFFFF"/>
            <w:tcMar>
              <w:top w:w="30" w:type="dxa"/>
              <w:left w:w="45" w:type="dxa"/>
              <w:bottom w:w="30" w:type="dxa"/>
              <w:right w:w="45" w:type="dxa"/>
            </w:tcMar>
            <w:vAlign w:val="bottom"/>
            <w:hideMark/>
          </w:tcPr>
          <w:p w14:paraId="690517AD"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Year of trust fund depletion</w:t>
            </w:r>
          </w:p>
        </w:tc>
        <w:tc>
          <w:tcPr>
            <w:tcW w:w="1003" w:type="dxa"/>
            <w:shd w:val="clear" w:color="auto" w:fill="FFFFFF"/>
            <w:tcMar>
              <w:top w:w="30" w:type="dxa"/>
              <w:left w:w="45" w:type="dxa"/>
              <w:bottom w:w="30" w:type="dxa"/>
              <w:right w:w="45" w:type="dxa"/>
            </w:tcMar>
            <w:vAlign w:val="bottom"/>
            <w:hideMark/>
          </w:tcPr>
          <w:p w14:paraId="036A25BD"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80%</w:t>
            </w:r>
          </w:p>
        </w:tc>
        <w:tc>
          <w:tcPr>
            <w:tcW w:w="1427" w:type="dxa"/>
            <w:shd w:val="clear" w:color="auto" w:fill="FFFFFF"/>
            <w:tcMar>
              <w:top w:w="30" w:type="dxa"/>
              <w:left w:w="45" w:type="dxa"/>
              <w:bottom w:w="30" w:type="dxa"/>
              <w:right w:w="45" w:type="dxa"/>
            </w:tcMar>
            <w:vAlign w:val="bottom"/>
            <w:hideMark/>
          </w:tcPr>
          <w:p w14:paraId="1A3667A1"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80%</w:t>
            </w:r>
          </w:p>
        </w:tc>
      </w:tr>
      <w:tr w:rsidR="009D01B7" w:rsidRPr="001346D3" w14:paraId="735FDAC5" w14:textId="77777777" w:rsidTr="00450B32">
        <w:trPr>
          <w:jc w:val="center"/>
        </w:trPr>
        <w:tc>
          <w:tcPr>
            <w:tcW w:w="6930" w:type="dxa"/>
            <w:shd w:val="clear" w:color="auto" w:fill="FFFFFF"/>
            <w:tcMar>
              <w:top w:w="30" w:type="dxa"/>
              <w:left w:w="45" w:type="dxa"/>
              <w:bottom w:w="30" w:type="dxa"/>
              <w:right w:w="45" w:type="dxa"/>
            </w:tcMar>
            <w:vAlign w:val="bottom"/>
            <w:hideMark/>
          </w:tcPr>
          <w:p w14:paraId="07BA4EFE"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End of a 75-year reporting period</w:t>
            </w:r>
          </w:p>
        </w:tc>
        <w:tc>
          <w:tcPr>
            <w:tcW w:w="1003" w:type="dxa"/>
            <w:shd w:val="clear" w:color="auto" w:fill="FFFFFF"/>
            <w:tcMar>
              <w:top w:w="30" w:type="dxa"/>
              <w:left w:w="45" w:type="dxa"/>
              <w:bottom w:w="30" w:type="dxa"/>
              <w:right w:w="45" w:type="dxa"/>
            </w:tcMar>
            <w:vAlign w:val="bottom"/>
            <w:hideMark/>
          </w:tcPr>
          <w:p w14:paraId="11750D50"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74%</w:t>
            </w:r>
          </w:p>
        </w:tc>
        <w:tc>
          <w:tcPr>
            <w:tcW w:w="0" w:type="auto"/>
            <w:shd w:val="clear" w:color="auto" w:fill="FFFFFF"/>
            <w:tcMar>
              <w:top w:w="30" w:type="dxa"/>
              <w:left w:w="45" w:type="dxa"/>
              <w:bottom w:w="30" w:type="dxa"/>
              <w:right w:w="45" w:type="dxa"/>
            </w:tcMar>
            <w:vAlign w:val="bottom"/>
            <w:hideMark/>
          </w:tcPr>
          <w:p w14:paraId="528C81E4"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74%</w:t>
            </w:r>
          </w:p>
        </w:tc>
      </w:tr>
      <w:tr w:rsidR="009D01B7" w:rsidRPr="001346D3" w14:paraId="49FEED58" w14:textId="77777777" w:rsidTr="00450B32">
        <w:trPr>
          <w:jc w:val="center"/>
        </w:trPr>
        <w:tc>
          <w:tcPr>
            <w:tcW w:w="9360" w:type="dxa"/>
            <w:gridSpan w:val="3"/>
            <w:tcBorders>
              <w:top w:val="single" w:sz="6" w:space="0" w:color="808080"/>
              <w:left w:val="nil"/>
              <w:bottom w:val="nil"/>
              <w:right w:val="nil"/>
            </w:tcBorders>
            <w:shd w:val="clear" w:color="auto" w:fill="FFFFFF"/>
            <w:tcMar>
              <w:top w:w="120" w:type="dxa"/>
              <w:left w:w="30" w:type="dxa"/>
              <w:bottom w:w="60" w:type="dxa"/>
              <w:right w:w="30" w:type="dxa"/>
            </w:tcMar>
            <w:vAlign w:val="bottom"/>
            <w:hideMark/>
          </w:tcPr>
          <w:p w14:paraId="3F58BAB1" w14:textId="77777777" w:rsidR="009D01B7" w:rsidRPr="009D01B7" w:rsidRDefault="009D01B7" w:rsidP="00450B32">
            <w:pPr>
              <w:pStyle w:val="NoSpacing"/>
              <w:rPr>
                <w:rFonts w:ascii="Times New Roman" w:hAnsi="Times New Roman" w:cs="Times New Roman"/>
                <w:sz w:val="18"/>
                <w:szCs w:val="18"/>
              </w:rPr>
            </w:pPr>
            <w:r w:rsidRPr="009D01B7">
              <w:rPr>
                <w:rFonts w:ascii="Times New Roman" w:hAnsi="Times New Roman" w:cs="Times New Roman"/>
                <w:sz w:val="18"/>
                <w:szCs w:val="18"/>
              </w:rPr>
              <w:t>SOURCES: 2022 and 2023 Trustees Reports.</w:t>
            </w:r>
          </w:p>
        </w:tc>
      </w:tr>
    </w:tbl>
    <w:p w14:paraId="53E42907" w14:textId="77777777" w:rsidR="009D01B7" w:rsidRPr="001346D3" w:rsidRDefault="009D01B7" w:rsidP="009D01B7">
      <w:pPr>
        <w:pStyle w:val="NoSpacing"/>
        <w:rPr>
          <w:rFonts w:ascii="Times New Roman" w:hAnsi="Times New Roman" w:cs="Times New Roman"/>
          <w:b/>
          <w:bCs/>
          <w:sz w:val="18"/>
          <w:szCs w:val="18"/>
        </w:rPr>
      </w:pPr>
    </w:p>
    <w:p w14:paraId="7306C622" w14:textId="77777777" w:rsidR="009D01B7" w:rsidRPr="0083337B" w:rsidRDefault="009D01B7" w:rsidP="009D01B7">
      <w:pPr>
        <w:spacing w:after="0" w:line="480" w:lineRule="auto"/>
        <w:rPr>
          <w:rFonts w:ascii="Times New Roman" w:eastAsia="Times New Roman" w:hAnsi="Times New Roman" w:cs="Times New Roman"/>
          <w:i/>
          <w:iCs/>
          <w:color w:val="0E101A"/>
          <w:kern w:val="0"/>
          <w14:ligatures w14:val="none"/>
        </w:rPr>
      </w:pPr>
      <w:r w:rsidRPr="0083337B">
        <w:rPr>
          <w:rFonts w:ascii="Times New Roman" w:eastAsia="Times New Roman" w:hAnsi="Times New Roman" w:cs="Times New Roman"/>
          <w:b/>
          <w:bCs/>
          <w:color w:val="0E101A"/>
          <w:kern w:val="0"/>
          <w14:ligatures w14:val="none"/>
        </w:rPr>
        <w:t xml:space="preserve">Notes: </w:t>
      </w:r>
      <w:r w:rsidRPr="0083337B">
        <w:rPr>
          <w:rFonts w:ascii="Times New Roman" w:hAnsi="Times New Roman" w:cs="Times New Roman"/>
          <w:b/>
          <w:bCs/>
        </w:rPr>
        <w:t xml:space="preserve">Table 1 </w:t>
      </w:r>
      <w:r w:rsidRPr="0083337B">
        <w:rPr>
          <w:rFonts w:ascii="Times New Roman" w:hAnsi="Times New Roman" w:cs="Times New Roman"/>
        </w:rPr>
        <w:t>is Culled from</w:t>
      </w:r>
      <w:r w:rsidRPr="0083337B">
        <w:rPr>
          <w:rFonts w:ascii="Times New Roman" w:hAnsi="Times New Roman" w:cs="Times New Roman"/>
          <w:i/>
          <w:iCs/>
        </w:rPr>
        <w:t>: SSA.gov/ 2022 and 2023 Trustee Reports (2023) Summary: Actuarial Status of the Social Security Trust Funds. Front page. https://www.ssa.gov/policy/trust-funds-summary.html.</w:t>
      </w:r>
    </w:p>
    <w:p w14:paraId="445ACDA7" w14:textId="77777777" w:rsidR="00D70DFC" w:rsidRDefault="009D01B7" w:rsidP="00D70DFC">
      <w:pPr>
        <w:numPr>
          <w:ilvl w:val="0"/>
          <w:numId w:val="1"/>
        </w:numPr>
        <w:spacing w:after="0" w:line="480" w:lineRule="auto"/>
        <w:rPr>
          <w:rFonts w:ascii="Times New Roman" w:eastAsia="Times New Roman" w:hAnsi="Times New Roman" w:cs="Times New Roman"/>
          <w:color w:val="0E101A"/>
          <w:kern w:val="0"/>
          <w14:ligatures w14:val="none"/>
        </w:rPr>
      </w:pPr>
      <w:r w:rsidRPr="0083337B">
        <w:rPr>
          <w:rFonts w:ascii="Times New Roman" w:eastAsia="Times New Roman" w:hAnsi="Times New Roman" w:cs="Times New Roman"/>
          <w:color w:val="0E101A"/>
          <w:kern w:val="0"/>
          <w14:ligatures w14:val="none"/>
        </w:rPr>
        <w:t>In Table  1, the Trust Funds Reserves</w:t>
      </w:r>
      <w:r w:rsidRPr="0083337B">
        <w:rPr>
          <w:rFonts w:ascii="Times New Roman" w:hAnsi="Times New Roman" w:cs="Times New Roman"/>
          <w:color w:val="0E101A"/>
          <w14:ligatures w14:val="none"/>
        </w:rPr>
        <w:t xml:space="preserve"> at end of Peak Year</w:t>
      </w:r>
      <w:r w:rsidRPr="0083337B">
        <w:rPr>
          <w:rFonts w:ascii="Times New Roman" w:eastAsia="Times New Roman" w:hAnsi="Times New Roman" w:cs="Times New Roman"/>
          <w:color w:val="0E101A"/>
          <w:kern w:val="0"/>
          <w14:ligatures w14:val="none"/>
        </w:rPr>
        <w:t xml:space="preserve"> for 2022 amount to $2,805 billion, i.e., $2.81 trillion. The Trust Funds Reserves </w:t>
      </w:r>
      <w:r w:rsidRPr="0083337B">
        <w:rPr>
          <w:rFonts w:ascii="Times New Roman" w:hAnsi="Times New Roman" w:cs="Times New Roman"/>
          <w:color w:val="0E101A"/>
          <w14:ligatures w14:val="none"/>
        </w:rPr>
        <w:t>at end of Peak Year</w:t>
      </w:r>
      <w:r w:rsidRPr="0083337B">
        <w:rPr>
          <w:rFonts w:ascii="Times New Roman" w:eastAsia="Times New Roman" w:hAnsi="Times New Roman" w:cs="Times New Roman"/>
          <w:color w:val="0E101A"/>
          <w:kern w:val="0"/>
          <w14:ligatures w14:val="none"/>
        </w:rPr>
        <w:t xml:space="preserve"> for 2023 amount to $2,777 billion, i.e., $2.77 trillion.</w:t>
      </w:r>
    </w:p>
    <w:p w14:paraId="0B6670D2" w14:textId="44A5EE82" w:rsidR="003B2BCA" w:rsidRDefault="003B2BCA" w:rsidP="003B2BCA">
      <w:pPr>
        <w:pStyle w:val="NormalWeb"/>
        <w:spacing w:before="0" w:beforeAutospacing="0" w:after="0" w:afterAutospacing="0" w:line="480" w:lineRule="auto"/>
        <w:rPr>
          <w:color w:val="0E101A"/>
        </w:rPr>
      </w:pPr>
      <w:bookmarkStart w:id="0" w:name="_Hlk143943525"/>
      <w:r>
        <w:rPr>
          <w:rStyle w:val="Strong"/>
          <w:color w:val="0E101A"/>
        </w:rPr>
        <w:lastRenderedPageBreak/>
        <w:t>Sociological Interventions to Overcome Insolvency in the U.S. Social Security Trust Funds, SSTF, 2034, and 2097</w:t>
      </w:r>
    </w:p>
    <w:p w14:paraId="2B514FEA" w14:textId="57E1EC11" w:rsidR="003B2BCA" w:rsidRDefault="003B2BCA" w:rsidP="003B2BCA">
      <w:pPr>
        <w:pStyle w:val="NormalWeb"/>
        <w:spacing w:before="0" w:beforeAutospacing="0" w:after="0" w:afterAutospacing="0" w:line="480" w:lineRule="auto"/>
        <w:rPr>
          <w:color w:val="0E101A"/>
        </w:rPr>
      </w:pPr>
      <w:r>
        <w:rPr>
          <w:color w:val="0E101A"/>
        </w:rPr>
        <w:t xml:space="preserve">           Considering the series of recent actuarial reports and publications by the U.S. Treasury, the Center for </w:t>
      </w:r>
      <w:proofErr w:type="gramStart"/>
      <w:r>
        <w:rPr>
          <w:color w:val="0E101A"/>
        </w:rPr>
        <w:t>Budget</w:t>
      </w:r>
      <w:proofErr w:type="gramEnd"/>
      <w:r>
        <w:rPr>
          <w:color w:val="0E101A"/>
        </w:rPr>
        <w:t xml:space="preserve"> and Policy Priorities (CBPP), and the Social Security Trust Funds, the SSTF will be insolvent between 2034 and 2097, despite its solid financial reserve base of about $2.8 trillion and $2.77 trillion in 2022 and 2023, respectively. "So, taxes will be enough to pay for only 80% of scheduled benefits because birthrates dropped from three to two children per woman (Goss, 2010). There are "two separate Social Security trust funds: the Old-Age and Survivors Insurance (OASI) Trust Fund, which pays retirement and survivors benefits, and the Disability Insurance (DI) Trust Fund, which pays disability benefits" (SSA.Gov., 2023). The SSTF derives its tax revenues from U.S. employees from two primary sources: i) FICA 1, which is a federal payroll tax of 6.2%, and ii) FICA 2, which is a payroll tax of 1.45% for Medicare. The employers match items 1 and 2 as payroll tax contributions to SSTF (payable to retirees and disabled youths and adults, SSIs, etc.). "There have been no major Social Security reforms since 1983. Baby Boomers worry they will outlive their pensions and Medicare benefits. Millennials are apprehensive about college debt and buying homes (Achenbaum, 2023). The Republicans are alarmed and prefer a complete overhaul and deep cuts to SSTFs.</w:t>
      </w:r>
      <w:r w:rsidR="00612068">
        <w:rPr>
          <w:color w:val="0E101A"/>
        </w:rPr>
        <w:t xml:space="preserve"> </w:t>
      </w:r>
      <w:r>
        <w:rPr>
          <w:color w:val="0E101A"/>
        </w:rPr>
        <w:t xml:space="preserve">In contrast, the Democrats allay the insolvency fear and support the 8.7 percent cost-of-living adjustment (COLA) to seniors' and retirees' benefits. Some advocate for an additional $2,400 increase in benefits for seniors or retirees (Fragassi, 2023). Ordower, H. (2023) suggests "the unbundling of Social Security from the Payroll Tax." This will not be a feasible idea because </w:t>
      </w:r>
      <w:r w:rsidR="00612068">
        <w:rPr>
          <w:color w:val="0E101A"/>
        </w:rPr>
        <w:t xml:space="preserve">the payroll tax </w:t>
      </w:r>
      <w:r>
        <w:rPr>
          <w:color w:val="0E101A"/>
        </w:rPr>
        <w:t>is the primary source of tax</w:t>
      </w:r>
      <w:r w:rsidR="00612068">
        <w:rPr>
          <w:color w:val="0E101A"/>
        </w:rPr>
        <w:t>-</w:t>
      </w:r>
      <w:r>
        <w:rPr>
          <w:color w:val="0E101A"/>
        </w:rPr>
        <w:t>income</w:t>
      </w:r>
      <w:r w:rsidR="00612068">
        <w:rPr>
          <w:color w:val="0E101A"/>
        </w:rPr>
        <w:t xml:space="preserve"> to SSTF </w:t>
      </w:r>
      <w:r>
        <w:rPr>
          <w:color w:val="0E101A"/>
        </w:rPr>
        <w:t>.  </w:t>
      </w:r>
    </w:p>
    <w:p w14:paraId="69738378" w14:textId="77777777" w:rsidR="003B2BCA" w:rsidRDefault="003B2BCA" w:rsidP="003B2BCA">
      <w:pPr>
        <w:pStyle w:val="NormalWeb"/>
        <w:spacing w:before="0" w:beforeAutospacing="0" w:after="0" w:afterAutospacing="0" w:line="480" w:lineRule="auto"/>
        <w:rPr>
          <w:color w:val="0E101A"/>
        </w:rPr>
      </w:pPr>
    </w:p>
    <w:p w14:paraId="5E3A17BD" w14:textId="29BBD106" w:rsidR="003B2BCA" w:rsidRDefault="003B2BCA" w:rsidP="003B2BCA">
      <w:pPr>
        <w:pStyle w:val="NormalWeb"/>
        <w:spacing w:before="0" w:beforeAutospacing="0" w:after="0" w:afterAutospacing="0" w:line="480" w:lineRule="auto"/>
        <w:rPr>
          <w:color w:val="0E101A"/>
        </w:rPr>
      </w:pPr>
      <w:r>
        <w:rPr>
          <w:color w:val="0E101A"/>
        </w:rPr>
        <w:lastRenderedPageBreak/>
        <w:t xml:space="preserve">           However, this study shows that SSTF can be solvent beyond 2034/2097: </w:t>
      </w:r>
      <w:r w:rsidR="00612068">
        <w:rPr>
          <w:color w:val="0E101A"/>
        </w:rPr>
        <w:t xml:space="preserve"> </w:t>
      </w:r>
      <w:r>
        <w:rPr>
          <w:color w:val="0E101A"/>
        </w:rPr>
        <w:t>i) Through financial overhaul, and re-structuring, and FICA 1 &amp; 2 increase of .025% - .05%, involving actuarial; qualitative and quantitative methodologies (Guetterman et al., 2020; Ozawa &amp; Pongpirul, 2014; Mukumbang, 2023). ii) Increased skill-based immigration and adoptions to boost population; iii) A Bi-partisan legislation to increase the full retirement age, FRA, from 66 to 70 years; iv) A mindset shift, community sensitization, and not SSTF politicization (Arli et al., 2023); v) To invest in adult/seniors' vocational training/apprenticeship employment programs (Benton &amp; Craib, 2023; Al-Omari, Z., Alomari, K., &amp; Aljawarneh, 2020). vi) Encourage Christian leadership partnership and transformation (Reid, 2020</w:t>
      </w:r>
      <w:r w:rsidR="00612068">
        <w:rPr>
          <w:color w:val="0E101A"/>
        </w:rPr>
        <w:t xml:space="preserve">; </w:t>
      </w:r>
      <w:r w:rsidR="00612068" w:rsidRPr="009D01B7">
        <w:rPr>
          <w:color w:val="0E101A"/>
        </w:rPr>
        <w:t>Grimes &amp; Bennett</w:t>
      </w:r>
      <w:r w:rsidR="002315FE">
        <w:rPr>
          <w:color w:val="0E101A"/>
        </w:rPr>
        <w:t xml:space="preserve">, </w:t>
      </w:r>
      <w:r w:rsidR="00612068" w:rsidRPr="009D01B7">
        <w:rPr>
          <w:color w:val="0E101A"/>
        </w:rPr>
        <w:t>2015</w:t>
      </w:r>
      <w:r w:rsidR="002315FE">
        <w:rPr>
          <w:color w:val="0E101A"/>
        </w:rPr>
        <w:t>;</w:t>
      </w:r>
      <w:r w:rsidR="00612068" w:rsidRPr="009D01B7">
        <w:rPr>
          <w:color w:val="0E101A"/>
        </w:rPr>
        <w:t xml:space="preserve"> Machokoto, 2019).</w:t>
      </w:r>
      <w:r>
        <w:rPr>
          <w:color w:val="0E101A"/>
        </w:rPr>
        <w:t>). The mind of the transformational leader and advisory support roles are crucial (Benton, 2023; Branson &amp; Martinez, 2023; Yin et al., 2017); vii) To emphasize Social Entrepreneurship (Stammler, 2023; Choi &amp; Mujamdar, 2014; Saebi et al., 2019; De Bruin et al., 2022; Moschella, 2021). viii) To adopt US-guaranteed employment re-entry programs for 1 to 2 million idle seniors in one to ten years (those voluntarily retiring at 70 or 72). These factors in items i) to viii) will be a tough sell. However, they will help boost and sustain SSTF solvency for generations.</w:t>
      </w:r>
    </w:p>
    <w:bookmarkEnd w:id="0"/>
    <w:p w14:paraId="29BD0DB2" w14:textId="75AD9176" w:rsidR="003B2BCA" w:rsidRDefault="003B2BCA" w:rsidP="003B2BCA">
      <w:pPr>
        <w:pStyle w:val="NormalWeb"/>
        <w:spacing w:before="0" w:beforeAutospacing="0" w:after="0" w:afterAutospacing="0" w:line="480" w:lineRule="auto"/>
        <w:rPr>
          <w:color w:val="0E101A"/>
        </w:rPr>
      </w:pPr>
    </w:p>
    <w:p w14:paraId="1E1F7C3D" w14:textId="77777777" w:rsidR="003B2BCA" w:rsidRDefault="003B2BCA" w:rsidP="003B2BCA">
      <w:pPr>
        <w:spacing w:after="0" w:line="480" w:lineRule="auto"/>
        <w:rPr>
          <w:rFonts w:ascii="Times New Roman" w:eastAsia="Times New Roman" w:hAnsi="Times New Roman" w:cs="Times New Roman"/>
          <w:color w:val="0E101A"/>
          <w:kern w:val="0"/>
          <w14:ligatures w14:val="none"/>
        </w:rPr>
      </w:pPr>
    </w:p>
    <w:p w14:paraId="6A1670E9" w14:textId="77777777" w:rsidR="003B2BCA" w:rsidRDefault="003B2BCA" w:rsidP="003B2BCA">
      <w:pPr>
        <w:spacing w:after="0" w:line="480" w:lineRule="auto"/>
        <w:rPr>
          <w:rFonts w:ascii="Times New Roman" w:eastAsia="Times New Roman" w:hAnsi="Times New Roman" w:cs="Times New Roman"/>
          <w:color w:val="0E101A"/>
          <w:kern w:val="0"/>
          <w14:ligatures w14:val="none"/>
        </w:rPr>
      </w:pPr>
    </w:p>
    <w:p w14:paraId="04D0264F" w14:textId="77777777" w:rsidR="003B2BCA" w:rsidRDefault="003B2BCA" w:rsidP="003B2BCA">
      <w:pPr>
        <w:spacing w:after="0" w:line="480" w:lineRule="auto"/>
        <w:rPr>
          <w:rFonts w:ascii="Times New Roman" w:eastAsia="Times New Roman" w:hAnsi="Times New Roman" w:cs="Times New Roman"/>
          <w:color w:val="0E101A"/>
          <w:kern w:val="0"/>
          <w14:ligatures w14:val="none"/>
        </w:rPr>
      </w:pPr>
    </w:p>
    <w:p w14:paraId="65E6FD27" w14:textId="77777777" w:rsidR="003B2BCA" w:rsidRDefault="003B2BCA" w:rsidP="003B2BCA">
      <w:pPr>
        <w:spacing w:after="0" w:line="480" w:lineRule="auto"/>
        <w:rPr>
          <w:rFonts w:ascii="Times New Roman" w:eastAsia="Times New Roman" w:hAnsi="Times New Roman" w:cs="Times New Roman"/>
          <w:color w:val="0E101A"/>
          <w:kern w:val="0"/>
          <w14:ligatures w14:val="none"/>
        </w:rPr>
      </w:pPr>
    </w:p>
    <w:p w14:paraId="0AF56D84" w14:textId="77777777" w:rsidR="003B2BCA" w:rsidRDefault="003B2BCA" w:rsidP="003B2BCA">
      <w:pPr>
        <w:spacing w:after="0" w:line="480" w:lineRule="auto"/>
        <w:rPr>
          <w:rFonts w:ascii="Times New Roman" w:eastAsia="Times New Roman" w:hAnsi="Times New Roman" w:cs="Times New Roman"/>
          <w:color w:val="0E101A"/>
          <w:kern w:val="0"/>
          <w14:ligatures w14:val="none"/>
        </w:rPr>
      </w:pPr>
    </w:p>
    <w:p w14:paraId="66E496CE" w14:textId="77777777" w:rsidR="003B2BCA" w:rsidRDefault="003B2BCA" w:rsidP="003B2BCA">
      <w:pPr>
        <w:spacing w:after="0" w:line="480" w:lineRule="auto"/>
        <w:rPr>
          <w:rFonts w:ascii="Times New Roman" w:eastAsia="Times New Roman" w:hAnsi="Times New Roman" w:cs="Times New Roman"/>
          <w:color w:val="0E101A"/>
          <w:kern w:val="0"/>
          <w14:ligatures w14:val="none"/>
        </w:rPr>
      </w:pPr>
    </w:p>
    <w:p w14:paraId="6F3409A3" w14:textId="77777777" w:rsidR="003B2BCA" w:rsidRDefault="003B2BCA" w:rsidP="003B2BCA">
      <w:pPr>
        <w:spacing w:after="0" w:line="480" w:lineRule="auto"/>
        <w:rPr>
          <w:rFonts w:ascii="Times New Roman" w:eastAsia="Times New Roman" w:hAnsi="Times New Roman" w:cs="Times New Roman"/>
          <w:color w:val="0E101A"/>
          <w:kern w:val="0"/>
          <w14:ligatures w14:val="none"/>
        </w:rPr>
      </w:pPr>
    </w:p>
    <w:p w14:paraId="69DCBF23" w14:textId="7C958CE1" w:rsidR="009D01B7" w:rsidRPr="009D01B7" w:rsidRDefault="009D01B7" w:rsidP="009D01B7">
      <w:pPr>
        <w:spacing w:after="0" w:line="480" w:lineRule="auto"/>
        <w:jc w:val="center"/>
        <w:rPr>
          <w:rFonts w:ascii="Times New Roman" w:eastAsia="Times New Roman" w:hAnsi="Times New Roman" w:cs="Times New Roman"/>
          <w:b/>
          <w:bCs/>
          <w:color w:val="0E101A"/>
          <w:kern w:val="0"/>
          <w:sz w:val="24"/>
          <w:szCs w:val="24"/>
          <w14:ligatures w14:val="none"/>
        </w:rPr>
      </w:pPr>
      <w:r w:rsidRPr="009D01B7">
        <w:rPr>
          <w:rFonts w:ascii="Times New Roman" w:eastAsia="Times New Roman" w:hAnsi="Times New Roman" w:cs="Times New Roman"/>
          <w:b/>
          <w:bCs/>
          <w:color w:val="0E101A"/>
          <w:kern w:val="0"/>
          <w:sz w:val="24"/>
          <w:szCs w:val="24"/>
          <w14:ligatures w14:val="none"/>
        </w:rPr>
        <w:lastRenderedPageBreak/>
        <w:t>WORKS CITED</w:t>
      </w:r>
    </w:p>
    <w:p w14:paraId="549D8A8A"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 Achenbaum, W. A. (2023). Safeguarding Social Security for Future Generations: Leaving a </w:t>
      </w:r>
    </w:p>
    <w:p w14:paraId="3AD8C565"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      </w:t>
      </w:r>
      <w:r w:rsidRPr="009D01B7">
        <w:rPr>
          <w:rFonts w:ascii="Times New Roman" w:eastAsia="Times New Roman" w:hAnsi="Times New Roman" w:cs="Times New Roman"/>
          <w:color w:val="0E101A"/>
          <w:kern w:val="0"/>
          <w:sz w:val="24"/>
          <w:szCs w:val="24"/>
          <w14:ligatures w14:val="none"/>
        </w:rPr>
        <w:tab/>
        <w:t xml:space="preserve">Legacy in an Aging Society. Taylor &amp; Francis. </w:t>
      </w:r>
    </w:p>
    <w:p w14:paraId="291997CC" w14:textId="198A45BF"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 Al-Omari, Z., Alomari, K., &amp; Aljawarneh, N. (2020). The role of empowerment in improving the </w:t>
      </w:r>
      <w:r w:rsidR="00D51E03">
        <w:rPr>
          <w:rFonts w:ascii="Times New Roman" w:eastAsia="Times New Roman" w:hAnsi="Times New Roman" w:cs="Times New Roman"/>
          <w:color w:val="0E101A"/>
          <w:kern w:val="0"/>
          <w:sz w:val="24"/>
          <w:szCs w:val="24"/>
          <w14:ligatures w14:val="none"/>
        </w:rPr>
        <w:tab/>
      </w:r>
      <w:r w:rsidRPr="009D01B7">
        <w:rPr>
          <w:rFonts w:ascii="Times New Roman" w:eastAsia="Times New Roman" w:hAnsi="Times New Roman" w:cs="Times New Roman"/>
          <w:color w:val="0E101A"/>
          <w:kern w:val="0"/>
          <w:sz w:val="24"/>
          <w:szCs w:val="24"/>
          <w14:ligatures w14:val="none"/>
        </w:rPr>
        <w:t xml:space="preserve">internal process, customer satisfaction, learning, and growth. Management Science </w:t>
      </w:r>
      <w:r w:rsidRPr="009D01B7">
        <w:rPr>
          <w:rFonts w:ascii="Times New Roman" w:eastAsia="Times New Roman" w:hAnsi="Times New Roman" w:cs="Times New Roman"/>
          <w:color w:val="0E101A"/>
          <w:kern w:val="0"/>
          <w:sz w:val="24"/>
          <w:szCs w:val="24"/>
          <w14:ligatures w14:val="none"/>
        </w:rPr>
        <w:tab/>
        <w:t>Letters, 1 0(4), 841-848.</w:t>
      </w:r>
    </w:p>
    <w:p w14:paraId="55E13A5C" w14:textId="3DD01CA1"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Arli, D., Pekerti, A. A., Kusumansondjaja, S., &amp; </w:t>
      </w:r>
      <w:r w:rsidR="00A83610" w:rsidRPr="009D01B7">
        <w:rPr>
          <w:rFonts w:ascii="Times New Roman" w:eastAsia="Times New Roman" w:hAnsi="Times New Roman" w:cs="Times New Roman"/>
          <w:color w:val="0E101A"/>
          <w:kern w:val="0"/>
          <w:sz w:val="24"/>
          <w:szCs w:val="24"/>
          <w14:ligatures w14:val="none"/>
        </w:rPr>
        <w:t>Send Jaya</w:t>
      </w:r>
      <w:r w:rsidRPr="009D01B7">
        <w:rPr>
          <w:rFonts w:ascii="Times New Roman" w:eastAsia="Times New Roman" w:hAnsi="Times New Roman" w:cs="Times New Roman"/>
          <w:color w:val="0E101A"/>
          <w:kern w:val="0"/>
          <w:sz w:val="24"/>
          <w:szCs w:val="24"/>
          <w14:ligatures w14:val="none"/>
        </w:rPr>
        <w:t xml:space="preserve">, S. (2023). The mediating effect of </w:t>
      </w:r>
    </w:p>
    <w:p w14:paraId="3C88BFAD" w14:textId="68A273F8" w:rsid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           Sociocultural adaptation and cultural intelligence on citizens and migrants impact </w:t>
      </w:r>
      <w:r w:rsidR="00D51E03">
        <w:rPr>
          <w:rFonts w:ascii="Times New Roman" w:eastAsia="Times New Roman" w:hAnsi="Times New Roman" w:cs="Times New Roman"/>
          <w:color w:val="0E101A"/>
          <w:kern w:val="0"/>
          <w:sz w:val="24"/>
          <w:szCs w:val="24"/>
          <w14:ligatures w14:val="none"/>
        </w:rPr>
        <w:tab/>
      </w:r>
      <w:r w:rsidRPr="009D01B7">
        <w:rPr>
          <w:rFonts w:ascii="Times New Roman" w:eastAsia="Times New Roman" w:hAnsi="Times New Roman" w:cs="Times New Roman"/>
          <w:color w:val="0E101A"/>
          <w:kern w:val="0"/>
          <w:sz w:val="24"/>
          <w:szCs w:val="24"/>
          <w14:ligatures w14:val="none"/>
        </w:rPr>
        <w:t xml:space="preserve">perceptions of country images—International Journal of Intercultural Relations, 92, </w:t>
      </w:r>
      <w:r w:rsidRPr="009D01B7">
        <w:rPr>
          <w:rFonts w:ascii="Times New Roman" w:eastAsia="Times New Roman" w:hAnsi="Times New Roman" w:cs="Times New Roman"/>
          <w:color w:val="0E101A"/>
          <w:kern w:val="0"/>
          <w:sz w:val="24"/>
          <w:szCs w:val="24"/>
          <w14:ligatures w14:val="none"/>
        </w:rPr>
        <w:tab/>
        <w:t>101728.</w:t>
      </w:r>
    </w:p>
    <w:p w14:paraId="652E2B09"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Benton, T., &amp; Craib, I. (2023). Philosophy of social science: The philosophical foundations of </w:t>
      </w:r>
    </w:p>
    <w:p w14:paraId="3735D448"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Branson, M. L., &amp; Martinez, J. F. (2023). Churches, cultures, and leadership: A practical </w:t>
      </w:r>
    </w:p>
    <w:p w14:paraId="271DAA18"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Theology of congregations and ethnicities. InterVarsity Press.</w:t>
      </w:r>
    </w:p>
    <w:p w14:paraId="38132FB0"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Boccia, R. (2023)." Can a Commission Reform Social Security and Medicare?"</w:t>
      </w:r>
    </w:p>
    <w:p w14:paraId="53194C07"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Bruckner, L, Ward, D, Reichard, J, &amp; Omega Graduate School (2015). Contextualization For </w:t>
      </w:r>
    </w:p>
    <w:p w14:paraId="0C868143"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Social Change. Supplemental Study Guide.</w:t>
      </w:r>
    </w:p>
    <w:p w14:paraId="1F199D37"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CBPP publications (2023). Policy Basics: Understanding the Social Security Trust </w:t>
      </w:r>
      <w:r w:rsidRPr="009D01B7">
        <w:rPr>
          <w:rFonts w:ascii="Times New Roman" w:eastAsia="Times New Roman" w:hAnsi="Times New Roman" w:cs="Times New Roman"/>
          <w:color w:val="0E101A"/>
          <w:kern w:val="0"/>
          <w:sz w:val="24"/>
          <w:szCs w:val="24"/>
          <w14:ligatures w14:val="none"/>
        </w:rPr>
        <w:tab/>
        <w:t>Fundshttps://www.cbpp.org/research/social-security/understanding-the-social-security-</w:t>
      </w:r>
      <w:r w:rsidRPr="009D01B7">
        <w:rPr>
          <w:rFonts w:ascii="Times New Roman" w:eastAsia="Times New Roman" w:hAnsi="Times New Roman" w:cs="Times New Roman"/>
          <w:color w:val="0E101A"/>
          <w:kern w:val="0"/>
          <w:sz w:val="24"/>
          <w:szCs w:val="24"/>
          <w14:ligatures w14:val="none"/>
        </w:rPr>
        <w:tab/>
        <w:t>trust-funds-0.</w:t>
      </w:r>
    </w:p>
    <w:p w14:paraId="34B11176"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De Bruin, A., Roy, M. J., Grant, S., &amp; Lewis, K. V. (2022). Advancing a contextualized, </w:t>
      </w:r>
    </w:p>
    <w:p w14:paraId="07F7A47A"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 xml:space="preserve">Community-centric understanding of social entrepreneurial ecosystems. Business &amp; </w:t>
      </w:r>
    </w:p>
    <w:p w14:paraId="426D902C"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Society, 00076503221121820.</w:t>
      </w:r>
    </w:p>
    <w:p w14:paraId="0040B624"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lastRenderedPageBreak/>
        <w:t xml:space="preserve">Fragassi, S. (2023). Social Security: Proposal for $2,400 Extra in Checks Expanded and </w:t>
      </w:r>
      <w:r w:rsidRPr="009D01B7">
        <w:rPr>
          <w:rFonts w:ascii="Times New Roman" w:eastAsia="Times New Roman" w:hAnsi="Times New Roman" w:cs="Times New Roman"/>
          <w:color w:val="0E101A"/>
          <w:kern w:val="0"/>
          <w:sz w:val="24"/>
          <w:szCs w:val="24"/>
          <w14:ligatures w14:val="none"/>
        </w:rPr>
        <w:tab/>
        <w:t>Reintroduced in Congress. Yahoo News.</w:t>
      </w:r>
    </w:p>
    <w:p w14:paraId="0E8EFEF3" w14:textId="4C50F294"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Grimes, M. A., &amp; Bennett III, R. H. (2015). Theocentric leadership: A new approach to God-</w:t>
      </w:r>
    </w:p>
    <w:p w14:paraId="1ED774B0"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honoring leadership. Quarterly Review of Business Disciplines, 2(2), 103-120.</w:t>
      </w:r>
    </w:p>
    <w:p w14:paraId="4AA4578F"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Goss, S.C. (2010). The Future Financial Status of the Social Security Program. Abstract. Social </w:t>
      </w:r>
    </w:p>
    <w:p w14:paraId="1DBFD7B4"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Security Bulletin, Vol. 70, No. 3, 2010. https://www.ssa.gov/policy/docs/ssb/v70n3/v7</w:t>
      </w:r>
    </w:p>
    <w:p w14:paraId="63C2C431"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0n3p111.html.</w:t>
      </w:r>
    </w:p>
    <w:p w14:paraId="41ED87A8"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Machokoto, W. (2019). The Existence of Servant Leadership: Evidence from Modern Church </w:t>
      </w:r>
    </w:p>
    <w:p w14:paraId="507A1B89"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Organizations. International Journal of Psychology and Cognitive</w:t>
      </w:r>
    </w:p>
    <w:p w14:paraId="777F38FF"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 xml:space="preserve">Science, 5(2), 109-115. </w:t>
      </w:r>
    </w:p>
    <w:p w14:paraId="66BA93DB"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Moschella, M. C. (2023). Ethnography as a pastoral practice: An introduction. The Pilgrim </w:t>
      </w:r>
    </w:p>
    <w:p w14:paraId="1EC73744"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      </w:t>
      </w:r>
      <w:r w:rsidRPr="009D01B7">
        <w:rPr>
          <w:rFonts w:ascii="Times New Roman" w:eastAsia="Times New Roman" w:hAnsi="Times New Roman" w:cs="Times New Roman"/>
          <w:color w:val="0E101A"/>
          <w:kern w:val="0"/>
          <w:sz w:val="24"/>
          <w:szCs w:val="24"/>
          <w14:ligatures w14:val="none"/>
        </w:rPr>
        <w:tab/>
        <w:t xml:space="preserve">Press. </w:t>
      </w:r>
    </w:p>
    <w:p w14:paraId="5B9FE519"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Ordower, H. (2023). Unbundling Social Security from the Payroll Tax. Available at SSRN </w:t>
      </w:r>
      <w:r w:rsidRPr="009D01B7">
        <w:rPr>
          <w:rFonts w:ascii="Times New Roman" w:eastAsia="Times New Roman" w:hAnsi="Times New Roman" w:cs="Times New Roman"/>
          <w:color w:val="0E101A"/>
          <w:kern w:val="0"/>
          <w:sz w:val="24"/>
          <w:szCs w:val="24"/>
          <w14:ligatures w14:val="none"/>
        </w:rPr>
        <w:tab/>
        <w:t>4420400. https://papers.ssrn.com/sol3/papers.cfm?abstract_id=4420400</w:t>
      </w:r>
    </w:p>
    <w:p w14:paraId="2024CF2B"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Reid, W. A. (2020). The mind of the transformational leader. In True leadership (pp. 49–63). </w:t>
      </w:r>
    </w:p>
    <w:p w14:paraId="3F2C6B5B"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Palgrave Macmillan, Cham.</w:t>
      </w:r>
    </w:p>
    <w:p w14:paraId="478F7710" w14:textId="60AFA29D" w:rsidR="009D01B7" w:rsidRPr="009D01B7" w:rsidRDefault="00E26B57" w:rsidP="009D01B7">
      <w:pPr>
        <w:spacing w:after="0" w:line="480" w:lineRule="auto"/>
        <w:jc w:val="both"/>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9D01B7" w:rsidRPr="009D01B7">
        <w:rPr>
          <w:rFonts w:ascii="Times New Roman" w:eastAsia="Times New Roman" w:hAnsi="Times New Roman" w:cs="Times New Roman"/>
          <w:color w:val="0E101A"/>
          <w:kern w:val="0"/>
          <w:sz w:val="24"/>
          <w:szCs w:val="24"/>
          <w14:ligatures w14:val="none"/>
        </w:rPr>
        <w:t xml:space="preserve">Stammler, P. (2023). Social Institutions in Sociology (11 Examples &amp; Definition) Helpful </w:t>
      </w:r>
    </w:p>
    <w:p w14:paraId="65D782AB"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ab/>
        <w:t>Professor.com, Peer Reviewed by Chris Drew (Ph.D.) / April 10, 2023.</w:t>
      </w:r>
    </w:p>
    <w:p w14:paraId="77BF9E8E" w14:textId="62954F4B" w:rsidR="009D01B7" w:rsidRPr="009D01B7" w:rsidRDefault="00E26B57" w:rsidP="009D01B7">
      <w:pPr>
        <w:spacing w:after="0" w:line="480" w:lineRule="auto"/>
        <w:jc w:val="both"/>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9D01B7" w:rsidRPr="009D01B7">
        <w:rPr>
          <w:rFonts w:ascii="Times New Roman" w:eastAsia="Times New Roman" w:hAnsi="Times New Roman" w:cs="Times New Roman"/>
          <w:color w:val="0E101A"/>
          <w:kern w:val="0"/>
          <w:sz w:val="24"/>
          <w:szCs w:val="24"/>
          <w14:ligatures w14:val="none"/>
        </w:rPr>
        <w:t xml:space="preserve">Yeganeh, H. (2023). Culture and innovation: a human emancipation perspective. International </w:t>
      </w:r>
      <w:r w:rsidR="009D01B7" w:rsidRPr="009D01B7">
        <w:rPr>
          <w:rFonts w:ascii="Times New Roman" w:eastAsia="Times New Roman" w:hAnsi="Times New Roman" w:cs="Times New Roman"/>
          <w:color w:val="0E101A"/>
          <w:kern w:val="0"/>
          <w:sz w:val="24"/>
          <w:szCs w:val="24"/>
          <w14:ligatures w14:val="none"/>
        </w:rPr>
        <w:tab/>
        <w:t>Journal of Sociology and Social Policy, (ahead-of-print).</w:t>
      </w:r>
    </w:p>
    <w:p w14:paraId="0D32A686" w14:textId="77777777" w:rsidR="009D01B7" w:rsidRPr="009D01B7" w:rsidRDefault="009D01B7" w:rsidP="009D01B7">
      <w:pPr>
        <w:spacing w:after="0" w:line="480" w:lineRule="auto"/>
        <w:jc w:val="both"/>
        <w:rPr>
          <w:rFonts w:ascii="Times New Roman" w:eastAsia="Times New Roman" w:hAnsi="Times New Roman" w:cs="Times New Roman"/>
          <w:color w:val="0E101A"/>
          <w:kern w:val="0"/>
          <w:sz w:val="24"/>
          <w:szCs w:val="24"/>
          <w14:ligatures w14:val="none"/>
        </w:rPr>
      </w:pPr>
      <w:r w:rsidRPr="009D01B7">
        <w:rPr>
          <w:rFonts w:ascii="Times New Roman" w:eastAsia="Times New Roman" w:hAnsi="Times New Roman" w:cs="Times New Roman"/>
          <w:color w:val="0E101A"/>
          <w:kern w:val="0"/>
          <w:sz w:val="24"/>
          <w:szCs w:val="24"/>
          <w14:ligatures w14:val="none"/>
        </w:rPr>
        <w:t xml:space="preserve">Yin, K., Xing, L., Li, C., &amp; Guo, Y. (2017). Are empowered employees more proactive? The </w:t>
      </w:r>
    </w:p>
    <w:p w14:paraId="3351AC48" w14:textId="4490E052" w:rsidR="001F501D" w:rsidRDefault="009D01B7" w:rsidP="00A4046C">
      <w:pPr>
        <w:spacing w:after="0" w:line="480" w:lineRule="auto"/>
        <w:jc w:val="both"/>
      </w:pPr>
      <w:r w:rsidRPr="009D01B7">
        <w:rPr>
          <w:rFonts w:ascii="Times New Roman" w:eastAsia="Times New Roman" w:hAnsi="Times New Roman" w:cs="Times New Roman"/>
          <w:color w:val="0E101A"/>
          <w:kern w:val="0"/>
          <w:sz w:val="24"/>
          <w:szCs w:val="24"/>
          <w14:ligatures w14:val="none"/>
        </w:rPr>
        <w:tab/>
        <w:t>contingency of how they evaluate their leader. Frontiers in Psychology, 8, 1802.</w:t>
      </w:r>
    </w:p>
    <w:sectPr w:rsidR="001F501D" w:rsidSect="00BF32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D84B" w14:textId="77777777" w:rsidR="007C77D3" w:rsidRDefault="007C77D3" w:rsidP="00CD2201">
      <w:pPr>
        <w:spacing w:after="0" w:line="240" w:lineRule="auto"/>
      </w:pPr>
      <w:r>
        <w:separator/>
      </w:r>
    </w:p>
  </w:endnote>
  <w:endnote w:type="continuationSeparator" w:id="0">
    <w:p w14:paraId="43409A7E" w14:textId="77777777" w:rsidR="007C77D3" w:rsidRDefault="007C77D3" w:rsidP="00CD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A2E1" w14:textId="77777777" w:rsidR="007C77D3" w:rsidRDefault="007C77D3" w:rsidP="00CD2201">
      <w:pPr>
        <w:spacing w:after="0" w:line="240" w:lineRule="auto"/>
      </w:pPr>
      <w:r>
        <w:separator/>
      </w:r>
    </w:p>
  </w:footnote>
  <w:footnote w:type="continuationSeparator" w:id="0">
    <w:p w14:paraId="199BF110" w14:textId="77777777" w:rsidR="007C77D3" w:rsidRDefault="007C77D3" w:rsidP="00CD2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3658763"/>
      <w:docPartObj>
        <w:docPartGallery w:val="Page Numbers (Top of Page)"/>
        <w:docPartUnique/>
      </w:docPartObj>
    </w:sdtPr>
    <w:sdtEndPr>
      <w:rPr>
        <w:noProof/>
      </w:rPr>
    </w:sdtEndPr>
    <w:sdtContent>
      <w:p w14:paraId="5BDD1D62" w14:textId="0A1EC27F" w:rsidR="00CD2201" w:rsidRPr="007E5836" w:rsidRDefault="00CD2201" w:rsidP="00A16170">
        <w:pPr>
          <w:shd w:val="clear" w:color="auto" w:fill="FFFFFF"/>
          <w:spacing w:before="100" w:beforeAutospacing="1" w:after="100" w:afterAutospacing="1" w:line="240" w:lineRule="auto"/>
          <w:jc w:val="center"/>
          <w:rPr>
            <w:rFonts w:ascii="Times New Roman" w:hAnsi="Times New Roman" w:cs="Times New Roman"/>
            <w:sz w:val="20"/>
            <w:szCs w:val="20"/>
          </w:rPr>
        </w:pPr>
        <w:r w:rsidRPr="007E5836">
          <w:rPr>
            <w:rFonts w:ascii="Times New Roman" w:hAnsi="Times New Roman" w:cs="Times New Roman"/>
            <w:sz w:val="20"/>
            <w:szCs w:val="20"/>
          </w:rPr>
          <w:t>Peter Abraham Airewele</w:t>
        </w:r>
        <w:r w:rsidR="007E5836" w:rsidRPr="007E5836">
          <w:rPr>
            <w:rFonts w:ascii="Times New Roman" w:hAnsi="Times New Roman" w:cs="Times New Roman"/>
            <w:sz w:val="20"/>
            <w:szCs w:val="20"/>
          </w:rPr>
          <w:t xml:space="preserve">, DSL, </w:t>
        </w:r>
        <w:r w:rsidRPr="007E5836">
          <w:rPr>
            <w:rFonts w:ascii="Times New Roman" w:hAnsi="Times New Roman" w:cs="Times New Roman"/>
            <w:sz w:val="20"/>
            <w:szCs w:val="20"/>
            <w:shd w:val="clear" w:color="auto" w:fill="FFFFFF"/>
          </w:rPr>
          <w:t>SR 950-32: Clinical and Applied Sociology (Fall 2023)</w:t>
        </w:r>
        <w:r w:rsidR="00A16170">
          <w:rPr>
            <w:rFonts w:ascii="Times New Roman" w:hAnsi="Times New Roman" w:cs="Times New Roman"/>
            <w:sz w:val="20"/>
            <w:szCs w:val="20"/>
            <w:shd w:val="clear" w:color="auto" w:fill="FFFFFF"/>
          </w:rPr>
          <w:t xml:space="preserve">        </w:t>
        </w:r>
        <w:r w:rsidRPr="007E5836">
          <w:rPr>
            <w:rFonts w:ascii="Times New Roman" w:hAnsi="Times New Roman" w:cs="Times New Roman"/>
            <w:sz w:val="20"/>
            <w:szCs w:val="20"/>
          </w:rPr>
          <w:fldChar w:fldCharType="begin"/>
        </w:r>
        <w:r w:rsidRPr="007E5836">
          <w:rPr>
            <w:rFonts w:ascii="Times New Roman" w:hAnsi="Times New Roman" w:cs="Times New Roman"/>
            <w:sz w:val="20"/>
            <w:szCs w:val="20"/>
          </w:rPr>
          <w:instrText xml:space="preserve"> PAGE   \* MERGEFORMAT </w:instrText>
        </w:r>
        <w:r w:rsidRPr="007E5836">
          <w:rPr>
            <w:rFonts w:ascii="Times New Roman" w:hAnsi="Times New Roman" w:cs="Times New Roman"/>
            <w:sz w:val="20"/>
            <w:szCs w:val="20"/>
          </w:rPr>
          <w:fldChar w:fldCharType="separate"/>
        </w:r>
        <w:r w:rsidRPr="007E5836">
          <w:rPr>
            <w:rFonts w:ascii="Times New Roman" w:hAnsi="Times New Roman" w:cs="Times New Roman"/>
            <w:noProof/>
            <w:sz w:val="20"/>
            <w:szCs w:val="20"/>
          </w:rPr>
          <w:t>2</w:t>
        </w:r>
        <w:r w:rsidRPr="007E5836">
          <w:rPr>
            <w:rFonts w:ascii="Times New Roman" w:hAnsi="Times New Roman" w:cs="Times New Roman"/>
            <w:noProof/>
            <w:sz w:val="20"/>
            <w:szCs w:val="20"/>
          </w:rPr>
          <w:fldChar w:fldCharType="end"/>
        </w:r>
      </w:p>
    </w:sdtContent>
  </w:sdt>
  <w:p w14:paraId="4FE75FF4" w14:textId="77777777" w:rsidR="00CD2201" w:rsidRPr="007E5836" w:rsidRDefault="00CD2201">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94CCC"/>
    <w:multiLevelType w:val="multilevel"/>
    <w:tmpl w:val="D0F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D1AA2"/>
    <w:multiLevelType w:val="hybridMultilevel"/>
    <w:tmpl w:val="F3CA1330"/>
    <w:lvl w:ilvl="0" w:tplc="19A2AE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864E7"/>
    <w:multiLevelType w:val="hybridMultilevel"/>
    <w:tmpl w:val="1152F974"/>
    <w:lvl w:ilvl="0" w:tplc="9FBC9B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376892">
    <w:abstractNumId w:val="0"/>
  </w:num>
  <w:num w:numId="2" w16cid:durableId="163936916">
    <w:abstractNumId w:val="2"/>
  </w:num>
  <w:num w:numId="3" w16cid:durableId="177709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CF"/>
    <w:rsid w:val="00015AD5"/>
    <w:rsid w:val="000454B3"/>
    <w:rsid w:val="00076066"/>
    <w:rsid w:val="000E1612"/>
    <w:rsid w:val="000E4F92"/>
    <w:rsid w:val="00103417"/>
    <w:rsid w:val="001346D3"/>
    <w:rsid w:val="00163B89"/>
    <w:rsid w:val="00177E8D"/>
    <w:rsid w:val="001A6A23"/>
    <w:rsid w:val="001F4079"/>
    <w:rsid w:val="001F501D"/>
    <w:rsid w:val="002008EF"/>
    <w:rsid w:val="002155F4"/>
    <w:rsid w:val="00222EF7"/>
    <w:rsid w:val="0022403C"/>
    <w:rsid w:val="002315FE"/>
    <w:rsid w:val="00253C11"/>
    <w:rsid w:val="002547B4"/>
    <w:rsid w:val="00272074"/>
    <w:rsid w:val="0027314F"/>
    <w:rsid w:val="002A17CA"/>
    <w:rsid w:val="002E6ABB"/>
    <w:rsid w:val="00313DA6"/>
    <w:rsid w:val="0033676E"/>
    <w:rsid w:val="00353E24"/>
    <w:rsid w:val="0039664F"/>
    <w:rsid w:val="003B20E8"/>
    <w:rsid w:val="003B2BCA"/>
    <w:rsid w:val="003E46F0"/>
    <w:rsid w:val="003F7BAC"/>
    <w:rsid w:val="0040412A"/>
    <w:rsid w:val="0040490F"/>
    <w:rsid w:val="00432D50"/>
    <w:rsid w:val="00474167"/>
    <w:rsid w:val="004F1E0D"/>
    <w:rsid w:val="005352A8"/>
    <w:rsid w:val="005429C7"/>
    <w:rsid w:val="00542B29"/>
    <w:rsid w:val="00577618"/>
    <w:rsid w:val="005A7DB6"/>
    <w:rsid w:val="005C12F0"/>
    <w:rsid w:val="005D19FA"/>
    <w:rsid w:val="005E0D80"/>
    <w:rsid w:val="005F53D3"/>
    <w:rsid w:val="00612068"/>
    <w:rsid w:val="00632B64"/>
    <w:rsid w:val="0064273F"/>
    <w:rsid w:val="006A6FD5"/>
    <w:rsid w:val="006B2129"/>
    <w:rsid w:val="006C12BF"/>
    <w:rsid w:val="00705F18"/>
    <w:rsid w:val="00737989"/>
    <w:rsid w:val="00760CE4"/>
    <w:rsid w:val="00770C69"/>
    <w:rsid w:val="007813CC"/>
    <w:rsid w:val="007911EF"/>
    <w:rsid w:val="0079460D"/>
    <w:rsid w:val="007C7015"/>
    <w:rsid w:val="007C777F"/>
    <w:rsid w:val="007C77D3"/>
    <w:rsid w:val="007E5836"/>
    <w:rsid w:val="007F75CE"/>
    <w:rsid w:val="0080034E"/>
    <w:rsid w:val="0083337B"/>
    <w:rsid w:val="00835877"/>
    <w:rsid w:val="008506BE"/>
    <w:rsid w:val="008853DC"/>
    <w:rsid w:val="00887F41"/>
    <w:rsid w:val="008A4A8D"/>
    <w:rsid w:val="008C3E50"/>
    <w:rsid w:val="008E7014"/>
    <w:rsid w:val="009067CC"/>
    <w:rsid w:val="00966F8A"/>
    <w:rsid w:val="00977E52"/>
    <w:rsid w:val="00991475"/>
    <w:rsid w:val="009C7689"/>
    <w:rsid w:val="009D01B7"/>
    <w:rsid w:val="009F423E"/>
    <w:rsid w:val="009F4615"/>
    <w:rsid w:val="00A0465D"/>
    <w:rsid w:val="00A149B1"/>
    <w:rsid w:val="00A16170"/>
    <w:rsid w:val="00A4046C"/>
    <w:rsid w:val="00A705A6"/>
    <w:rsid w:val="00A83610"/>
    <w:rsid w:val="00A95CAD"/>
    <w:rsid w:val="00AE331B"/>
    <w:rsid w:val="00AF4E78"/>
    <w:rsid w:val="00B14087"/>
    <w:rsid w:val="00B364AB"/>
    <w:rsid w:val="00B526D4"/>
    <w:rsid w:val="00B528E3"/>
    <w:rsid w:val="00B56DF4"/>
    <w:rsid w:val="00B66BCF"/>
    <w:rsid w:val="00B732EA"/>
    <w:rsid w:val="00B8100D"/>
    <w:rsid w:val="00BA18EA"/>
    <w:rsid w:val="00BB347B"/>
    <w:rsid w:val="00BB539B"/>
    <w:rsid w:val="00BE32ED"/>
    <w:rsid w:val="00BF3212"/>
    <w:rsid w:val="00BF4FE5"/>
    <w:rsid w:val="00C154DF"/>
    <w:rsid w:val="00C404B6"/>
    <w:rsid w:val="00C5134F"/>
    <w:rsid w:val="00C53F60"/>
    <w:rsid w:val="00C54790"/>
    <w:rsid w:val="00C5616E"/>
    <w:rsid w:val="00C72EDB"/>
    <w:rsid w:val="00C804D1"/>
    <w:rsid w:val="00C84BA3"/>
    <w:rsid w:val="00C91A68"/>
    <w:rsid w:val="00CC0FEC"/>
    <w:rsid w:val="00CD2201"/>
    <w:rsid w:val="00CD5842"/>
    <w:rsid w:val="00CF6E17"/>
    <w:rsid w:val="00D01C29"/>
    <w:rsid w:val="00D51E03"/>
    <w:rsid w:val="00D70DFC"/>
    <w:rsid w:val="00D816DA"/>
    <w:rsid w:val="00D95B32"/>
    <w:rsid w:val="00DE1470"/>
    <w:rsid w:val="00E0340B"/>
    <w:rsid w:val="00E26B57"/>
    <w:rsid w:val="00E32361"/>
    <w:rsid w:val="00E45037"/>
    <w:rsid w:val="00E5306F"/>
    <w:rsid w:val="00E62969"/>
    <w:rsid w:val="00E63448"/>
    <w:rsid w:val="00E94291"/>
    <w:rsid w:val="00F102E3"/>
    <w:rsid w:val="00F725C8"/>
    <w:rsid w:val="00FB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5872"/>
  <w15:chartTrackingRefBased/>
  <w15:docId w15:val="{68678B95-4EB9-4C92-8432-0396877F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6D3"/>
    <w:pPr>
      <w:spacing w:after="0" w:line="240" w:lineRule="auto"/>
    </w:pPr>
  </w:style>
  <w:style w:type="paragraph" w:styleId="Header">
    <w:name w:val="header"/>
    <w:basedOn w:val="Normal"/>
    <w:link w:val="HeaderChar"/>
    <w:uiPriority w:val="99"/>
    <w:unhideWhenUsed/>
    <w:rsid w:val="00CD2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201"/>
  </w:style>
  <w:style w:type="paragraph" w:styleId="Footer">
    <w:name w:val="footer"/>
    <w:basedOn w:val="Normal"/>
    <w:link w:val="FooterChar"/>
    <w:uiPriority w:val="99"/>
    <w:unhideWhenUsed/>
    <w:rsid w:val="00CD2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201"/>
  </w:style>
  <w:style w:type="paragraph" w:styleId="ListParagraph">
    <w:name w:val="List Paragraph"/>
    <w:basedOn w:val="Normal"/>
    <w:uiPriority w:val="34"/>
    <w:qFormat/>
    <w:rsid w:val="009D01B7"/>
    <w:pPr>
      <w:ind w:left="720"/>
      <w:contextualSpacing/>
    </w:pPr>
  </w:style>
  <w:style w:type="paragraph" w:styleId="NormalWeb">
    <w:name w:val="Normal (Web)"/>
    <w:basedOn w:val="Normal"/>
    <w:uiPriority w:val="99"/>
    <w:semiHidden/>
    <w:unhideWhenUsed/>
    <w:rsid w:val="003B2B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B2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4130">
      <w:bodyDiv w:val="1"/>
      <w:marLeft w:val="0"/>
      <w:marRight w:val="0"/>
      <w:marTop w:val="0"/>
      <w:marBottom w:val="0"/>
      <w:divBdr>
        <w:top w:val="none" w:sz="0" w:space="0" w:color="auto"/>
        <w:left w:val="none" w:sz="0" w:space="0" w:color="auto"/>
        <w:bottom w:val="none" w:sz="0" w:space="0" w:color="auto"/>
        <w:right w:val="none" w:sz="0" w:space="0" w:color="auto"/>
      </w:divBdr>
    </w:div>
    <w:div w:id="748112898">
      <w:bodyDiv w:val="1"/>
      <w:marLeft w:val="0"/>
      <w:marRight w:val="0"/>
      <w:marTop w:val="0"/>
      <w:marBottom w:val="0"/>
      <w:divBdr>
        <w:top w:val="none" w:sz="0" w:space="0" w:color="auto"/>
        <w:left w:val="none" w:sz="0" w:space="0" w:color="auto"/>
        <w:bottom w:val="none" w:sz="0" w:space="0" w:color="auto"/>
        <w:right w:val="none" w:sz="0" w:space="0" w:color="auto"/>
      </w:divBdr>
    </w:div>
    <w:div w:id="1103653236">
      <w:bodyDiv w:val="1"/>
      <w:marLeft w:val="0"/>
      <w:marRight w:val="0"/>
      <w:marTop w:val="0"/>
      <w:marBottom w:val="0"/>
      <w:divBdr>
        <w:top w:val="none" w:sz="0" w:space="0" w:color="auto"/>
        <w:left w:val="none" w:sz="0" w:space="0" w:color="auto"/>
        <w:bottom w:val="none" w:sz="0" w:space="0" w:color="auto"/>
        <w:right w:val="none" w:sz="0" w:space="0" w:color="auto"/>
      </w:divBdr>
    </w:div>
    <w:div w:id="1438984081">
      <w:bodyDiv w:val="1"/>
      <w:marLeft w:val="0"/>
      <w:marRight w:val="0"/>
      <w:marTop w:val="0"/>
      <w:marBottom w:val="0"/>
      <w:divBdr>
        <w:top w:val="none" w:sz="0" w:space="0" w:color="auto"/>
        <w:left w:val="none" w:sz="0" w:space="0" w:color="auto"/>
        <w:bottom w:val="none" w:sz="0" w:space="0" w:color="auto"/>
        <w:right w:val="none" w:sz="0" w:space="0" w:color="auto"/>
      </w:divBdr>
    </w:div>
    <w:div w:id="15547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5</cp:revision>
  <dcterms:created xsi:type="dcterms:W3CDTF">2023-08-26T18:43:00Z</dcterms:created>
  <dcterms:modified xsi:type="dcterms:W3CDTF">2023-08-26T18:59:00Z</dcterms:modified>
</cp:coreProperties>
</file>