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7" w14:textId="55AA2C27" w:rsidR="001035C8" w:rsidRDefault="0044771F">
      <w:pPr>
        <w:spacing w:line="240" w:lineRule="auto"/>
        <w:ind w:firstLine="0"/>
        <w:jc w:val="center"/>
      </w:pPr>
      <w:r>
        <w:t>Persuasive Communications</w:t>
      </w:r>
    </w:p>
    <w:p w14:paraId="63A269B3" w14:textId="77777777" w:rsidR="009609CE" w:rsidRDefault="009609CE">
      <w:pPr>
        <w:spacing w:line="240" w:lineRule="auto"/>
        <w:ind w:firstLine="0"/>
        <w:jc w:val="center"/>
      </w:pPr>
    </w:p>
    <w:p w14:paraId="00000008" w14:textId="77777777" w:rsidR="001035C8" w:rsidRDefault="001035C8">
      <w:pPr>
        <w:spacing w:line="240" w:lineRule="auto"/>
        <w:ind w:firstLine="0"/>
        <w:jc w:val="center"/>
      </w:pPr>
    </w:p>
    <w:p w14:paraId="00000009" w14:textId="666945C0" w:rsidR="001035C8" w:rsidRDefault="0044771F">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26629F90" w:rsidR="001035C8" w:rsidRDefault="0044771F">
      <w:pPr>
        <w:spacing w:line="240" w:lineRule="auto"/>
        <w:ind w:firstLine="0"/>
        <w:jc w:val="center"/>
      </w:pPr>
      <w:r>
        <w:t>October 2</w:t>
      </w:r>
      <w:r w:rsidR="00286115">
        <w:t>9</w:t>
      </w:r>
      <w:r>
        <w:t>, 202</w:t>
      </w:r>
      <w:r w:rsidR="00881606">
        <w:t>3</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7487DAC6" w:rsidR="001035C8" w:rsidRDefault="00000000">
      <w:pPr>
        <w:spacing w:line="240" w:lineRule="auto"/>
        <w:ind w:firstLine="0"/>
        <w:jc w:val="center"/>
      </w:pPr>
      <w:bookmarkStart w:id="0" w:name="_Hlk149383885"/>
      <w:r>
        <w:t xml:space="preserve">Dr. </w:t>
      </w:r>
      <w:r w:rsidR="00881606">
        <w:t>McClane</w:t>
      </w:r>
    </w:p>
    <w:bookmarkEnd w:id="0"/>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752E59E2" w14:textId="7EB09ECB" w:rsidR="009609CE" w:rsidRDefault="009609CE" w:rsidP="009609CE">
      <w:pPr>
        <w:spacing w:line="240" w:lineRule="auto"/>
        <w:ind w:firstLine="0"/>
        <w:jc w:val="center"/>
      </w:pPr>
      <w:r>
        <w:t>Essay Title:</w:t>
      </w:r>
      <w:r w:rsidRPr="009609CE">
        <w:t xml:space="preserve"> </w:t>
      </w:r>
    </w:p>
    <w:p w14:paraId="42F23813" w14:textId="0E3B2B37" w:rsidR="009609CE" w:rsidRDefault="009609CE" w:rsidP="009609CE">
      <w:pPr>
        <w:spacing w:line="240" w:lineRule="auto"/>
        <w:ind w:firstLine="0"/>
      </w:pPr>
    </w:p>
    <w:p w14:paraId="615E11EF" w14:textId="77777777" w:rsidR="009609CE" w:rsidRDefault="009609CE" w:rsidP="009609CE">
      <w:bookmarkStart w:id="1" w:name="_Hlk149383922"/>
      <w:r>
        <w:t>An Argument Against Christian Nationalism from a Christian Sociological Perspective</w:t>
      </w:r>
    </w:p>
    <w:bookmarkEnd w:id="1"/>
    <w:p w14:paraId="3112EFD0" w14:textId="77777777" w:rsidR="009609CE" w:rsidRDefault="009609CE" w:rsidP="009609CE"/>
    <w:p w14:paraId="557C40D9" w14:textId="77777777" w:rsidR="009609CE" w:rsidRDefault="009609CE" w:rsidP="009609CE"/>
    <w:p w14:paraId="52E22172" w14:textId="77777777" w:rsidR="009609CE" w:rsidRDefault="009609CE" w:rsidP="009609CE"/>
    <w:p w14:paraId="0C2841FA" w14:textId="77777777" w:rsidR="009609CE" w:rsidRDefault="009609CE" w:rsidP="009609CE"/>
    <w:p w14:paraId="5B314033" w14:textId="77777777" w:rsidR="009609CE" w:rsidRDefault="009609CE" w:rsidP="009609CE"/>
    <w:p w14:paraId="3539CAA5" w14:textId="77777777" w:rsidR="009609CE" w:rsidRDefault="009609CE" w:rsidP="009609CE"/>
    <w:p w14:paraId="00000018" w14:textId="70E2E047" w:rsidR="001035C8" w:rsidRDefault="001035C8">
      <w:pPr>
        <w:tabs>
          <w:tab w:val="right" w:pos="8640"/>
          <w:tab w:val="right" w:pos="8640"/>
        </w:tabs>
        <w:spacing w:line="240" w:lineRule="auto"/>
        <w:ind w:firstLine="0"/>
      </w:pPr>
    </w:p>
    <w:p w14:paraId="4DB03F90" w14:textId="77777777" w:rsidR="00881606" w:rsidRDefault="00881606" w:rsidP="00881606">
      <w:pPr>
        <w:tabs>
          <w:tab w:val="right" w:pos="8640"/>
          <w:tab w:val="right" w:pos="8640"/>
        </w:tabs>
        <w:spacing w:line="240" w:lineRule="auto"/>
        <w:ind w:firstLine="0"/>
      </w:pPr>
      <w:r>
        <w:t>Assignment #1 – Thesis Statement</w:t>
      </w:r>
    </w:p>
    <w:p w14:paraId="7D83477B" w14:textId="77777777" w:rsidR="00881606" w:rsidRDefault="00881606" w:rsidP="00881606">
      <w:pPr>
        <w:tabs>
          <w:tab w:val="right" w:pos="8640"/>
          <w:tab w:val="right" w:pos="8640"/>
        </w:tabs>
        <w:spacing w:line="240" w:lineRule="auto"/>
        <w:ind w:firstLine="0"/>
      </w:pPr>
      <w:r>
        <w:t>1. Generate a thesis statement for your persuasive essay.</w:t>
      </w:r>
    </w:p>
    <w:p w14:paraId="305A4786" w14:textId="3FF74277" w:rsidR="00881606" w:rsidRDefault="00881606" w:rsidP="00881606">
      <w:pPr>
        <w:tabs>
          <w:tab w:val="right" w:pos="8640"/>
          <w:tab w:val="right" w:pos="8640"/>
        </w:tabs>
        <w:spacing w:line="240" w:lineRule="auto"/>
        <w:ind w:firstLine="0"/>
      </w:pPr>
      <w:r>
        <w:t>a. Using the OGS Forum Paper Template, complete the following:</w:t>
      </w:r>
    </w:p>
    <w:p w14:paraId="1276B3AD" w14:textId="3156DE2F" w:rsidR="00881606" w:rsidRDefault="00881606" w:rsidP="00881606">
      <w:pPr>
        <w:tabs>
          <w:tab w:val="right" w:pos="8640"/>
          <w:tab w:val="right" w:pos="8640"/>
        </w:tabs>
        <w:spacing w:line="240" w:lineRule="auto"/>
        <w:ind w:firstLine="0"/>
      </w:pPr>
      <w:r>
        <w:tab/>
      </w:r>
      <w:proofErr w:type="spellStart"/>
      <w:r>
        <w:t>i</w:t>
      </w:r>
      <w:proofErr w:type="spellEnd"/>
      <w:r>
        <w:t>. Enter your essay title on the title page and the first page of the essay. Complete the rest of the title page.</w:t>
      </w:r>
    </w:p>
    <w:p w14:paraId="6ED7BF13" w14:textId="77777777" w:rsidR="00881606" w:rsidRDefault="00881606" w:rsidP="00881606">
      <w:pPr>
        <w:tabs>
          <w:tab w:val="right" w:pos="8640"/>
          <w:tab w:val="right" w:pos="8640"/>
        </w:tabs>
        <w:spacing w:line="240" w:lineRule="auto"/>
        <w:ind w:firstLine="0"/>
      </w:pPr>
      <w:r>
        <w:t>ii. Use the Thesis Statement Generator to draft a thesis statement. Use only the “generate example” to view several examples of a well-written thesis statement.</w:t>
      </w:r>
    </w:p>
    <w:p w14:paraId="65CA23D3" w14:textId="77777777" w:rsidR="00881606" w:rsidRDefault="00881606" w:rsidP="00881606">
      <w:pPr>
        <w:tabs>
          <w:tab w:val="right" w:pos="8640"/>
          <w:tab w:val="right" w:pos="8640"/>
        </w:tabs>
        <w:spacing w:line="240" w:lineRule="auto"/>
        <w:ind w:firstLine="0"/>
      </w:pPr>
      <w:r>
        <w:t>iii. On the Thesis Statement page, enter a clear, concise thesis statement of the argumentative position.</w:t>
      </w:r>
    </w:p>
    <w:p w14:paraId="16CD5376" w14:textId="77777777" w:rsidR="00881606" w:rsidRDefault="00881606" w:rsidP="00881606">
      <w:pPr>
        <w:tabs>
          <w:tab w:val="right" w:pos="8640"/>
          <w:tab w:val="right" w:pos="8640"/>
        </w:tabs>
        <w:spacing w:line="240" w:lineRule="auto"/>
        <w:ind w:firstLine="0"/>
      </w:pPr>
      <w:r>
        <w:t>iv. In the body of the paper, write a three-paragraph description of the topic that includes the basic logic behind your argument.</w:t>
      </w:r>
    </w:p>
    <w:p w14:paraId="5E07885E" w14:textId="77777777" w:rsidR="00881606" w:rsidRDefault="00881606" w:rsidP="00881606">
      <w:pPr>
        <w:tabs>
          <w:tab w:val="right" w:pos="8640"/>
          <w:tab w:val="right" w:pos="8640"/>
        </w:tabs>
        <w:spacing w:line="240" w:lineRule="auto"/>
        <w:ind w:firstLine="0"/>
      </w:pPr>
      <w:r>
        <w:t xml:space="preserve">v. In the Works Cited section, enter a minimum of 11 references relevant to your topic. Include no more than two books; the remaining references should be for journal articles from a minimum of four different academic journals. Use only primary research articles with </w:t>
      </w:r>
      <w:proofErr w:type="gramStart"/>
      <w:r>
        <w:t>a majority of</w:t>
      </w:r>
      <w:proofErr w:type="gramEnd"/>
      <w:r>
        <w:t xml:space="preserve"> them published within the past 5 years. Include references to both support (additive) and counter (variant) your argument.</w:t>
      </w:r>
    </w:p>
    <w:p w14:paraId="45C89ECF" w14:textId="62076852" w:rsidR="00881606" w:rsidRDefault="00881606" w:rsidP="00881606">
      <w:pPr>
        <w:tabs>
          <w:tab w:val="right" w:pos="8640"/>
          <w:tab w:val="right" w:pos="8640"/>
        </w:tabs>
        <w:spacing w:line="240" w:lineRule="auto"/>
        <w:ind w:firstLine="0"/>
      </w:pPr>
      <w:r>
        <w:t>b. Professor will check for quality of content and word-count requirements. Grade assigned will be Credit or No Credit (CR/NC).</w:t>
      </w:r>
    </w:p>
    <w:p w14:paraId="00000019" w14:textId="77777777" w:rsidR="001035C8" w:rsidRDefault="001035C8">
      <w:pPr>
        <w:tabs>
          <w:tab w:val="right" w:pos="8640"/>
          <w:tab w:val="right" w:pos="8640"/>
        </w:tabs>
      </w:pPr>
    </w:p>
    <w:p w14:paraId="0000001B" w14:textId="77777777" w:rsidR="001035C8" w:rsidRDefault="001035C8">
      <w:pPr>
        <w:tabs>
          <w:tab w:val="right" w:pos="8640"/>
          <w:tab w:val="right" w:pos="8640"/>
        </w:tabs>
      </w:pPr>
    </w:p>
    <w:p w14:paraId="0000001C" w14:textId="77777777" w:rsidR="001035C8" w:rsidRDefault="001035C8">
      <w:pPr>
        <w:tabs>
          <w:tab w:val="right" w:pos="8640"/>
          <w:tab w:val="right" w:pos="8640"/>
        </w:tabs>
      </w:pPr>
    </w:p>
    <w:p w14:paraId="0000001D" w14:textId="77777777" w:rsidR="001035C8" w:rsidRDefault="001035C8">
      <w:pPr>
        <w:tabs>
          <w:tab w:val="right" w:pos="8640"/>
          <w:tab w:val="right" w:pos="8640"/>
        </w:tabs>
      </w:pPr>
    </w:p>
    <w:p w14:paraId="0000001E" w14:textId="77777777" w:rsidR="001035C8" w:rsidRDefault="001035C8">
      <w:pPr>
        <w:tabs>
          <w:tab w:val="right" w:pos="8640"/>
          <w:tab w:val="right" w:pos="8640"/>
        </w:tabs>
      </w:pPr>
    </w:p>
    <w:p w14:paraId="0000001F" w14:textId="77777777" w:rsidR="001035C8" w:rsidRDefault="001035C8">
      <w:pPr>
        <w:tabs>
          <w:tab w:val="right" w:pos="8640"/>
          <w:tab w:val="right" w:pos="8640"/>
        </w:tabs>
      </w:pPr>
    </w:p>
    <w:p w14:paraId="00000020" w14:textId="77777777" w:rsidR="001035C8" w:rsidRDefault="001035C8">
      <w:pPr>
        <w:tabs>
          <w:tab w:val="right" w:pos="8640"/>
          <w:tab w:val="right" w:pos="8640"/>
        </w:tabs>
      </w:pPr>
    </w:p>
    <w:p w14:paraId="00000021" w14:textId="77777777" w:rsidR="001035C8" w:rsidRDefault="001035C8">
      <w:pPr>
        <w:tabs>
          <w:tab w:val="right" w:pos="8640"/>
          <w:tab w:val="right" w:pos="8640"/>
        </w:tabs>
      </w:pPr>
    </w:p>
    <w:p w14:paraId="00000022" w14:textId="77777777" w:rsidR="001035C8" w:rsidRDefault="001035C8">
      <w:pPr>
        <w:tabs>
          <w:tab w:val="right" w:pos="8640"/>
          <w:tab w:val="right" w:pos="8640"/>
        </w:tabs>
      </w:pPr>
    </w:p>
    <w:p w14:paraId="00000023" w14:textId="77777777" w:rsidR="001035C8" w:rsidRDefault="001035C8">
      <w:pPr>
        <w:tabs>
          <w:tab w:val="right" w:pos="8640"/>
          <w:tab w:val="right" w:pos="8640"/>
        </w:tabs>
      </w:pPr>
    </w:p>
    <w:p w14:paraId="00000024" w14:textId="77777777" w:rsidR="001035C8" w:rsidRDefault="001035C8">
      <w:pPr>
        <w:tabs>
          <w:tab w:val="right" w:pos="8640"/>
          <w:tab w:val="right" w:pos="8640"/>
        </w:tabs>
      </w:pPr>
    </w:p>
    <w:p w14:paraId="00000025" w14:textId="77777777" w:rsidR="001035C8" w:rsidRDefault="001035C8">
      <w:pPr>
        <w:tabs>
          <w:tab w:val="right" w:pos="8640"/>
          <w:tab w:val="right" w:pos="8640"/>
        </w:tabs>
      </w:pPr>
    </w:p>
    <w:p w14:paraId="00000026" w14:textId="77777777" w:rsidR="001035C8" w:rsidRDefault="001035C8">
      <w:pPr>
        <w:tabs>
          <w:tab w:val="right" w:pos="8640"/>
          <w:tab w:val="right" w:pos="8640"/>
        </w:tabs>
      </w:pPr>
    </w:p>
    <w:p w14:paraId="272D6A9B" w14:textId="77777777" w:rsidR="009609CE" w:rsidRDefault="009609CE" w:rsidP="009609CE">
      <w:pPr>
        <w:ind w:firstLine="0"/>
      </w:pPr>
    </w:p>
    <w:p w14:paraId="42BC06FB" w14:textId="42649177" w:rsidR="009609CE" w:rsidRDefault="009609CE" w:rsidP="009609CE">
      <w:pPr>
        <w:ind w:firstLine="0"/>
        <w:rPr>
          <w:b/>
          <w:bCs/>
        </w:rPr>
      </w:pPr>
      <w:r w:rsidRPr="009609CE">
        <w:rPr>
          <w:b/>
          <w:bCs/>
        </w:rPr>
        <w:lastRenderedPageBreak/>
        <w:t>An Argument Against Christian Nationalism from a Christian Sociological Perspective</w:t>
      </w:r>
    </w:p>
    <w:p w14:paraId="32355FCC" w14:textId="77777777" w:rsidR="009609CE" w:rsidRDefault="009609CE" w:rsidP="009609CE">
      <w:pPr>
        <w:ind w:firstLine="0"/>
      </w:pPr>
    </w:p>
    <w:p w14:paraId="4E89BE46" w14:textId="77777777" w:rsidR="00B955AD" w:rsidRDefault="00B955AD" w:rsidP="00B955AD">
      <w:pPr>
        <w:ind w:firstLine="0"/>
      </w:pPr>
      <w:r>
        <w:t xml:space="preserve">Thesis Statement: Christian Nationalism is the pursuit of establishing a nation that adheres to Christian legalism enacted in the nation’s laws and policies. Which is inherently un-Christian and unjust to members of society as well as a hindrance to people coming to the saving faith of Christianity because Christianity is seen as a political power movement instead of a religious belief system and a way of life. </w:t>
      </w:r>
    </w:p>
    <w:p w14:paraId="5A9178B2" w14:textId="77777777" w:rsidR="00B955AD" w:rsidRDefault="00B955AD" w:rsidP="009609CE">
      <w:pPr>
        <w:ind w:firstLine="0"/>
      </w:pPr>
    </w:p>
    <w:p w14:paraId="5008439F" w14:textId="363836A9" w:rsidR="0019598B" w:rsidRDefault="0019598B" w:rsidP="0019598B">
      <w:r>
        <w:t>Christian Nationalism, defined as</w:t>
      </w:r>
      <w:r w:rsidRPr="00710A3E">
        <w:t xml:space="preserve"> a political movement that seeks to make a nation’s laws, social policy, culture, society, and political power Christianized.</w:t>
      </w:r>
      <w:r>
        <w:t xml:space="preserve"> This may seem appealing to Christians to have a nation’s society Christianized by way of the political system. However, there are theological, social-structural, agency, and moral problems with trying to Christianize a nation through political means. </w:t>
      </w:r>
      <w:r w:rsidR="0044051E">
        <w:t>M</w:t>
      </w:r>
      <w:r w:rsidR="0044051E" w:rsidRPr="0044051E">
        <w:t>any Christians have an isolated framework to only see the world through a Christian church perspective, life in its entirety is within the walls of the church</w:t>
      </w:r>
      <w:r w:rsidR="0044051E">
        <w:t xml:space="preserve"> and may not see the perils of Christian nationalism. However, incorporating a sociological perspective into </w:t>
      </w:r>
      <w:r>
        <w:t>Christian</w:t>
      </w:r>
      <w:r w:rsidR="0044051E">
        <w:t xml:space="preserve"> thinking</w:t>
      </w:r>
      <w:r>
        <w:t xml:space="preserve"> </w:t>
      </w:r>
      <w:r w:rsidR="0044051E">
        <w:t xml:space="preserve">would provide us insight into navigating our Christian beliefs within our society </w:t>
      </w:r>
      <w:proofErr w:type="gramStart"/>
      <w:r w:rsidR="0044051E">
        <w:t>in order to</w:t>
      </w:r>
      <w:proofErr w:type="gramEnd"/>
      <w:r w:rsidR="0044051E">
        <w:t xml:space="preserve"> make positive social change to our society without pursuing Christian nationalism.</w:t>
      </w:r>
    </w:p>
    <w:p w14:paraId="681706FF" w14:textId="38AE961C" w:rsidR="0019598B" w:rsidRDefault="0019598B" w:rsidP="0019598B">
      <w:r>
        <w:t xml:space="preserve">In addressing Christian nationalism, there are several points that will need to </w:t>
      </w:r>
      <w:r w:rsidR="0043578D">
        <w:t>be addressed</w:t>
      </w:r>
      <w:r>
        <w:t xml:space="preserve">; 1) Isolation of Christian thinking vs thinking Christian sociologically, 2) the religious factors of the founding of America, 3) Historical examples of religion becoming politicized, 4) Understanding of the biblical mandate, 5) the distinction between influencing society for Christ and pursuing a political-religious system as Christian nationalism, 6) distinguishing Christian </w:t>
      </w:r>
      <w:r>
        <w:lastRenderedPageBreak/>
        <w:t xml:space="preserve">duty from civic duty, 7) examining the consequences of Christian nationalism. </w:t>
      </w:r>
      <w:r w:rsidR="0043578D">
        <w:t xml:space="preserve">Addressing these points will establish the framework to make the argument against Christian nationalism from a Christian sociological perspective.  </w:t>
      </w:r>
      <w:r>
        <w:t xml:space="preserve">   </w:t>
      </w:r>
    </w:p>
    <w:p w14:paraId="5674557A" w14:textId="3384FC24" w:rsidR="0019598B" w:rsidRDefault="00BE2DA8" w:rsidP="0019598B">
      <w:r>
        <w:t xml:space="preserve">In presenting the case it would need to be shown that </w:t>
      </w:r>
      <w:r w:rsidR="0019598B" w:rsidRPr="004034AC">
        <w:t>Christians should engage</w:t>
      </w:r>
      <w:r>
        <w:t xml:space="preserve"> the society</w:t>
      </w:r>
      <w:r w:rsidR="0019598B" w:rsidRPr="004034AC">
        <w:t xml:space="preserve"> to make positive changes in culture, laws, and society</w:t>
      </w:r>
      <w:r w:rsidR="0019598B">
        <w:t>.</w:t>
      </w:r>
      <w:r w:rsidR="0019598B" w:rsidRPr="004034AC">
        <w:t xml:space="preserve"> </w:t>
      </w:r>
      <w:r w:rsidR="0019598B">
        <w:t>However,</w:t>
      </w:r>
      <w:r>
        <w:t xml:space="preserve"> there are ways to do this that do not invoke Christian nationalism. A clear distinction would need to be made. In addition,</w:t>
      </w:r>
      <w:r w:rsidR="0019598B" w:rsidRPr="004034AC">
        <w:t xml:space="preserve"> </w:t>
      </w:r>
      <w:r w:rsidR="00F6189C">
        <w:t xml:space="preserve">the case would need to be made about how Christian nationalism </w:t>
      </w:r>
      <w:r w:rsidR="0019598B" w:rsidRPr="004034AC">
        <w:t>detracts Christians from their Christian duty</w:t>
      </w:r>
      <w:r w:rsidR="00F6189C">
        <w:t>,</w:t>
      </w:r>
      <w:r w:rsidR="0019598B" w:rsidRPr="004034AC">
        <w:t xml:space="preserve"> </w:t>
      </w:r>
      <w:r w:rsidR="00F6189C">
        <w:t xml:space="preserve">how Christian nationalism is a system of legalism, and how </w:t>
      </w:r>
      <w:r w:rsidR="0019598B" w:rsidRPr="004034AC">
        <w:t xml:space="preserve">Christian Nationalism promotes utilizing Christianity </w:t>
      </w:r>
      <w:proofErr w:type="gramStart"/>
      <w:r w:rsidR="00F6189C">
        <w:t xml:space="preserve">as a means </w:t>
      </w:r>
      <w:r w:rsidR="0019598B" w:rsidRPr="004034AC">
        <w:t>to</w:t>
      </w:r>
      <w:proofErr w:type="gramEnd"/>
      <w:r w:rsidR="0019598B" w:rsidRPr="004034AC">
        <w:t xml:space="preserve"> gain political power</w:t>
      </w:r>
      <w:r w:rsidR="0019598B">
        <w:t xml:space="preserve"> as the </w:t>
      </w:r>
      <w:r w:rsidR="00F6189C">
        <w:t>ends</w:t>
      </w:r>
      <w:r w:rsidR="0019598B">
        <w:t>.</w:t>
      </w:r>
    </w:p>
    <w:p w14:paraId="499780C5" w14:textId="63DC09F1" w:rsidR="00F6189C" w:rsidRDefault="00F6189C" w:rsidP="0019598B">
      <w:r>
        <w:t xml:space="preserve">The basic argument is that Christian social action does not equal Christian nationalism, Christian </w:t>
      </w:r>
      <w:r w:rsidR="00151F96">
        <w:t>nationalism</w:t>
      </w:r>
      <w:r>
        <w:t xml:space="preserve"> is a system of legalism</w:t>
      </w:r>
      <w:r w:rsidR="00151F96">
        <w:t>, which</w:t>
      </w:r>
      <w:r>
        <w:t xml:space="preserve"> is against the teachings of Christianity and therefore Christians should not pursue Christian nationalism.   </w:t>
      </w:r>
    </w:p>
    <w:p w14:paraId="436F3058" w14:textId="77777777" w:rsidR="00B955AD" w:rsidRPr="009609CE" w:rsidRDefault="00B955AD" w:rsidP="009609CE">
      <w:pPr>
        <w:ind w:firstLine="0"/>
      </w:pPr>
    </w:p>
    <w:p w14:paraId="00000031" w14:textId="77777777" w:rsidR="001035C8" w:rsidRDefault="001035C8">
      <w:pPr>
        <w:tabs>
          <w:tab w:val="right" w:pos="8640"/>
          <w:tab w:val="right" w:pos="8640"/>
        </w:tabs>
      </w:pPr>
    </w:p>
    <w:p w14:paraId="00000032" w14:textId="77777777" w:rsidR="001035C8" w:rsidRDefault="001035C8">
      <w:pPr>
        <w:tabs>
          <w:tab w:val="right" w:pos="8640"/>
          <w:tab w:val="right" w:pos="8640"/>
        </w:tabs>
      </w:pPr>
    </w:p>
    <w:p w14:paraId="00000033" w14:textId="77777777" w:rsidR="001035C8" w:rsidRDefault="001035C8">
      <w:pPr>
        <w:tabs>
          <w:tab w:val="right" w:pos="8640"/>
          <w:tab w:val="right" w:pos="8640"/>
        </w:tabs>
      </w:pPr>
    </w:p>
    <w:p w14:paraId="00000034" w14:textId="77777777" w:rsidR="001035C8" w:rsidRDefault="001035C8">
      <w:pPr>
        <w:tabs>
          <w:tab w:val="right" w:pos="8640"/>
          <w:tab w:val="right" w:pos="8640"/>
        </w:tabs>
      </w:pPr>
    </w:p>
    <w:p w14:paraId="00000035" w14:textId="77777777" w:rsidR="001035C8" w:rsidRDefault="001035C8">
      <w:pPr>
        <w:tabs>
          <w:tab w:val="right" w:pos="8640"/>
          <w:tab w:val="right" w:pos="8640"/>
        </w:tabs>
      </w:pPr>
    </w:p>
    <w:p w14:paraId="00000036" w14:textId="77777777" w:rsidR="001035C8" w:rsidRDefault="001035C8">
      <w:pPr>
        <w:tabs>
          <w:tab w:val="right" w:pos="8640"/>
          <w:tab w:val="right" w:pos="8640"/>
        </w:tabs>
      </w:pPr>
    </w:p>
    <w:p w14:paraId="00000037" w14:textId="77777777" w:rsidR="001035C8" w:rsidRDefault="001035C8">
      <w:pPr>
        <w:tabs>
          <w:tab w:val="right" w:pos="8640"/>
          <w:tab w:val="right" w:pos="8640"/>
        </w:tabs>
      </w:pPr>
    </w:p>
    <w:p w14:paraId="00000038" w14:textId="77777777" w:rsidR="001035C8" w:rsidRDefault="001035C8">
      <w:pPr>
        <w:tabs>
          <w:tab w:val="right" w:pos="8640"/>
          <w:tab w:val="right" w:pos="8640"/>
        </w:tabs>
      </w:pPr>
    </w:p>
    <w:p w14:paraId="00000039" w14:textId="77777777" w:rsidR="001035C8" w:rsidRDefault="00000000">
      <w:pPr>
        <w:tabs>
          <w:tab w:val="right" w:pos="8640"/>
          <w:tab w:val="right" w:pos="8640"/>
        </w:tabs>
      </w:pPr>
      <w:r>
        <w:br w:type="page"/>
      </w:r>
    </w:p>
    <w:p w14:paraId="0000003A" w14:textId="77777777" w:rsidR="001035C8" w:rsidRDefault="00000000">
      <w:pPr>
        <w:tabs>
          <w:tab w:val="right" w:pos="8640"/>
          <w:tab w:val="right" w:pos="8640"/>
        </w:tabs>
        <w:jc w:val="center"/>
      </w:pPr>
      <w:r>
        <w:lastRenderedPageBreak/>
        <w:t>WORKS CITED</w:t>
      </w:r>
    </w:p>
    <w:p w14:paraId="0000003B" w14:textId="77777777" w:rsidR="001035C8" w:rsidRDefault="001035C8">
      <w:pPr>
        <w:pStyle w:val="Title"/>
        <w:tabs>
          <w:tab w:val="right" w:pos="8640"/>
          <w:tab w:val="right" w:pos="8640"/>
        </w:tabs>
        <w:spacing w:line="276" w:lineRule="auto"/>
        <w:jc w:val="left"/>
      </w:pPr>
    </w:p>
    <w:p w14:paraId="49C08A23" w14:textId="77777777" w:rsidR="00BF5305" w:rsidRPr="00BF5305" w:rsidRDefault="00BF5305" w:rsidP="00BF5305">
      <w:pPr>
        <w:tabs>
          <w:tab w:val="clear" w:pos="8640"/>
        </w:tabs>
        <w:suppressAutoHyphens w:val="0"/>
        <w:autoSpaceDE/>
        <w:autoSpaceDN/>
        <w:ind w:hanging="480"/>
      </w:pPr>
      <w:r w:rsidRPr="00BF5305">
        <w:t xml:space="preserve">Aktürk, Ş. (2022). Nationalism and Religion in Comparative Perspective: A New Typology of National-Religious Configurations. </w:t>
      </w:r>
      <w:r w:rsidRPr="00BF5305">
        <w:rPr>
          <w:i/>
          <w:iCs/>
        </w:rPr>
        <w:t>Nationalities Papers</w:t>
      </w:r>
      <w:r w:rsidRPr="00BF5305">
        <w:t xml:space="preserve">, </w:t>
      </w:r>
      <w:r w:rsidRPr="00BF5305">
        <w:rPr>
          <w:i/>
          <w:iCs/>
        </w:rPr>
        <w:t>50</w:t>
      </w:r>
      <w:r w:rsidRPr="00BF5305">
        <w:t xml:space="preserve">(2), 205–218. </w:t>
      </w:r>
      <w:hyperlink r:id="rId7" w:history="1">
        <w:r w:rsidRPr="00BF5305">
          <w:rPr>
            <w:color w:val="0000FF"/>
            <w:u w:val="single"/>
          </w:rPr>
          <w:t>https://doi.org/10.1017/nps.2021.17</w:t>
        </w:r>
      </w:hyperlink>
    </w:p>
    <w:p w14:paraId="7A802C50" w14:textId="77777777" w:rsidR="00BF5305" w:rsidRPr="00BF5305" w:rsidRDefault="00BF5305" w:rsidP="00BF5305">
      <w:pPr>
        <w:tabs>
          <w:tab w:val="clear" w:pos="8640"/>
        </w:tabs>
        <w:suppressAutoHyphens w:val="0"/>
        <w:autoSpaceDE/>
        <w:autoSpaceDN/>
        <w:ind w:hanging="480"/>
      </w:pPr>
      <w:r w:rsidRPr="00BF5305">
        <w:t xml:space="preserve">Braunstein, R. (2021). The “Right” History: Religion, Race, and Nostalgic Stories of Christian America. </w:t>
      </w:r>
      <w:r w:rsidRPr="00BF5305">
        <w:rPr>
          <w:i/>
          <w:iCs/>
        </w:rPr>
        <w:t>Religions</w:t>
      </w:r>
      <w:r w:rsidRPr="00BF5305">
        <w:t xml:space="preserve">, </w:t>
      </w:r>
      <w:r w:rsidRPr="00BF5305">
        <w:rPr>
          <w:i/>
          <w:iCs/>
        </w:rPr>
        <w:t>12</w:t>
      </w:r>
      <w:r w:rsidRPr="00BF5305">
        <w:t xml:space="preserve">(2), 95. </w:t>
      </w:r>
      <w:hyperlink r:id="rId8" w:history="1">
        <w:r w:rsidRPr="00BF5305">
          <w:rPr>
            <w:color w:val="0000FF"/>
            <w:u w:val="single"/>
          </w:rPr>
          <w:t>https://doi.org/10.3390/rel12020095</w:t>
        </w:r>
      </w:hyperlink>
    </w:p>
    <w:p w14:paraId="223103D5" w14:textId="77777777" w:rsidR="00BF5305" w:rsidRPr="00BF5305" w:rsidRDefault="00BF5305" w:rsidP="00BF5305">
      <w:pPr>
        <w:tabs>
          <w:tab w:val="clear" w:pos="8640"/>
        </w:tabs>
        <w:suppressAutoHyphens w:val="0"/>
        <w:autoSpaceDE/>
        <w:autoSpaceDN/>
        <w:ind w:hanging="480"/>
      </w:pPr>
      <w:r w:rsidRPr="00BF5305">
        <w:t xml:space="preserve">Corbin, C. M. (2019). Christian Legislative Prayers and Christian Nationalism. </w:t>
      </w:r>
      <w:r w:rsidRPr="00BF5305">
        <w:rPr>
          <w:i/>
          <w:iCs/>
        </w:rPr>
        <w:t>Washington and Lee Law Review</w:t>
      </w:r>
      <w:r w:rsidRPr="00BF5305">
        <w:t xml:space="preserve">, </w:t>
      </w:r>
      <w:r w:rsidRPr="00BF5305">
        <w:rPr>
          <w:i/>
          <w:iCs/>
        </w:rPr>
        <w:t>76</w:t>
      </w:r>
      <w:r w:rsidRPr="00BF5305">
        <w:t>(1), 32.</w:t>
      </w:r>
    </w:p>
    <w:p w14:paraId="4D6CC524" w14:textId="77777777" w:rsidR="00BF5305" w:rsidRPr="00BF5305" w:rsidRDefault="00BF5305" w:rsidP="00BF5305">
      <w:pPr>
        <w:tabs>
          <w:tab w:val="clear" w:pos="8640"/>
        </w:tabs>
        <w:suppressAutoHyphens w:val="0"/>
        <w:autoSpaceDE/>
        <w:autoSpaceDN/>
        <w:ind w:hanging="480"/>
      </w:pPr>
      <w:r w:rsidRPr="00BF5305">
        <w:t xml:space="preserve">Davis, J. T. (2019). Funding God’s policies, defending whiteness: Christian nationalism and whites’ attitudes towards </w:t>
      </w:r>
      <w:proofErr w:type="gramStart"/>
      <w:r w:rsidRPr="00BF5305">
        <w:t>racially-coded</w:t>
      </w:r>
      <w:proofErr w:type="gramEnd"/>
      <w:r w:rsidRPr="00BF5305">
        <w:t xml:space="preserve"> government spending. </w:t>
      </w:r>
      <w:r w:rsidRPr="00BF5305">
        <w:rPr>
          <w:i/>
          <w:iCs/>
        </w:rPr>
        <w:t>Ethnic and Racial Studies</w:t>
      </w:r>
      <w:r w:rsidRPr="00BF5305">
        <w:t xml:space="preserve">, </w:t>
      </w:r>
      <w:r w:rsidRPr="00BF5305">
        <w:rPr>
          <w:i/>
          <w:iCs/>
        </w:rPr>
        <w:t>42</w:t>
      </w:r>
      <w:r w:rsidRPr="00BF5305">
        <w:t xml:space="preserve">(12), 2123–2142. </w:t>
      </w:r>
      <w:hyperlink r:id="rId9" w:history="1">
        <w:r w:rsidRPr="00BF5305">
          <w:rPr>
            <w:color w:val="0000FF"/>
            <w:u w:val="single"/>
          </w:rPr>
          <w:t>https://doi.org/10.1080/01419870.2018.1527939</w:t>
        </w:r>
      </w:hyperlink>
    </w:p>
    <w:p w14:paraId="60D3C9D9" w14:textId="77777777" w:rsidR="00BF5305" w:rsidRPr="00BF5305" w:rsidRDefault="00BF5305" w:rsidP="00BF5305">
      <w:pPr>
        <w:tabs>
          <w:tab w:val="clear" w:pos="8640"/>
        </w:tabs>
        <w:suppressAutoHyphens w:val="0"/>
        <w:autoSpaceDE/>
        <w:autoSpaceDN/>
        <w:ind w:hanging="480"/>
      </w:pPr>
      <w:r w:rsidRPr="00BF5305">
        <w:t xml:space="preserve">Delehanty, J., Edgell, P., &amp; Stewart, E. (2019). Christian America? Secularized Evangelical Discourse and the Boundaries of National Belonging. </w:t>
      </w:r>
      <w:r w:rsidRPr="00BF5305">
        <w:rPr>
          <w:i/>
          <w:iCs/>
        </w:rPr>
        <w:t>Social Forces</w:t>
      </w:r>
      <w:r w:rsidRPr="00BF5305">
        <w:t xml:space="preserve">, </w:t>
      </w:r>
      <w:r w:rsidRPr="00BF5305">
        <w:rPr>
          <w:i/>
          <w:iCs/>
        </w:rPr>
        <w:t>97</w:t>
      </w:r>
      <w:r w:rsidRPr="00BF5305">
        <w:t xml:space="preserve">(3), 1283–1306. </w:t>
      </w:r>
      <w:hyperlink r:id="rId10" w:history="1">
        <w:r w:rsidRPr="00BF5305">
          <w:rPr>
            <w:color w:val="0000FF"/>
            <w:u w:val="single"/>
          </w:rPr>
          <w:t>https://doi.org/10.1093/sf/soy080</w:t>
        </w:r>
      </w:hyperlink>
    </w:p>
    <w:p w14:paraId="37F36685" w14:textId="77777777" w:rsidR="00BF5305" w:rsidRPr="00BF5305" w:rsidRDefault="00BF5305" w:rsidP="00BF5305">
      <w:pPr>
        <w:tabs>
          <w:tab w:val="clear" w:pos="8640"/>
        </w:tabs>
        <w:suppressAutoHyphens w:val="0"/>
        <w:autoSpaceDE/>
        <w:autoSpaceDN/>
        <w:ind w:hanging="480"/>
      </w:pPr>
      <w:r w:rsidRPr="00BF5305">
        <w:t xml:space="preserve">Hall, M. D. (2019). The Myth of the Founders’ Deism (Chapter One of Did America Have a Christian Founding? </w:t>
      </w:r>
      <w:r w:rsidRPr="00BF5305">
        <w:rPr>
          <w:i/>
          <w:iCs/>
        </w:rPr>
        <w:t>Digital Commons @ Geoge Fox University Faculty Publications - Department of History and Politics</w:t>
      </w:r>
      <w:r w:rsidRPr="00BF5305">
        <w:t>, 20.</w:t>
      </w:r>
    </w:p>
    <w:p w14:paraId="0FB0CA3F" w14:textId="77777777" w:rsidR="00BF5305" w:rsidRPr="00BF5305" w:rsidRDefault="00BF5305" w:rsidP="00BF5305">
      <w:pPr>
        <w:tabs>
          <w:tab w:val="clear" w:pos="8640"/>
        </w:tabs>
        <w:suppressAutoHyphens w:val="0"/>
        <w:autoSpaceDE/>
        <w:autoSpaceDN/>
        <w:ind w:hanging="480"/>
      </w:pPr>
      <w:proofErr w:type="spellStart"/>
      <w:r w:rsidRPr="00BF5305">
        <w:t>Heslam</w:t>
      </w:r>
      <w:proofErr w:type="spellEnd"/>
      <w:r w:rsidRPr="00BF5305">
        <w:t xml:space="preserve">, P. S. (2021). Faith, </w:t>
      </w:r>
      <w:proofErr w:type="gramStart"/>
      <w:r w:rsidRPr="00BF5305">
        <w:t>Fortune</w:t>
      </w:r>
      <w:proofErr w:type="gramEnd"/>
      <w:r w:rsidRPr="00BF5305">
        <w:t xml:space="preserve"> and the Future: Christianity and Enterprise in Human Development. </w:t>
      </w:r>
      <w:r w:rsidRPr="00BF5305">
        <w:rPr>
          <w:i/>
          <w:iCs/>
        </w:rPr>
        <w:t>Religions</w:t>
      </w:r>
      <w:r w:rsidRPr="00BF5305">
        <w:t xml:space="preserve">, </w:t>
      </w:r>
      <w:r w:rsidRPr="00BF5305">
        <w:rPr>
          <w:i/>
          <w:iCs/>
        </w:rPr>
        <w:t>12</w:t>
      </w:r>
      <w:r w:rsidRPr="00BF5305">
        <w:t xml:space="preserve">(12), 1039. </w:t>
      </w:r>
      <w:hyperlink r:id="rId11" w:history="1">
        <w:r w:rsidRPr="00BF5305">
          <w:rPr>
            <w:color w:val="0000FF"/>
            <w:u w:val="single"/>
          </w:rPr>
          <w:t>https://doi.org/10.3390/rel12121039</w:t>
        </w:r>
      </w:hyperlink>
    </w:p>
    <w:p w14:paraId="0C4B82C5" w14:textId="77777777" w:rsidR="00BF5305" w:rsidRPr="00BF5305" w:rsidRDefault="00BF5305" w:rsidP="00BF5305">
      <w:pPr>
        <w:tabs>
          <w:tab w:val="clear" w:pos="8640"/>
        </w:tabs>
        <w:suppressAutoHyphens w:val="0"/>
        <w:autoSpaceDE/>
        <w:autoSpaceDN/>
        <w:ind w:hanging="480"/>
      </w:pPr>
      <w:r w:rsidRPr="00BF5305">
        <w:t xml:space="preserve">Lepore, J. (2018). </w:t>
      </w:r>
      <w:r w:rsidRPr="00BF5305">
        <w:rPr>
          <w:i/>
          <w:iCs/>
        </w:rPr>
        <w:t>These truths: A history of the United States</w:t>
      </w:r>
      <w:r w:rsidRPr="00BF5305">
        <w:t>. WW Norton &amp; Company.</w:t>
      </w:r>
    </w:p>
    <w:p w14:paraId="47E475AA" w14:textId="77777777" w:rsidR="00BF5305" w:rsidRPr="00BF5305" w:rsidRDefault="00BF5305" w:rsidP="00BF5305">
      <w:pPr>
        <w:tabs>
          <w:tab w:val="clear" w:pos="8640"/>
        </w:tabs>
        <w:suppressAutoHyphens w:val="0"/>
        <w:autoSpaceDE/>
        <w:autoSpaceDN/>
        <w:ind w:hanging="480"/>
      </w:pPr>
      <w:r w:rsidRPr="00BF5305">
        <w:t xml:space="preserve">McLaren, P. (2020). Religious Nationalism and the Coronavirus Pandemic: Soul-Sucking Evangelicals and Branch </w:t>
      </w:r>
      <w:proofErr w:type="spellStart"/>
      <w:r w:rsidRPr="00BF5305">
        <w:t>Covidians</w:t>
      </w:r>
      <w:proofErr w:type="spellEnd"/>
      <w:r w:rsidRPr="00BF5305">
        <w:t xml:space="preserve"> Make America Sick Again. </w:t>
      </w:r>
      <w:proofErr w:type="spellStart"/>
      <w:r w:rsidRPr="00BF5305">
        <w:rPr>
          <w:i/>
          <w:iCs/>
        </w:rPr>
        <w:t>Postdigital</w:t>
      </w:r>
      <w:proofErr w:type="spellEnd"/>
      <w:r w:rsidRPr="00BF5305">
        <w:rPr>
          <w:i/>
          <w:iCs/>
        </w:rPr>
        <w:t xml:space="preserve"> Science and Education</w:t>
      </w:r>
      <w:r w:rsidRPr="00BF5305">
        <w:t xml:space="preserve">, </w:t>
      </w:r>
      <w:r w:rsidRPr="00BF5305">
        <w:rPr>
          <w:i/>
          <w:iCs/>
        </w:rPr>
        <w:t>2</w:t>
      </w:r>
      <w:r w:rsidRPr="00BF5305">
        <w:t xml:space="preserve">(3), 700–721. </w:t>
      </w:r>
      <w:hyperlink r:id="rId12" w:history="1">
        <w:r w:rsidRPr="00BF5305">
          <w:rPr>
            <w:color w:val="0000FF"/>
            <w:u w:val="single"/>
          </w:rPr>
          <w:t>https://doi.org/10.1007/s42438-020-00122-7</w:t>
        </w:r>
      </w:hyperlink>
    </w:p>
    <w:p w14:paraId="2282DA25" w14:textId="77777777" w:rsidR="00BF5305" w:rsidRPr="00BF5305" w:rsidRDefault="00BF5305" w:rsidP="00BF5305">
      <w:pPr>
        <w:tabs>
          <w:tab w:val="clear" w:pos="8640"/>
        </w:tabs>
        <w:suppressAutoHyphens w:val="0"/>
        <w:autoSpaceDE/>
        <w:autoSpaceDN/>
        <w:ind w:hanging="480"/>
      </w:pPr>
      <w:r w:rsidRPr="00BF5305">
        <w:lastRenderedPageBreak/>
        <w:t xml:space="preserve">Ostler, J. (2019). </w:t>
      </w:r>
      <w:r w:rsidRPr="00BF5305">
        <w:rPr>
          <w:i/>
          <w:iCs/>
        </w:rPr>
        <w:t>Surviving Genocide: Native Nations and the United States from the American Revolution to Bleeding Kansas</w:t>
      </w:r>
      <w:r w:rsidRPr="00BF5305">
        <w:t>. Yale University Press.</w:t>
      </w:r>
    </w:p>
    <w:p w14:paraId="10F779B0" w14:textId="77777777" w:rsidR="00BF5305" w:rsidRPr="00BF5305" w:rsidRDefault="00BF5305" w:rsidP="00BF5305">
      <w:pPr>
        <w:tabs>
          <w:tab w:val="clear" w:pos="8640"/>
        </w:tabs>
        <w:suppressAutoHyphens w:val="0"/>
        <w:autoSpaceDE/>
        <w:autoSpaceDN/>
        <w:ind w:hanging="480"/>
      </w:pPr>
      <w:r w:rsidRPr="00BF5305">
        <w:t xml:space="preserve">Perry, S. L., Baker, J. O., &amp; Grubbs, J. B. (2021). Ignorance or culture war? Christian nationalism and scientific illiteracy. </w:t>
      </w:r>
      <w:r w:rsidRPr="00BF5305">
        <w:rPr>
          <w:i/>
          <w:iCs/>
        </w:rPr>
        <w:t>Public Understanding of Science</w:t>
      </w:r>
      <w:r w:rsidRPr="00BF5305">
        <w:t xml:space="preserve">, </w:t>
      </w:r>
      <w:r w:rsidRPr="00BF5305">
        <w:rPr>
          <w:i/>
          <w:iCs/>
        </w:rPr>
        <w:t>30</w:t>
      </w:r>
      <w:r w:rsidRPr="00BF5305">
        <w:t xml:space="preserve">(8), 930–946. </w:t>
      </w:r>
      <w:hyperlink r:id="rId13" w:history="1">
        <w:r w:rsidRPr="00BF5305">
          <w:rPr>
            <w:color w:val="0000FF"/>
            <w:u w:val="single"/>
          </w:rPr>
          <w:t>https://doi.org/10.1177/09636625211006271</w:t>
        </w:r>
      </w:hyperlink>
    </w:p>
    <w:p w14:paraId="010409EA" w14:textId="77777777" w:rsidR="00BF5305" w:rsidRPr="00BF5305" w:rsidRDefault="00BF5305" w:rsidP="00BF5305">
      <w:pPr>
        <w:tabs>
          <w:tab w:val="clear" w:pos="8640"/>
        </w:tabs>
        <w:suppressAutoHyphens w:val="0"/>
        <w:autoSpaceDE/>
        <w:autoSpaceDN/>
        <w:ind w:hanging="480"/>
      </w:pPr>
      <w:r w:rsidRPr="00BF5305">
        <w:t xml:space="preserve">Rivera, J. (2020). Political Liberalism and Resentment: A Theological Rejoinder. </w:t>
      </w:r>
      <w:r w:rsidRPr="00BF5305">
        <w:rPr>
          <w:i/>
          <w:iCs/>
        </w:rPr>
        <w:t>Modern Theology</w:t>
      </w:r>
      <w:r w:rsidRPr="00BF5305">
        <w:t xml:space="preserve">, </w:t>
      </w:r>
      <w:r w:rsidRPr="00BF5305">
        <w:rPr>
          <w:i/>
          <w:iCs/>
        </w:rPr>
        <w:t>36</w:t>
      </w:r>
      <w:r w:rsidRPr="00BF5305">
        <w:t xml:space="preserve">(2), 420–427. </w:t>
      </w:r>
      <w:hyperlink r:id="rId14" w:history="1">
        <w:r w:rsidRPr="00BF5305">
          <w:rPr>
            <w:color w:val="0000FF"/>
            <w:u w:val="single"/>
          </w:rPr>
          <w:t>https://doi.org/10.1111/moth.12556</w:t>
        </w:r>
      </w:hyperlink>
    </w:p>
    <w:p w14:paraId="12FD1999" w14:textId="77777777" w:rsidR="00BF5305" w:rsidRPr="00BF5305" w:rsidRDefault="00BF5305" w:rsidP="00BF5305">
      <w:pPr>
        <w:tabs>
          <w:tab w:val="clear" w:pos="8640"/>
        </w:tabs>
        <w:suppressAutoHyphens w:val="0"/>
        <w:autoSpaceDE/>
        <w:autoSpaceDN/>
        <w:ind w:hanging="480"/>
      </w:pPr>
      <w:r w:rsidRPr="00BF5305">
        <w:t xml:space="preserve">Stewart, K. (2020). </w:t>
      </w:r>
      <w:r w:rsidRPr="00BF5305">
        <w:rPr>
          <w:i/>
          <w:iCs/>
        </w:rPr>
        <w:t>The power worshippers: Inside the dangerous rise of religious nationalism</w:t>
      </w:r>
      <w:r w:rsidRPr="00BF5305">
        <w:t>. Bloomsbury Publishing USA.</w:t>
      </w:r>
    </w:p>
    <w:p w14:paraId="12CBAFEB" w14:textId="77777777" w:rsidR="00BF5305" w:rsidRPr="00BF5305" w:rsidRDefault="00BF5305" w:rsidP="00BF5305">
      <w:pPr>
        <w:tabs>
          <w:tab w:val="clear" w:pos="8640"/>
        </w:tabs>
        <w:suppressAutoHyphens w:val="0"/>
        <w:autoSpaceDE/>
        <w:autoSpaceDN/>
        <w:ind w:hanging="480"/>
      </w:pPr>
      <w:r w:rsidRPr="00BF5305">
        <w:t xml:space="preserve">Whitehead, A. L., &amp; Perry, S. L. (2020). </w:t>
      </w:r>
      <w:r w:rsidRPr="00BF5305">
        <w:rPr>
          <w:i/>
          <w:iCs/>
        </w:rPr>
        <w:t>Taking America Back for God: Christian Nationalism in the United States</w:t>
      </w:r>
      <w:r w:rsidRPr="00BF5305">
        <w:t>. Oxford University Press.</w:t>
      </w:r>
    </w:p>
    <w:p w14:paraId="0000003C" w14:textId="77777777" w:rsidR="001035C8" w:rsidRDefault="001035C8">
      <w:pPr>
        <w:pStyle w:val="Title"/>
        <w:tabs>
          <w:tab w:val="right" w:pos="8640"/>
          <w:tab w:val="right" w:pos="8640"/>
        </w:tabs>
        <w:spacing w:line="276" w:lineRule="auto"/>
        <w:jc w:val="left"/>
      </w:pPr>
    </w:p>
    <w:p w14:paraId="0000003D" w14:textId="77777777" w:rsidR="001035C8" w:rsidRDefault="001035C8">
      <w:pPr>
        <w:tabs>
          <w:tab w:val="right" w:pos="8640"/>
          <w:tab w:val="right" w:pos="8640"/>
        </w:tabs>
        <w:spacing w:line="240" w:lineRule="auto"/>
        <w:ind w:firstLine="0"/>
      </w:pPr>
    </w:p>
    <w:sectPr w:rsidR="001035C8">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65AB" w14:textId="77777777" w:rsidR="00C75E2E" w:rsidRDefault="00C75E2E">
      <w:pPr>
        <w:spacing w:line="240" w:lineRule="auto"/>
      </w:pPr>
      <w:r>
        <w:separator/>
      </w:r>
    </w:p>
  </w:endnote>
  <w:endnote w:type="continuationSeparator" w:id="0">
    <w:p w14:paraId="16B8800B" w14:textId="77777777" w:rsidR="00C75E2E" w:rsidRDefault="00C7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9FE7" w14:textId="77777777" w:rsidR="00C75E2E" w:rsidRDefault="00C75E2E">
      <w:pPr>
        <w:spacing w:line="240" w:lineRule="auto"/>
      </w:pPr>
      <w:r>
        <w:separator/>
      </w:r>
    </w:p>
  </w:footnote>
  <w:footnote w:type="continuationSeparator" w:id="0">
    <w:p w14:paraId="7093AA90" w14:textId="77777777" w:rsidR="00C75E2E" w:rsidRDefault="00C75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DA59E88" w:rsidR="001035C8" w:rsidRDefault="00881606">
    <w:pPr>
      <w:pBdr>
        <w:top w:val="nil"/>
        <w:left w:val="nil"/>
        <w:bottom w:val="nil"/>
        <w:right w:val="nil"/>
        <w:between w:val="nil"/>
      </w:pBdr>
      <w:tabs>
        <w:tab w:val="right" w:pos="8640"/>
        <w:tab w:val="right" w:pos="9360"/>
      </w:tabs>
      <w:ind w:firstLine="0"/>
      <w:rPr>
        <w:color w:val="000000"/>
      </w:rPr>
    </w:pPr>
    <w:r>
      <w:rPr>
        <w:sz w:val="20"/>
        <w:szCs w:val="20"/>
      </w:rPr>
      <w:t xml:space="preserve">Derrick Snow, COM 822, Persuasive Communications, </w:t>
    </w:r>
    <w:r>
      <w:rPr>
        <w:color w:val="000000"/>
        <w:sz w:val="20"/>
        <w:szCs w:val="20"/>
      </w:rPr>
      <w:t>Assignment</w:t>
    </w:r>
    <w:r>
      <w:rPr>
        <w:sz w:val="20"/>
        <w:szCs w:val="20"/>
      </w:rPr>
      <w:t xml:space="preserve"> 1, 10/2</w:t>
    </w:r>
    <w:r w:rsidR="00286115">
      <w:rPr>
        <w:sz w:val="20"/>
        <w:szCs w:val="20"/>
      </w:rPr>
      <w:t>9</w:t>
    </w:r>
    <w:r>
      <w:rPr>
        <w:sz w:val="20"/>
        <w:szCs w:val="20"/>
      </w:rPr>
      <w:t>/2023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1035C8"/>
    <w:rsid w:val="00151F96"/>
    <w:rsid w:val="0019598B"/>
    <w:rsid w:val="00286115"/>
    <w:rsid w:val="0038320C"/>
    <w:rsid w:val="0043578D"/>
    <w:rsid w:val="0044051E"/>
    <w:rsid w:val="0044771F"/>
    <w:rsid w:val="00881606"/>
    <w:rsid w:val="008D758D"/>
    <w:rsid w:val="009609CE"/>
    <w:rsid w:val="00B8050A"/>
    <w:rsid w:val="00B955AD"/>
    <w:rsid w:val="00BB3967"/>
    <w:rsid w:val="00BE2DA8"/>
    <w:rsid w:val="00BF5305"/>
    <w:rsid w:val="00C440D0"/>
    <w:rsid w:val="00C75E2E"/>
    <w:rsid w:val="00DC5F24"/>
    <w:rsid w:val="00F6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AE284"/>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58672">
      <w:bodyDiv w:val="1"/>
      <w:marLeft w:val="0"/>
      <w:marRight w:val="0"/>
      <w:marTop w:val="0"/>
      <w:marBottom w:val="0"/>
      <w:divBdr>
        <w:top w:val="none" w:sz="0" w:space="0" w:color="auto"/>
        <w:left w:val="none" w:sz="0" w:space="0" w:color="auto"/>
        <w:bottom w:val="none" w:sz="0" w:space="0" w:color="auto"/>
        <w:right w:val="none" w:sz="0" w:space="0" w:color="auto"/>
      </w:divBdr>
      <w:divsChild>
        <w:div w:id="399255470">
          <w:marLeft w:val="480"/>
          <w:marRight w:val="0"/>
          <w:marTop w:val="0"/>
          <w:marBottom w:val="0"/>
          <w:divBdr>
            <w:top w:val="none" w:sz="0" w:space="0" w:color="auto"/>
            <w:left w:val="none" w:sz="0" w:space="0" w:color="auto"/>
            <w:bottom w:val="none" w:sz="0" w:space="0" w:color="auto"/>
            <w:right w:val="none" w:sz="0" w:space="0" w:color="auto"/>
          </w:divBdr>
          <w:divsChild>
            <w:div w:id="1400902835">
              <w:marLeft w:val="0"/>
              <w:marRight w:val="0"/>
              <w:marTop w:val="0"/>
              <w:marBottom w:val="0"/>
              <w:divBdr>
                <w:top w:val="none" w:sz="0" w:space="0" w:color="auto"/>
                <w:left w:val="none" w:sz="0" w:space="0" w:color="auto"/>
                <w:bottom w:val="none" w:sz="0" w:space="0" w:color="auto"/>
                <w:right w:val="none" w:sz="0" w:space="0" w:color="auto"/>
              </w:divBdr>
            </w:div>
            <w:div w:id="534390985">
              <w:marLeft w:val="0"/>
              <w:marRight w:val="0"/>
              <w:marTop w:val="0"/>
              <w:marBottom w:val="0"/>
              <w:divBdr>
                <w:top w:val="none" w:sz="0" w:space="0" w:color="auto"/>
                <w:left w:val="none" w:sz="0" w:space="0" w:color="auto"/>
                <w:bottom w:val="none" w:sz="0" w:space="0" w:color="auto"/>
                <w:right w:val="none" w:sz="0" w:space="0" w:color="auto"/>
              </w:divBdr>
            </w:div>
            <w:div w:id="1148982952">
              <w:marLeft w:val="0"/>
              <w:marRight w:val="0"/>
              <w:marTop w:val="0"/>
              <w:marBottom w:val="0"/>
              <w:divBdr>
                <w:top w:val="none" w:sz="0" w:space="0" w:color="auto"/>
                <w:left w:val="none" w:sz="0" w:space="0" w:color="auto"/>
                <w:bottom w:val="none" w:sz="0" w:space="0" w:color="auto"/>
                <w:right w:val="none" w:sz="0" w:space="0" w:color="auto"/>
              </w:divBdr>
            </w:div>
            <w:div w:id="1045831009">
              <w:marLeft w:val="0"/>
              <w:marRight w:val="0"/>
              <w:marTop w:val="0"/>
              <w:marBottom w:val="0"/>
              <w:divBdr>
                <w:top w:val="none" w:sz="0" w:space="0" w:color="auto"/>
                <w:left w:val="none" w:sz="0" w:space="0" w:color="auto"/>
                <w:bottom w:val="none" w:sz="0" w:space="0" w:color="auto"/>
                <w:right w:val="none" w:sz="0" w:space="0" w:color="auto"/>
              </w:divBdr>
            </w:div>
            <w:div w:id="764888355">
              <w:marLeft w:val="0"/>
              <w:marRight w:val="0"/>
              <w:marTop w:val="0"/>
              <w:marBottom w:val="0"/>
              <w:divBdr>
                <w:top w:val="none" w:sz="0" w:space="0" w:color="auto"/>
                <w:left w:val="none" w:sz="0" w:space="0" w:color="auto"/>
                <w:bottom w:val="none" w:sz="0" w:space="0" w:color="auto"/>
                <w:right w:val="none" w:sz="0" w:space="0" w:color="auto"/>
              </w:divBdr>
            </w:div>
            <w:div w:id="1898199965">
              <w:marLeft w:val="0"/>
              <w:marRight w:val="0"/>
              <w:marTop w:val="0"/>
              <w:marBottom w:val="0"/>
              <w:divBdr>
                <w:top w:val="none" w:sz="0" w:space="0" w:color="auto"/>
                <w:left w:val="none" w:sz="0" w:space="0" w:color="auto"/>
                <w:bottom w:val="none" w:sz="0" w:space="0" w:color="auto"/>
                <w:right w:val="none" w:sz="0" w:space="0" w:color="auto"/>
              </w:divBdr>
            </w:div>
            <w:div w:id="333071863">
              <w:marLeft w:val="0"/>
              <w:marRight w:val="0"/>
              <w:marTop w:val="0"/>
              <w:marBottom w:val="0"/>
              <w:divBdr>
                <w:top w:val="none" w:sz="0" w:space="0" w:color="auto"/>
                <w:left w:val="none" w:sz="0" w:space="0" w:color="auto"/>
                <w:bottom w:val="none" w:sz="0" w:space="0" w:color="auto"/>
                <w:right w:val="none" w:sz="0" w:space="0" w:color="auto"/>
              </w:divBdr>
            </w:div>
            <w:div w:id="1120806176">
              <w:marLeft w:val="0"/>
              <w:marRight w:val="0"/>
              <w:marTop w:val="0"/>
              <w:marBottom w:val="0"/>
              <w:divBdr>
                <w:top w:val="none" w:sz="0" w:space="0" w:color="auto"/>
                <w:left w:val="none" w:sz="0" w:space="0" w:color="auto"/>
                <w:bottom w:val="none" w:sz="0" w:space="0" w:color="auto"/>
                <w:right w:val="none" w:sz="0" w:space="0" w:color="auto"/>
              </w:divBdr>
            </w:div>
            <w:div w:id="1181621185">
              <w:marLeft w:val="0"/>
              <w:marRight w:val="0"/>
              <w:marTop w:val="0"/>
              <w:marBottom w:val="0"/>
              <w:divBdr>
                <w:top w:val="none" w:sz="0" w:space="0" w:color="auto"/>
                <w:left w:val="none" w:sz="0" w:space="0" w:color="auto"/>
                <w:bottom w:val="none" w:sz="0" w:space="0" w:color="auto"/>
                <w:right w:val="none" w:sz="0" w:space="0" w:color="auto"/>
              </w:divBdr>
            </w:div>
            <w:div w:id="1033074080">
              <w:marLeft w:val="0"/>
              <w:marRight w:val="0"/>
              <w:marTop w:val="0"/>
              <w:marBottom w:val="0"/>
              <w:divBdr>
                <w:top w:val="none" w:sz="0" w:space="0" w:color="auto"/>
                <w:left w:val="none" w:sz="0" w:space="0" w:color="auto"/>
                <w:bottom w:val="none" w:sz="0" w:space="0" w:color="auto"/>
                <w:right w:val="none" w:sz="0" w:space="0" w:color="auto"/>
              </w:divBdr>
            </w:div>
            <w:div w:id="440297779">
              <w:marLeft w:val="0"/>
              <w:marRight w:val="0"/>
              <w:marTop w:val="0"/>
              <w:marBottom w:val="0"/>
              <w:divBdr>
                <w:top w:val="none" w:sz="0" w:space="0" w:color="auto"/>
                <w:left w:val="none" w:sz="0" w:space="0" w:color="auto"/>
                <w:bottom w:val="none" w:sz="0" w:space="0" w:color="auto"/>
                <w:right w:val="none" w:sz="0" w:space="0" w:color="auto"/>
              </w:divBdr>
            </w:div>
            <w:div w:id="1725371340">
              <w:marLeft w:val="0"/>
              <w:marRight w:val="0"/>
              <w:marTop w:val="0"/>
              <w:marBottom w:val="0"/>
              <w:divBdr>
                <w:top w:val="none" w:sz="0" w:space="0" w:color="auto"/>
                <w:left w:val="none" w:sz="0" w:space="0" w:color="auto"/>
                <w:bottom w:val="none" w:sz="0" w:space="0" w:color="auto"/>
                <w:right w:val="none" w:sz="0" w:space="0" w:color="auto"/>
              </w:divBdr>
            </w:div>
            <w:div w:id="407849788">
              <w:marLeft w:val="0"/>
              <w:marRight w:val="0"/>
              <w:marTop w:val="0"/>
              <w:marBottom w:val="0"/>
              <w:divBdr>
                <w:top w:val="none" w:sz="0" w:space="0" w:color="auto"/>
                <w:left w:val="none" w:sz="0" w:space="0" w:color="auto"/>
                <w:bottom w:val="none" w:sz="0" w:space="0" w:color="auto"/>
                <w:right w:val="none" w:sz="0" w:space="0" w:color="auto"/>
              </w:divBdr>
            </w:div>
            <w:div w:id="1457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el12020095" TargetMode="External"/><Relationship Id="rId13" Type="http://schemas.openxmlformats.org/officeDocument/2006/relationships/hyperlink" Target="https://doi.org/10.1177/09636625211006271" TargetMode="External"/><Relationship Id="rId3" Type="http://schemas.openxmlformats.org/officeDocument/2006/relationships/settings" Target="settings.xml"/><Relationship Id="rId7" Type="http://schemas.openxmlformats.org/officeDocument/2006/relationships/hyperlink" Target="https://doi.org/10.1017/nps.2021.17" TargetMode="External"/><Relationship Id="rId12" Type="http://schemas.openxmlformats.org/officeDocument/2006/relationships/hyperlink" Target="https://doi.org/10.1007/s42438-020-0012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rel1212103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93/sf/soy080" TargetMode="External"/><Relationship Id="rId4" Type="http://schemas.openxmlformats.org/officeDocument/2006/relationships/webSettings" Target="webSettings.xml"/><Relationship Id="rId9" Type="http://schemas.openxmlformats.org/officeDocument/2006/relationships/hyperlink" Target="https://doi.org/10.1080/01419870.2018.1527939" TargetMode="External"/><Relationship Id="rId14" Type="http://schemas.openxmlformats.org/officeDocument/2006/relationships/hyperlink" Target="https://doi.org/10.1111/moth.12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6</Pages>
  <Words>949</Words>
  <Characters>5746</Characters>
  <Application>Microsoft Office Word</Application>
  <DocSecurity>0</DocSecurity>
  <Lines>147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10</cp:revision>
  <dcterms:created xsi:type="dcterms:W3CDTF">2023-10-22T00:39:00Z</dcterms:created>
  <dcterms:modified xsi:type="dcterms:W3CDTF">2023-10-29T15:29:00Z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