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2"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3"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4"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5"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6"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7"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8"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9"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A"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B" w14:textId="77777777" w:rsidR="004B7D4A" w:rsidRDefault="002B4382">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 803-12: Hermeneutics and Communication</w:t>
      </w:r>
    </w:p>
    <w:p w14:paraId="0000000C"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D" w14:textId="77777777" w:rsidR="004B7D4A" w:rsidRDefault="002B4382">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Cerita Buchanan</w:t>
      </w:r>
    </w:p>
    <w:p w14:paraId="0000000E"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0F" w14:textId="77777777" w:rsidR="004B7D4A" w:rsidRDefault="002B4382">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0"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1" w14:textId="77777777" w:rsidR="004B7D4A" w:rsidRDefault="002B4382">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August 22, 2023</w:t>
      </w:r>
    </w:p>
    <w:p w14:paraId="00000012"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3"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4"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5"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6"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7" w14:textId="77777777" w:rsidR="004B7D4A" w:rsidRDefault="002B4382">
      <w:pPr>
        <w:tabs>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8"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9" w14:textId="77777777" w:rsidR="004B7D4A" w:rsidRDefault="004B7D4A">
      <w:pPr>
        <w:tabs>
          <w:tab w:val="right" w:pos="8640"/>
        </w:tabs>
        <w:spacing w:line="240" w:lineRule="auto"/>
        <w:jc w:val="center"/>
        <w:rPr>
          <w:rFonts w:ascii="Times New Roman" w:eastAsia="Times New Roman" w:hAnsi="Times New Roman" w:cs="Times New Roman"/>
          <w:sz w:val="24"/>
          <w:szCs w:val="24"/>
        </w:rPr>
      </w:pPr>
    </w:p>
    <w:p w14:paraId="0000001A" w14:textId="77777777" w:rsidR="004B7D4A" w:rsidRDefault="002B4382">
      <w:pPr>
        <w:tabs>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Ken Schmidt</w:t>
      </w:r>
    </w:p>
    <w:p w14:paraId="0000001B" w14:textId="77777777" w:rsidR="004B7D4A" w:rsidRDefault="004B7D4A"/>
    <w:p w14:paraId="0000001C" w14:textId="77777777" w:rsidR="004B7D4A" w:rsidRDefault="004B7D4A"/>
    <w:p w14:paraId="0000001D" w14:textId="77777777" w:rsidR="004B7D4A" w:rsidRDefault="004B7D4A"/>
    <w:p w14:paraId="0000001E" w14:textId="77777777" w:rsidR="004B7D4A" w:rsidRDefault="004B7D4A"/>
    <w:p w14:paraId="0000001F" w14:textId="77777777" w:rsidR="004B7D4A" w:rsidRDefault="004B7D4A"/>
    <w:p w14:paraId="00000020" w14:textId="77777777" w:rsidR="004B7D4A" w:rsidRDefault="004B7D4A"/>
    <w:p w14:paraId="00000021" w14:textId="77777777" w:rsidR="004B7D4A" w:rsidRDefault="004B7D4A"/>
    <w:p w14:paraId="00000022" w14:textId="77777777" w:rsidR="004B7D4A" w:rsidRDefault="004B7D4A"/>
    <w:p w14:paraId="00000023" w14:textId="77777777" w:rsidR="004B7D4A" w:rsidRDefault="004B7D4A"/>
    <w:p w14:paraId="00000024" w14:textId="77777777" w:rsidR="004B7D4A" w:rsidRDefault="004B7D4A"/>
    <w:p w14:paraId="00000025" w14:textId="77777777" w:rsidR="004B7D4A" w:rsidRDefault="004B7D4A"/>
    <w:p w14:paraId="00000026" w14:textId="77777777" w:rsidR="004B7D4A" w:rsidRDefault="004B7D4A"/>
    <w:p w14:paraId="00000027" w14:textId="77777777" w:rsidR="004B7D4A" w:rsidRDefault="004B7D4A"/>
    <w:p w14:paraId="00000028" w14:textId="77777777" w:rsidR="004B7D4A" w:rsidRDefault="004B7D4A"/>
    <w:p w14:paraId="00000029" w14:textId="77777777" w:rsidR="004B7D4A" w:rsidRDefault="004B7D4A"/>
    <w:p w14:paraId="0000002A" w14:textId="77777777" w:rsidR="004B7D4A" w:rsidRDefault="004B7D4A"/>
    <w:p w14:paraId="0000002B" w14:textId="77777777" w:rsidR="004B7D4A" w:rsidRDefault="004B7D4A"/>
    <w:p w14:paraId="0000002C" w14:textId="77777777" w:rsidR="004B7D4A" w:rsidRDefault="004B7D4A"/>
    <w:p w14:paraId="0000002D" w14:textId="77777777" w:rsidR="004B7D4A" w:rsidRDefault="004B7D4A"/>
    <w:p w14:paraId="0000002E" w14:textId="77777777" w:rsidR="004B7D4A" w:rsidRDefault="004B7D4A"/>
    <w:p w14:paraId="0000002F" w14:textId="77777777" w:rsidR="004B7D4A" w:rsidRDefault="004B7D4A"/>
    <w:p w14:paraId="00000030" w14:textId="77777777" w:rsidR="004B7D4A" w:rsidRDefault="004B7D4A"/>
    <w:p w14:paraId="00000031" w14:textId="77777777" w:rsidR="004B7D4A" w:rsidRDefault="002B4382">
      <w:pPr>
        <w:spacing w:after="240"/>
        <w:rPr>
          <w:rFonts w:ascii="Times New Roman" w:eastAsia="Times New Roman" w:hAnsi="Times New Roman" w:cs="Times New Roman"/>
        </w:rPr>
      </w:pPr>
      <w:r>
        <w:rPr>
          <w:rFonts w:ascii="Times New Roman" w:eastAsia="Times New Roman" w:hAnsi="Times New Roman" w:cs="Times New Roman"/>
        </w:rPr>
        <w:lastRenderedPageBreak/>
        <w:t>Assignment #3 - Essay on a case study</w:t>
      </w:r>
    </w:p>
    <w:p w14:paraId="00000032"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 xml:space="preserve">Write a 5-page paper on a specific event or phenomenon (e.g., a historical event, cultural practice, a legal decision), and </w:t>
      </w:r>
      <w:r>
        <w:rPr>
          <w:rFonts w:ascii="Times New Roman" w:eastAsia="Times New Roman" w:hAnsi="Times New Roman" w:cs="Times New Roman"/>
          <w:color w:val="FF0000"/>
        </w:rPr>
        <w:t>interpret it from a hermeneutic perspective</w:t>
      </w:r>
      <w:r>
        <w:rPr>
          <w:rFonts w:ascii="Times New Roman" w:eastAsia="Times New Roman" w:hAnsi="Times New Roman" w:cs="Times New Roman"/>
        </w:rPr>
        <w:t xml:space="preserve">. This would involve understanding the event within its context and recognizing the role </w:t>
      </w:r>
      <w:r>
        <w:rPr>
          <w:rFonts w:ascii="Times New Roman" w:eastAsia="Times New Roman" w:hAnsi="Times New Roman" w:cs="Times New Roman"/>
        </w:rPr>
        <w:t>of your prejudices in shaping your interpretation.</w:t>
      </w:r>
    </w:p>
    <w:p w14:paraId="00000033"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The student should direct developmental readings from Assignment #2 on the hermeneutic issue for this assignment.</w:t>
      </w:r>
    </w:p>
    <w:p w14:paraId="00000034"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2. Paper Outline</w:t>
      </w:r>
    </w:p>
    <w:p w14:paraId="00000035"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a. Begin with an introductory paragraph that has a succinct thesis stateme</w:t>
      </w:r>
      <w:r>
        <w:rPr>
          <w:rFonts w:ascii="Times New Roman" w:eastAsia="Times New Roman" w:hAnsi="Times New Roman" w:cs="Times New Roman"/>
        </w:rPr>
        <w:t>nt.</w:t>
      </w:r>
    </w:p>
    <w:p w14:paraId="00000036"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b. Address the topic of the paper with critical thought.</w:t>
      </w:r>
    </w:p>
    <w:p w14:paraId="00000037"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c. End with a conclusion that reaffirms your thesis.</w:t>
      </w:r>
    </w:p>
    <w:p w14:paraId="00000038"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d. Use a minimum of eleven scholarly research sources (two books and the</w:t>
      </w:r>
    </w:p>
    <w:p w14:paraId="00000039" w14:textId="77777777" w:rsidR="004B7D4A" w:rsidRDefault="002B4382">
      <w:pPr>
        <w:spacing w:before="240" w:after="240"/>
        <w:rPr>
          <w:rFonts w:ascii="Times New Roman" w:eastAsia="Times New Roman" w:hAnsi="Times New Roman" w:cs="Times New Roman"/>
        </w:rPr>
      </w:pPr>
      <w:r>
        <w:rPr>
          <w:rFonts w:ascii="Times New Roman" w:eastAsia="Times New Roman" w:hAnsi="Times New Roman" w:cs="Times New Roman"/>
        </w:rPr>
        <w:t>remaining scholarly peer-reviewed journal articles).</w:t>
      </w:r>
    </w:p>
    <w:p w14:paraId="0000003A" w14:textId="77777777" w:rsidR="004B7D4A" w:rsidRDefault="004B7D4A"/>
    <w:p w14:paraId="0000003B" w14:textId="77777777" w:rsidR="004B7D4A" w:rsidRDefault="004B7D4A"/>
    <w:p w14:paraId="0000003C" w14:textId="77777777" w:rsidR="004B7D4A" w:rsidRDefault="004B7D4A"/>
    <w:p w14:paraId="0000003D" w14:textId="77777777" w:rsidR="004B7D4A" w:rsidRDefault="004B7D4A"/>
    <w:p w14:paraId="0000003E" w14:textId="77777777" w:rsidR="004B7D4A" w:rsidRDefault="004B7D4A"/>
    <w:p w14:paraId="0000003F" w14:textId="77777777" w:rsidR="004B7D4A" w:rsidRDefault="004B7D4A"/>
    <w:p w14:paraId="00000040" w14:textId="77777777" w:rsidR="004B7D4A" w:rsidRDefault="004B7D4A"/>
    <w:p w14:paraId="00000041" w14:textId="77777777" w:rsidR="004B7D4A" w:rsidRDefault="004B7D4A"/>
    <w:p w14:paraId="00000042" w14:textId="77777777" w:rsidR="004B7D4A" w:rsidRDefault="004B7D4A"/>
    <w:p w14:paraId="00000043" w14:textId="77777777" w:rsidR="004B7D4A" w:rsidRDefault="004B7D4A"/>
    <w:p w14:paraId="00000044" w14:textId="77777777" w:rsidR="004B7D4A" w:rsidRDefault="004B7D4A"/>
    <w:p w14:paraId="00000045" w14:textId="77777777" w:rsidR="004B7D4A" w:rsidRDefault="004B7D4A"/>
    <w:p w14:paraId="00000046" w14:textId="77777777" w:rsidR="004B7D4A" w:rsidRDefault="004B7D4A"/>
    <w:p w14:paraId="00000047" w14:textId="77777777" w:rsidR="004B7D4A" w:rsidRDefault="004B7D4A"/>
    <w:p w14:paraId="00000048" w14:textId="77777777" w:rsidR="004B7D4A" w:rsidRDefault="004B7D4A"/>
    <w:p w14:paraId="00000049" w14:textId="77777777" w:rsidR="004B7D4A" w:rsidRDefault="004B7D4A"/>
    <w:p w14:paraId="0000004A" w14:textId="77777777" w:rsidR="004B7D4A" w:rsidRDefault="004B7D4A"/>
    <w:p w14:paraId="0000004B" w14:textId="77777777" w:rsidR="004B7D4A" w:rsidRDefault="004B7D4A"/>
    <w:p w14:paraId="0000004C" w14:textId="77777777" w:rsidR="004B7D4A" w:rsidRDefault="004B7D4A"/>
    <w:p w14:paraId="0000004D" w14:textId="77777777" w:rsidR="004B7D4A" w:rsidRDefault="004B7D4A"/>
    <w:p w14:paraId="0000004E" w14:textId="77777777" w:rsidR="004B7D4A" w:rsidRDefault="004B7D4A"/>
    <w:p w14:paraId="0000004F" w14:textId="77777777" w:rsidR="004B7D4A" w:rsidRDefault="004B7D4A"/>
    <w:p w14:paraId="00000050" w14:textId="77777777" w:rsidR="004B7D4A" w:rsidRDefault="004B7D4A"/>
    <w:p w14:paraId="00000051" w14:textId="77777777" w:rsidR="004B7D4A" w:rsidRDefault="004B7D4A"/>
    <w:p w14:paraId="00000052" w14:textId="77777777" w:rsidR="004B7D4A" w:rsidRDefault="004B7D4A"/>
    <w:p w14:paraId="00000053" w14:textId="77777777" w:rsidR="004B7D4A" w:rsidRDefault="004B7D4A"/>
    <w:p w14:paraId="00000054" w14:textId="77777777" w:rsidR="004B7D4A" w:rsidRDefault="004B7D4A"/>
    <w:p w14:paraId="00000055" w14:textId="77777777" w:rsidR="004B7D4A" w:rsidRDefault="004B7D4A"/>
    <w:p w14:paraId="00000056" w14:textId="77777777" w:rsidR="004B7D4A" w:rsidRDefault="004B7D4A">
      <w:pPr>
        <w:spacing w:after="160" w:line="480" w:lineRule="auto"/>
        <w:jc w:val="center"/>
        <w:rPr>
          <w:rFonts w:ascii="Times New Roman" w:eastAsia="Times New Roman" w:hAnsi="Times New Roman" w:cs="Times New Roman"/>
          <w:b/>
          <w:sz w:val="24"/>
          <w:szCs w:val="24"/>
        </w:rPr>
      </w:pPr>
    </w:p>
    <w:p w14:paraId="00000057" w14:textId="77777777" w:rsidR="004B7D4A" w:rsidRDefault="002B4382">
      <w:pPr>
        <w:spacing w:after="16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Work-Life Conflict Phenomenon, its intersection with Gender  Ideologies and Implications for Youth Transitioning to adulthood</w:t>
      </w:r>
    </w:p>
    <w:p w14:paraId="00000058" w14:textId="77777777" w:rsidR="004B7D4A" w:rsidRDefault="002B4382">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discourse and realities around work life dichotomy (paid work and unpaid care and domestic work) are complex and multifaceted, from debates around the gender revolution in the industrialised world, changes in the profile of populations due to longer li</w:t>
      </w:r>
      <w:r>
        <w:rPr>
          <w:rFonts w:ascii="Times New Roman" w:eastAsia="Times New Roman" w:hAnsi="Times New Roman" w:cs="Times New Roman"/>
          <w:sz w:val="24"/>
          <w:szCs w:val="24"/>
        </w:rPr>
        <w:t xml:space="preserve">fe expectancy and delayed childbearing, changes in the breadwinner homemaker model, sexual division of labour, proliferation of technology, the permeable nature of private and public lives, productivity, wellness and other factors (Buchanan &amp; Baker, 2020; </w:t>
      </w:r>
      <w:r>
        <w:rPr>
          <w:rFonts w:ascii="Times New Roman" w:eastAsia="Times New Roman" w:hAnsi="Times New Roman" w:cs="Times New Roman"/>
          <w:sz w:val="24"/>
          <w:szCs w:val="24"/>
        </w:rPr>
        <w:t xml:space="preserve">Charmes, J. (2019). In this paper, challenges around work life definition and conflict, gendered considerations of this conflict and implications for building youth agency to transition to adulthood will be explored. </w:t>
      </w:r>
    </w:p>
    <w:p w14:paraId="00000059" w14:textId="77777777" w:rsidR="004B7D4A" w:rsidRDefault="002B4382">
      <w:pPr>
        <w:spacing w:line="48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Let us begin by clarifying the hermene</w:t>
      </w:r>
      <w:r>
        <w:rPr>
          <w:rFonts w:ascii="Times New Roman" w:eastAsia="Times New Roman" w:hAnsi="Times New Roman" w:cs="Times New Roman"/>
          <w:sz w:val="24"/>
          <w:szCs w:val="24"/>
        </w:rPr>
        <w:t>utics of work, non-work, paid and unpaid work and  life. Some authors make reference to work and non-work  as a means of separating paid work and unpaid work/non-work. However, for my own sensibilities as a social scientist and as a woman not all unpaid wo</w:t>
      </w:r>
      <w:r>
        <w:rPr>
          <w:rFonts w:ascii="Times New Roman" w:eastAsia="Times New Roman" w:hAnsi="Times New Roman" w:cs="Times New Roman"/>
          <w:sz w:val="24"/>
          <w:szCs w:val="24"/>
        </w:rPr>
        <w:t>rk constitutes non-work, non work is leisure. A large percentage of unpaid work is care and domestic work which should never be associated with or classified as non-work.   This dichotomy of paid and unpaid work is central to the work life conflict dyad. B</w:t>
      </w:r>
      <w:r>
        <w:rPr>
          <w:rFonts w:ascii="Times New Roman" w:eastAsia="Times New Roman" w:hAnsi="Times New Roman" w:cs="Times New Roman"/>
          <w:sz w:val="24"/>
          <w:szCs w:val="24"/>
        </w:rPr>
        <w:t>eyond this is leisure and all that encapsulates life. Therefore understanding work life conflict is built upon a knowledge of paid work, unpaid work (care and voluntary work) and leisure.  The discourse however, often refers to work-to-family conflict, fam</w:t>
      </w:r>
      <w:r>
        <w:rPr>
          <w:rFonts w:ascii="Times New Roman" w:eastAsia="Times New Roman" w:hAnsi="Times New Roman" w:cs="Times New Roman"/>
          <w:sz w:val="24"/>
          <w:szCs w:val="24"/>
        </w:rPr>
        <w:t>ily-to-work conflict and role conflict. Consequently, there are three types of work life conflict ideologies; time based conflict, role based conflict and behaviour based conflict. From these hermeneutical discussions the conflict within the discourse of w</w:t>
      </w:r>
      <w:r>
        <w:rPr>
          <w:rFonts w:ascii="Times New Roman" w:eastAsia="Times New Roman" w:hAnsi="Times New Roman" w:cs="Times New Roman"/>
          <w:sz w:val="24"/>
          <w:szCs w:val="24"/>
        </w:rPr>
        <w:t xml:space="preserve">ork begins to emerge.  Work </w:t>
      </w:r>
      <w:r>
        <w:rPr>
          <w:rFonts w:ascii="Times New Roman" w:eastAsia="Times New Roman" w:hAnsi="Times New Roman" w:cs="Times New Roman"/>
          <w:sz w:val="24"/>
          <w:szCs w:val="24"/>
        </w:rPr>
        <w:lastRenderedPageBreak/>
        <w:t>is an essential part of social development and our daily lives, it moulds our understanding of self and consciousness and the world in which we live (Tausig, 2013). The nature of work and the meaning it illicit forms the central</w:t>
      </w:r>
      <w:r>
        <w:rPr>
          <w:rFonts w:ascii="Times New Roman" w:eastAsia="Times New Roman" w:hAnsi="Times New Roman" w:cs="Times New Roman"/>
          <w:sz w:val="24"/>
          <w:szCs w:val="24"/>
        </w:rPr>
        <w:t>ity of human existence. Work is divided into productive, reproductive (care) and voluntary work (Mohammed 2017, Bailey and Ricketts 2003, Carwell, 2016) all of which adds value to our lives (monetary and non-monetary) and gives a sense of identity and purp</w:t>
      </w:r>
      <w:r>
        <w:rPr>
          <w:rFonts w:ascii="Times New Roman" w:eastAsia="Times New Roman" w:hAnsi="Times New Roman" w:cs="Times New Roman"/>
          <w:sz w:val="24"/>
          <w:szCs w:val="24"/>
        </w:rPr>
        <w:t>ose (Resnikoff, 2018)</w:t>
      </w:r>
    </w:p>
    <w:p w14:paraId="0000005A" w14:textId="77777777" w:rsidR="004B7D4A" w:rsidRDefault="004B7D4A">
      <w:pPr>
        <w:rPr>
          <w:highlight w:val="yellow"/>
        </w:rPr>
      </w:pPr>
    </w:p>
    <w:p w14:paraId="0000005B" w14:textId="77777777" w:rsidR="004B7D4A" w:rsidRDefault="004B7D4A">
      <w:pPr>
        <w:spacing w:line="480" w:lineRule="auto"/>
        <w:rPr>
          <w:rFonts w:ascii="Times New Roman" w:eastAsia="Times New Roman" w:hAnsi="Times New Roman" w:cs="Times New Roman"/>
          <w:sz w:val="24"/>
          <w:szCs w:val="24"/>
        </w:rPr>
      </w:pPr>
    </w:p>
    <w:p w14:paraId="0000005C" w14:textId="77777777" w:rsidR="004B7D4A" w:rsidRDefault="002B438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to this paper is the continued legitimatization of this core responsibility and the inordinate challenges faced by women in paid work outside the home and unpaid care work in their own home and others. The definition, const</w:t>
      </w:r>
      <w:r>
        <w:rPr>
          <w:rFonts w:ascii="Times New Roman" w:eastAsia="Times New Roman" w:hAnsi="Times New Roman" w:cs="Times New Roman"/>
          <w:sz w:val="24"/>
          <w:szCs w:val="24"/>
        </w:rPr>
        <w:t>ruction and organization of work and labour are often understood and conceptualized through a pervasive hidden system of hegemonic patriarchy often excluding the important female role in the economic and social production of work and an important role in d</w:t>
      </w:r>
      <w:r>
        <w:rPr>
          <w:rFonts w:ascii="Times New Roman" w:eastAsia="Times New Roman" w:hAnsi="Times New Roman" w:cs="Times New Roman"/>
          <w:sz w:val="24"/>
          <w:szCs w:val="24"/>
        </w:rPr>
        <w:t>evelopment</w:t>
      </w:r>
      <w:r>
        <w:rPr>
          <w:rFonts w:ascii="Calibri" w:eastAsia="Calibri" w:hAnsi="Calibri" w:cs="Calibri"/>
          <w:color w:val="0070C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4"/>
          <w:szCs w:val="24"/>
        </w:rPr>
        <w:t>Feldman, 2013). ‘Woman’ is problematized in the work life dichotomy. This promotes the social and economic unrecognition, devaluing and/or undervaluing of ‘women’s work’ both in the private and public spheres. These factors continue to promote challenges o</w:t>
      </w:r>
      <w:r>
        <w:rPr>
          <w:rFonts w:ascii="Times New Roman" w:eastAsia="Times New Roman" w:hAnsi="Times New Roman" w:cs="Times New Roman"/>
          <w:sz w:val="24"/>
          <w:szCs w:val="24"/>
        </w:rPr>
        <w:t>f work life balance, lack of reliable and affordable care for elderly, children, and the disabled. This modus operandi fuels gender inequality for women and work and a persistence of normative gender roles that perpetuate the male provider and female careg</w:t>
      </w:r>
      <w:r>
        <w:rPr>
          <w:rFonts w:ascii="Times New Roman" w:eastAsia="Times New Roman" w:hAnsi="Times New Roman" w:cs="Times New Roman"/>
          <w:sz w:val="24"/>
          <w:szCs w:val="24"/>
        </w:rPr>
        <w:t>iver model. Some have posited a defamilialization and/or demotherization of care work to transfer some aspects of care work to the state, grandparents, their partners or paid caregiver in order to create a balance and in order for women to more actively pa</w:t>
      </w:r>
      <w:r>
        <w:rPr>
          <w:rFonts w:ascii="Times New Roman" w:eastAsia="Times New Roman" w:hAnsi="Times New Roman" w:cs="Times New Roman"/>
          <w:sz w:val="24"/>
          <w:szCs w:val="24"/>
        </w:rPr>
        <w:t>rticipate in the workforce (Quesnel-Vallée and Clouston, 2012; Mathieu, 2016; Breitkreuz and Cohen, 2018).</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 xml:space="preserve">The discourse around work and division of labour ought to be grounded in an understanding of class, race, culture and gender, given that differences </w:t>
      </w:r>
      <w:r>
        <w:rPr>
          <w:rFonts w:ascii="Times New Roman" w:eastAsia="Times New Roman" w:hAnsi="Times New Roman" w:cs="Times New Roman"/>
          <w:sz w:val="24"/>
          <w:szCs w:val="24"/>
        </w:rPr>
        <w:t xml:space="preserve">and intersectionality in society promote a lack of homogeneity among </w:t>
      </w:r>
      <w:r>
        <w:rPr>
          <w:rFonts w:ascii="Times New Roman" w:eastAsia="Times New Roman" w:hAnsi="Times New Roman" w:cs="Times New Roman"/>
          <w:sz w:val="24"/>
          <w:szCs w:val="24"/>
        </w:rPr>
        <w:lastRenderedPageBreak/>
        <w:t>women.  Understanding labour force participation within a gendered context is not only important for research but for policy planning and development, education and practice. Moser (1993)</w:t>
      </w:r>
      <w:r>
        <w:rPr>
          <w:rFonts w:ascii="Times New Roman" w:eastAsia="Times New Roman" w:hAnsi="Times New Roman" w:cs="Times New Roman"/>
          <w:sz w:val="24"/>
          <w:szCs w:val="24"/>
        </w:rPr>
        <w:t xml:space="preserve"> provides a basis for our understanding of gender roles where women carry out three main roles, reproductive (unpaid care role), productive (paid work which is shared with men) and community roles. There are gendered considerations in relation to time spen</w:t>
      </w:r>
      <w:r>
        <w:rPr>
          <w:rFonts w:ascii="Times New Roman" w:eastAsia="Times New Roman" w:hAnsi="Times New Roman" w:cs="Times New Roman"/>
          <w:sz w:val="24"/>
          <w:szCs w:val="24"/>
        </w:rPr>
        <w:t>t in work (paid and unpaid), the economic value of men and women’s labour, positionality and level of workforce participation, factors related to staying away from paid work temporarily or permanently and other interceding factors. Globally women work more</w:t>
      </w:r>
      <w:r>
        <w:rPr>
          <w:rFonts w:ascii="Times New Roman" w:eastAsia="Times New Roman" w:hAnsi="Times New Roman" w:cs="Times New Roman"/>
          <w:sz w:val="24"/>
          <w:szCs w:val="24"/>
        </w:rPr>
        <w:t xml:space="preserve"> hours than men (paid and unpaid hours) though men contribute more hours to paid work and women more to unpaid care work (UNDP, 2015). This situation of multiple continuous roles (role overload) creates a burden for the woman (Mohammed, 2003; Bailey &amp; Rick</w:t>
      </w:r>
      <w:r>
        <w:rPr>
          <w:rFonts w:ascii="Times New Roman" w:eastAsia="Times New Roman" w:hAnsi="Times New Roman" w:cs="Times New Roman"/>
          <w:sz w:val="24"/>
          <w:szCs w:val="24"/>
        </w:rPr>
        <w:t>etts, 2003).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challenge is not just about who is doing more work and how many hours but how societies continue to define, organize and structure productive work [without consideration for care work and appreciation of various intersectional vulnerabilit</w:t>
      </w:r>
      <w:r>
        <w:rPr>
          <w:rFonts w:ascii="Times New Roman" w:eastAsia="Times New Roman" w:hAnsi="Times New Roman" w:cs="Times New Roman"/>
          <w:sz w:val="24"/>
          <w:szCs w:val="24"/>
        </w:rPr>
        <w:t xml:space="preserve">ies] that creates, perpetuates and promotes systems of inequality and inequity. </w:t>
      </w:r>
    </w:p>
    <w:p w14:paraId="0000005D" w14:textId="77777777" w:rsidR="004B7D4A" w:rsidRDefault="004B7D4A">
      <w:pPr>
        <w:spacing w:line="480" w:lineRule="auto"/>
        <w:rPr>
          <w:rFonts w:ascii="Times New Roman" w:eastAsia="Times New Roman" w:hAnsi="Times New Roman" w:cs="Times New Roman"/>
          <w:sz w:val="24"/>
          <w:szCs w:val="24"/>
        </w:rPr>
      </w:pPr>
    </w:p>
    <w:p w14:paraId="0000005E" w14:textId="77777777" w:rsidR="004B7D4A" w:rsidRDefault="002B4382">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work life balance challenge has impacted the lives of workers with family and other responsibilities and is the top challenge for working women today (Gallup and ILO, 201</w:t>
      </w:r>
      <w:r>
        <w:rPr>
          <w:rFonts w:ascii="Times New Roman" w:eastAsia="Times New Roman" w:hAnsi="Times New Roman" w:cs="Times New Roman"/>
          <w:sz w:val="24"/>
          <w:szCs w:val="24"/>
        </w:rPr>
        <w:t>7). Women have been at the forefront of these discussions since their introduction to paid work. There are gendered considerations in relation to time spent in work (paid and unpaid), the economic value of men and women’s labour, positionality and level of</w:t>
      </w:r>
      <w:r>
        <w:rPr>
          <w:rFonts w:ascii="Times New Roman" w:eastAsia="Times New Roman" w:hAnsi="Times New Roman" w:cs="Times New Roman"/>
          <w:sz w:val="24"/>
          <w:szCs w:val="24"/>
        </w:rPr>
        <w:t xml:space="preserve"> workforce participation, factors related to staying away from paid work temporarily or permanently and other interceding factors. The global corona virus pandemic has intensified and brought into closer focus this phenomena that have pervaded women’s live</w:t>
      </w:r>
      <w:r>
        <w:rPr>
          <w:rFonts w:ascii="Times New Roman" w:eastAsia="Times New Roman" w:hAnsi="Times New Roman" w:cs="Times New Roman"/>
          <w:sz w:val="24"/>
          <w:szCs w:val="24"/>
        </w:rPr>
        <w:t xml:space="preserve">s globally. This is not to preclude the numerous other groups of single childless women and men who also experience </w:t>
      </w:r>
      <w:r>
        <w:rPr>
          <w:rFonts w:ascii="Times New Roman" w:eastAsia="Times New Roman" w:hAnsi="Times New Roman" w:cs="Times New Roman"/>
          <w:sz w:val="24"/>
          <w:szCs w:val="24"/>
        </w:rPr>
        <w:lastRenderedPageBreak/>
        <w:t>major challenges with work and life balance given the priorities within and outside the household and other competing demands of paid work a</w:t>
      </w:r>
      <w:r>
        <w:rPr>
          <w:rFonts w:ascii="Times New Roman" w:eastAsia="Times New Roman" w:hAnsi="Times New Roman" w:cs="Times New Roman"/>
          <w:sz w:val="24"/>
          <w:szCs w:val="24"/>
        </w:rPr>
        <w:t xml:space="preserve">nd other complexities inclusive of study, career advancement, community involvement and volunteerism and care of others, including pets and other life domains and demands. Notwithstanding this, the notion of the working mother is tantamount given that she </w:t>
      </w:r>
      <w:r>
        <w:rPr>
          <w:rFonts w:ascii="Times New Roman" w:eastAsia="Times New Roman" w:hAnsi="Times New Roman" w:cs="Times New Roman"/>
          <w:sz w:val="24"/>
          <w:szCs w:val="24"/>
        </w:rPr>
        <w:t>continues to carry these responsibilities and the demand of childcare and rearing responsibilities which is essential and legitimized in society and within the work sphere due to the connection with the continuation of future workforce and the human race a</w:t>
      </w:r>
      <w:r>
        <w:rPr>
          <w:rFonts w:ascii="Times New Roman" w:eastAsia="Times New Roman" w:hAnsi="Times New Roman" w:cs="Times New Roman"/>
          <w:sz w:val="24"/>
          <w:szCs w:val="24"/>
        </w:rPr>
        <w:t>s we know it.</w:t>
      </w:r>
    </w:p>
    <w:p w14:paraId="0000005F" w14:textId="77777777" w:rsidR="004B7D4A" w:rsidRDefault="002B4382">
      <w:pPr>
        <w:spacing w:after="160" w:line="480" w:lineRule="auto"/>
      </w:pPr>
      <w:r>
        <w:rPr>
          <w:rFonts w:ascii="Times New Roman" w:eastAsia="Times New Roman" w:hAnsi="Times New Roman" w:cs="Times New Roman"/>
          <w:sz w:val="24"/>
          <w:szCs w:val="24"/>
        </w:rPr>
        <w:t>A study conducted by Hofacker, D., &amp; Konig, S. (2013), found that “both genders, irregularity and unpredictability of working hours negatively impact on work-life conflict beyond the mere amount of working hours. Yet, higher autonomy in choos</w:t>
      </w:r>
      <w:r>
        <w:rPr>
          <w:rFonts w:ascii="Times New Roman" w:eastAsia="Times New Roman" w:hAnsi="Times New Roman" w:cs="Times New Roman"/>
          <w:sz w:val="24"/>
          <w:szCs w:val="24"/>
        </w:rPr>
        <w:t>ing one’s work time is used very differently: While women tend to use their control over working hours to achieve a better work-life-balance, men tend to use these arrangements to increase their work commitment, thereby enhancing their perceived work-famil</w:t>
      </w:r>
      <w:r>
        <w:rPr>
          <w:rFonts w:ascii="Times New Roman" w:eastAsia="Times New Roman" w:hAnsi="Times New Roman" w:cs="Times New Roman"/>
          <w:sz w:val="24"/>
          <w:szCs w:val="24"/>
        </w:rPr>
        <w:t>y conflict. The authors argue that this gender-specific use of flexible work arrangements might still reflect the traditional gender roles and gender-segregated labour market structures p. 613.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a study conducted by Brue (2018), women tended to feel more</w:t>
      </w:r>
      <w:r>
        <w:rPr>
          <w:rFonts w:ascii="Times New Roman" w:eastAsia="Times New Roman" w:hAnsi="Times New Roman" w:cs="Times New Roman"/>
          <w:sz w:val="24"/>
          <w:szCs w:val="24"/>
        </w:rPr>
        <w:t xml:space="preserve"> time based conflict rather than strain based conflict. 49% indicated that they did not have clear boundaries between work and family roles and that work often interfered with family time rather than family impeding work.</w:t>
      </w:r>
    </w:p>
    <w:p w14:paraId="00000060" w14:textId="77777777" w:rsidR="004B7D4A" w:rsidRDefault="002B438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Stemming from this understanding i</w:t>
      </w:r>
      <w:r>
        <w:rPr>
          <w:rFonts w:ascii="Times New Roman" w:eastAsia="Times New Roman" w:hAnsi="Times New Roman" w:cs="Times New Roman"/>
          <w:sz w:val="24"/>
          <w:szCs w:val="24"/>
        </w:rPr>
        <w:t>t is important to prepare young women for transition to adult roles. Emerging adulthood and major transitions in social roles are associated with high levels of stress including psychological stress (Matud, Díaz, Bethencourt, &amp; Ibáñez, 2020). Building agen</w:t>
      </w:r>
      <w:r>
        <w:rPr>
          <w:rFonts w:ascii="Times New Roman" w:eastAsia="Times New Roman" w:hAnsi="Times New Roman" w:cs="Times New Roman"/>
          <w:sz w:val="24"/>
          <w:szCs w:val="24"/>
        </w:rPr>
        <w:t xml:space="preserve">cy in young people to be able to transition into work, family and other life plans with knowledge about work and life balance and gender role identity is a key part of life planning. </w:t>
      </w:r>
    </w:p>
    <w:p w14:paraId="00000061" w14:textId="77777777" w:rsidR="004B7D4A" w:rsidRDefault="002B4382" w:rsidP="009D2CB9">
      <w:pPr>
        <w:tabs>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Althammer, Reis, Beek, Beck &amp; Michel’s (2021), findings suggest that“min</w:t>
      </w:r>
      <w:r>
        <w:rPr>
          <w:rFonts w:ascii="Times New Roman" w:eastAsia="Times New Roman" w:hAnsi="Times New Roman" w:cs="Times New Roman"/>
          <w:sz w:val="24"/>
          <w:szCs w:val="24"/>
        </w:rPr>
        <w:t>dfulness-based</w:t>
      </w:r>
    </w:p>
    <w:p w14:paraId="00000062" w14:textId="77777777" w:rsidR="004B7D4A" w:rsidRDefault="002B4382" w:rsidP="009D2CB9">
      <w:pPr>
        <w:tabs>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self-training intervention can foster detachment, reduce psychological work–life conflict, and </w:t>
      </w:r>
    </w:p>
    <w:p w14:paraId="00000064" w14:textId="0E4EFD0F" w:rsidR="004B7D4A" w:rsidRPr="009D2CB9" w:rsidRDefault="002B4382">
      <w:pPr>
        <w:tabs>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 satisfaction with </w:t>
      </w:r>
      <w:r>
        <w:rPr>
          <w:rFonts w:ascii="Times New Roman" w:eastAsia="Times New Roman" w:hAnsi="Times New Roman" w:cs="Times New Roman"/>
          <w:sz w:val="24"/>
          <w:szCs w:val="24"/>
        </w:rPr>
        <w:t xml:space="preserve">work–life balance.” p. 302. They propose a </w:t>
      </w:r>
      <w:r>
        <w:rPr>
          <w:rFonts w:ascii="Times New Roman" w:eastAsia="Times New Roman" w:hAnsi="Times New Roman" w:cs="Times New Roman"/>
          <w:sz w:val="24"/>
          <w:szCs w:val="24"/>
        </w:rPr>
        <w:t>cognitive-emotional segmentation strategy, segmentation preferences, b</w:t>
      </w:r>
      <w:r>
        <w:rPr>
          <w:rFonts w:ascii="Times New Roman" w:eastAsia="Times New Roman" w:hAnsi="Times New Roman" w:cs="Times New Roman"/>
          <w:sz w:val="24"/>
          <w:szCs w:val="24"/>
        </w:rPr>
        <w:t>oundary theory and boundary management skills, mindfulness and mindfulness-based interventions to help young people transition.</w:t>
      </w:r>
    </w:p>
    <w:p w14:paraId="00000065" w14:textId="77777777" w:rsidR="004B7D4A" w:rsidRDefault="004B7D4A"/>
    <w:p w14:paraId="00000066" w14:textId="77777777" w:rsidR="004B7D4A" w:rsidRDefault="002B438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work life conflict presents challenges to workers and in particular role based conflict for women. Helping young</w:t>
      </w:r>
      <w:r>
        <w:rPr>
          <w:rFonts w:ascii="Times New Roman" w:eastAsia="Times New Roman" w:hAnsi="Times New Roman" w:cs="Times New Roman"/>
          <w:sz w:val="24"/>
          <w:szCs w:val="24"/>
        </w:rPr>
        <w:t xml:space="preserve"> people to understand these challenges, teaching them decision making skills and promoting mindfulness for better work life balance can help young people transition to adulthood. </w:t>
      </w:r>
    </w:p>
    <w:p w14:paraId="00000067" w14:textId="77777777" w:rsidR="004B7D4A" w:rsidRDefault="004B7D4A">
      <w:pPr>
        <w:spacing w:line="480" w:lineRule="auto"/>
      </w:pPr>
    </w:p>
    <w:p w14:paraId="00000068" w14:textId="77777777" w:rsidR="004B7D4A" w:rsidRDefault="004B7D4A"/>
    <w:p w14:paraId="00000069" w14:textId="77777777" w:rsidR="004B7D4A" w:rsidRDefault="004B7D4A">
      <w:pPr>
        <w:rPr>
          <w:rFonts w:ascii="Times New Roman" w:eastAsia="Times New Roman" w:hAnsi="Times New Roman" w:cs="Times New Roman"/>
          <w:sz w:val="24"/>
          <w:szCs w:val="24"/>
        </w:rPr>
      </w:pPr>
    </w:p>
    <w:p w14:paraId="0000006A" w14:textId="77777777" w:rsidR="004B7D4A" w:rsidRDefault="004B7D4A">
      <w:pPr>
        <w:rPr>
          <w:rFonts w:ascii="Times New Roman" w:eastAsia="Times New Roman" w:hAnsi="Times New Roman" w:cs="Times New Roman"/>
          <w:sz w:val="24"/>
          <w:szCs w:val="24"/>
        </w:rPr>
      </w:pPr>
    </w:p>
    <w:p w14:paraId="0000006B" w14:textId="77777777" w:rsidR="004B7D4A" w:rsidRDefault="004B7D4A">
      <w:pPr>
        <w:rPr>
          <w:rFonts w:ascii="Times New Roman" w:eastAsia="Times New Roman" w:hAnsi="Times New Roman" w:cs="Times New Roman"/>
          <w:sz w:val="24"/>
          <w:szCs w:val="24"/>
        </w:rPr>
      </w:pPr>
    </w:p>
    <w:p w14:paraId="0000006C" w14:textId="77777777" w:rsidR="004B7D4A" w:rsidRDefault="004B7D4A">
      <w:pPr>
        <w:rPr>
          <w:rFonts w:ascii="Times New Roman" w:eastAsia="Times New Roman" w:hAnsi="Times New Roman" w:cs="Times New Roman"/>
        </w:rPr>
      </w:pPr>
    </w:p>
    <w:p w14:paraId="0000006D" w14:textId="77777777" w:rsidR="004B7D4A" w:rsidRDefault="004B7D4A"/>
    <w:p w14:paraId="0000006E" w14:textId="77777777" w:rsidR="004B7D4A" w:rsidRDefault="004B7D4A"/>
    <w:p w14:paraId="0000006F" w14:textId="77777777" w:rsidR="004B7D4A" w:rsidRDefault="004B7D4A"/>
    <w:p w14:paraId="00000070" w14:textId="77777777" w:rsidR="004B7D4A" w:rsidRDefault="004B7D4A">
      <w:pPr>
        <w:rPr>
          <w:rFonts w:ascii="Times New Roman" w:eastAsia="Times New Roman" w:hAnsi="Times New Roman" w:cs="Times New Roman"/>
          <w:sz w:val="24"/>
          <w:szCs w:val="24"/>
        </w:rPr>
      </w:pPr>
    </w:p>
    <w:p w14:paraId="00000071" w14:textId="77777777" w:rsidR="004B7D4A" w:rsidRDefault="004B7D4A">
      <w:pPr>
        <w:tabs>
          <w:tab w:val="right" w:pos="8640"/>
          <w:tab w:val="right" w:pos="8640"/>
        </w:tabs>
        <w:spacing w:line="480" w:lineRule="auto"/>
        <w:ind w:firstLine="720"/>
        <w:jc w:val="center"/>
        <w:rPr>
          <w:rFonts w:ascii="Times New Roman" w:eastAsia="Times New Roman" w:hAnsi="Times New Roman" w:cs="Times New Roman"/>
          <w:b/>
          <w:sz w:val="24"/>
          <w:szCs w:val="24"/>
        </w:rPr>
      </w:pPr>
    </w:p>
    <w:p w14:paraId="00000072" w14:textId="77777777" w:rsidR="004B7D4A" w:rsidRDefault="004B7D4A">
      <w:pPr>
        <w:tabs>
          <w:tab w:val="right" w:pos="8640"/>
          <w:tab w:val="right" w:pos="8640"/>
        </w:tabs>
        <w:spacing w:line="480" w:lineRule="auto"/>
        <w:ind w:firstLine="720"/>
        <w:jc w:val="center"/>
        <w:rPr>
          <w:rFonts w:ascii="Times New Roman" w:eastAsia="Times New Roman" w:hAnsi="Times New Roman" w:cs="Times New Roman"/>
          <w:b/>
          <w:sz w:val="24"/>
          <w:szCs w:val="24"/>
        </w:rPr>
      </w:pPr>
    </w:p>
    <w:p w14:paraId="00000073" w14:textId="77777777" w:rsidR="004B7D4A" w:rsidRDefault="004B7D4A">
      <w:pPr>
        <w:tabs>
          <w:tab w:val="right" w:pos="8640"/>
          <w:tab w:val="right" w:pos="8640"/>
        </w:tabs>
        <w:spacing w:line="480" w:lineRule="auto"/>
        <w:ind w:firstLine="720"/>
        <w:jc w:val="center"/>
        <w:rPr>
          <w:rFonts w:ascii="Times New Roman" w:eastAsia="Times New Roman" w:hAnsi="Times New Roman" w:cs="Times New Roman"/>
          <w:b/>
          <w:sz w:val="24"/>
          <w:szCs w:val="24"/>
        </w:rPr>
      </w:pPr>
    </w:p>
    <w:p w14:paraId="00000074" w14:textId="77777777" w:rsidR="004B7D4A" w:rsidRDefault="004B7D4A">
      <w:pPr>
        <w:tabs>
          <w:tab w:val="right" w:pos="8640"/>
          <w:tab w:val="right" w:pos="8640"/>
        </w:tabs>
        <w:spacing w:line="480" w:lineRule="auto"/>
        <w:rPr>
          <w:rFonts w:ascii="Times New Roman" w:eastAsia="Times New Roman" w:hAnsi="Times New Roman" w:cs="Times New Roman"/>
          <w:b/>
          <w:sz w:val="24"/>
          <w:szCs w:val="24"/>
        </w:rPr>
      </w:pPr>
    </w:p>
    <w:p w14:paraId="00000075" w14:textId="77777777" w:rsidR="004B7D4A" w:rsidRDefault="004B7D4A">
      <w:pPr>
        <w:tabs>
          <w:tab w:val="right" w:pos="8640"/>
          <w:tab w:val="right" w:pos="8640"/>
        </w:tabs>
        <w:spacing w:line="480" w:lineRule="auto"/>
        <w:rPr>
          <w:rFonts w:ascii="Times New Roman" w:eastAsia="Times New Roman" w:hAnsi="Times New Roman" w:cs="Times New Roman"/>
          <w:b/>
          <w:sz w:val="24"/>
          <w:szCs w:val="24"/>
        </w:rPr>
      </w:pPr>
    </w:p>
    <w:p w14:paraId="00000076" w14:textId="77777777" w:rsidR="004B7D4A" w:rsidRDefault="004B7D4A">
      <w:pPr>
        <w:tabs>
          <w:tab w:val="right" w:pos="8640"/>
          <w:tab w:val="right" w:pos="8640"/>
        </w:tabs>
        <w:spacing w:line="480" w:lineRule="auto"/>
        <w:jc w:val="center"/>
        <w:rPr>
          <w:rFonts w:ascii="Times New Roman" w:eastAsia="Times New Roman" w:hAnsi="Times New Roman" w:cs="Times New Roman"/>
          <w:b/>
          <w:sz w:val="24"/>
          <w:szCs w:val="24"/>
        </w:rPr>
      </w:pPr>
    </w:p>
    <w:p w14:paraId="00000077" w14:textId="77777777" w:rsidR="004B7D4A" w:rsidRDefault="004B7D4A">
      <w:pPr>
        <w:tabs>
          <w:tab w:val="right" w:pos="8640"/>
          <w:tab w:val="right" w:pos="8640"/>
        </w:tabs>
        <w:spacing w:line="480" w:lineRule="auto"/>
        <w:jc w:val="center"/>
        <w:rPr>
          <w:rFonts w:ascii="Times New Roman" w:eastAsia="Times New Roman" w:hAnsi="Times New Roman" w:cs="Times New Roman"/>
          <w:b/>
          <w:sz w:val="24"/>
          <w:szCs w:val="24"/>
        </w:rPr>
      </w:pPr>
    </w:p>
    <w:p w14:paraId="00000078" w14:textId="77777777" w:rsidR="004B7D4A" w:rsidRDefault="004B7D4A">
      <w:pPr>
        <w:tabs>
          <w:tab w:val="right" w:pos="8640"/>
          <w:tab w:val="right" w:pos="8640"/>
        </w:tabs>
        <w:spacing w:line="480" w:lineRule="auto"/>
        <w:jc w:val="center"/>
        <w:rPr>
          <w:rFonts w:ascii="Times New Roman" w:eastAsia="Times New Roman" w:hAnsi="Times New Roman" w:cs="Times New Roman"/>
          <w:b/>
          <w:sz w:val="24"/>
          <w:szCs w:val="24"/>
        </w:rPr>
      </w:pPr>
    </w:p>
    <w:p w14:paraId="00000079" w14:textId="20A59296" w:rsidR="004B7D4A" w:rsidRDefault="004B7D4A">
      <w:pPr>
        <w:tabs>
          <w:tab w:val="right" w:pos="8640"/>
          <w:tab w:val="right" w:pos="8640"/>
        </w:tabs>
        <w:spacing w:line="480" w:lineRule="auto"/>
        <w:jc w:val="center"/>
        <w:rPr>
          <w:rFonts w:ascii="Times New Roman" w:eastAsia="Times New Roman" w:hAnsi="Times New Roman" w:cs="Times New Roman"/>
          <w:b/>
          <w:sz w:val="24"/>
          <w:szCs w:val="24"/>
        </w:rPr>
      </w:pPr>
    </w:p>
    <w:p w14:paraId="6B3266DC" w14:textId="07A0F5A5" w:rsidR="009D2CB9" w:rsidRDefault="009D2CB9">
      <w:pPr>
        <w:tabs>
          <w:tab w:val="right" w:pos="8640"/>
          <w:tab w:val="right" w:pos="8640"/>
        </w:tabs>
        <w:spacing w:line="480" w:lineRule="auto"/>
        <w:jc w:val="center"/>
        <w:rPr>
          <w:rFonts w:ascii="Times New Roman" w:eastAsia="Times New Roman" w:hAnsi="Times New Roman" w:cs="Times New Roman"/>
          <w:b/>
          <w:sz w:val="24"/>
          <w:szCs w:val="24"/>
        </w:rPr>
      </w:pPr>
    </w:p>
    <w:p w14:paraId="0000007A" w14:textId="77777777" w:rsidR="004B7D4A" w:rsidRDefault="002B4382">
      <w:pPr>
        <w:tabs>
          <w:tab w:val="right" w:pos="8640"/>
          <w:tab w:val="right" w:pos="8640"/>
        </w:tabs>
        <w:spacing w:line="480" w:lineRule="auto"/>
        <w:jc w:val="center"/>
        <w:rPr>
          <w:b/>
        </w:rPr>
      </w:pPr>
      <w:r>
        <w:rPr>
          <w:rFonts w:ascii="Times New Roman" w:eastAsia="Times New Roman" w:hAnsi="Times New Roman" w:cs="Times New Roman"/>
          <w:b/>
          <w:sz w:val="24"/>
          <w:szCs w:val="24"/>
        </w:rPr>
        <w:lastRenderedPageBreak/>
        <w:t>WORKS CITED</w:t>
      </w:r>
    </w:p>
    <w:p w14:paraId="772FA694" w14:textId="77777777" w:rsidR="009D2CB9" w:rsidRDefault="002B4382"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Althammer, S.E, Reis, D., Beek, S., Beck, L., &amp; Michel, A. (2021). A mindfulness </w:t>
      </w:r>
    </w:p>
    <w:p w14:paraId="616BC9EE" w14:textId="77777777" w:rsidR="009D2CB9" w:rsidRDefault="009D2CB9"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382">
        <w:rPr>
          <w:rFonts w:ascii="Times New Roman" w:eastAsia="Times New Roman" w:hAnsi="Times New Roman" w:cs="Times New Roman"/>
          <w:sz w:val="24"/>
          <w:szCs w:val="24"/>
        </w:rPr>
        <w:t xml:space="preserve">intervention promoting work–life balance: How segmentation preference affects </w:t>
      </w:r>
      <w:r>
        <w:rPr>
          <w:rFonts w:ascii="Times New Roman" w:eastAsia="Times New Roman" w:hAnsi="Times New Roman" w:cs="Times New Roman"/>
          <w:sz w:val="24"/>
          <w:szCs w:val="24"/>
        </w:rPr>
        <w:t xml:space="preserve">   </w:t>
      </w:r>
    </w:p>
    <w:p w14:paraId="3474FB3D" w14:textId="77777777" w:rsidR="009D2CB9" w:rsidRDefault="009D2CB9" w:rsidP="009D2CB9">
      <w:pPr>
        <w:tabs>
          <w:tab w:val="right" w:pos="864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2B4382">
        <w:rPr>
          <w:rFonts w:ascii="Times New Roman" w:eastAsia="Times New Roman" w:hAnsi="Times New Roman" w:cs="Times New Roman"/>
          <w:sz w:val="24"/>
          <w:szCs w:val="24"/>
        </w:rPr>
        <w:t xml:space="preserve">changes in detachment, well‐being, and work–life balance. </w:t>
      </w:r>
      <w:r w:rsidR="002B4382">
        <w:rPr>
          <w:rFonts w:ascii="Times New Roman" w:eastAsia="Times New Roman" w:hAnsi="Times New Roman" w:cs="Times New Roman"/>
          <w:i/>
          <w:sz w:val="24"/>
          <w:szCs w:val="24"/>
        </w:rPr>
        <w:t xml:space="preserve">Journal of Occupational and </w:t>
      </w:r>
      <w:r>
        <w:rPr>
          <w:rFonts w:ascii="Times New Roman" w:eastAsia="Times New Roman" w:hAnsi="Times New Roman" w:cs="Times New Roman"/>
          <w:i/>
          <w:sz w:val="24"/>
          <w:szCs w:val="24"/>
        </w:rPr>
        <w:t xml:space="preserve"> </w:t>
      </w:r>
    </w:p>
    <w:p w14:paraId="0000007B" w14:textId="1935C719" w:rsidR="004B7D4A" w:rsidRDefault="009D2CB9"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2B4382">
        <w:rPr>
          <w:rFonts w:ascii="Times New Roman" w:eastAsia="Times New Roman" w:hAnsi="Times New Roman" w:cs="Times New Roman"/>
          <w:i/>
          <w:sz w:val="24"/>
          <w:szCs w:val="24"/>
        </w:rPr>
        <w:t>Organizatio</w:t>
      </w:r>
      <w:r w:rsidR="002B4382">
        <w:rPr>
          <w:rFonts w:ascii="Times New Roman" w:eastAsia="Times New Roman" w:hAnsi="Times New Roman" w:cs="Times New Roman"/>
          <w:i/>
          <w:sz w:val="24"/>
          <w:szCs w:val="24"/>
        </w:rPr>
        <w:t>nal Psychology</w:t>
      </w:r>
      <w:r w:rsidR="002B4382">
        <w:rPr>
          <w:rFonts w:ascii="Times New Roman" w:eastAsia="Times New Roman" w:hAnsi="Times New Roman" w:cs="Times New Roman"/>
          <w:sz w:val="24"/>
          <w:szCs w:val="24"/>
        </w:rPr>
        <w:t xml:space="preserve">, </w:t>
      </w:r>
      <w:r w:rsidR="002B4382">
        <w:rPr>
          <w:rFonts w:ascii="Times New Roman" w:eastAsia="Times New Roman" w:hAnsi="Times New Roman" w:cs="Times New Roman"/>
          <w:i/>
          <w:sz w:val="24"/>
          <w:szCs w:val="24"/>
        </w:rPr>
        <w:t>94</w:t>
      </w:r>
      <w:r w:rsidR="002B4382">
        <w:rPr>
          <w:rFonts w:ascii="Times New Roman" w:eastAsia="Times New Roman" w:hAnsi="Times New Roman" w:cs="Times New Roman"/>
          <w:sz w:val="24"/>
          <w:szCs w:val="24"/>
        </w:rPr>
        <w:t xml:space="preserve">(2), 282–308. </w:t>
      </w:r>
      <w:hyperlink r:id="rId6">
        <w:r w:rsidR="002B4382">
          <w:rPr>
            <w:rFonts w:ascii="Times New Roman" w:eastAsia="Times New Roman" w:hAnsi="Times New Roman" w:cs="Times New Roman"/>
            <w:color w:val="1155CC"/>
            <w:sz w:val="24"/>
            <w:szCs w:val="24"/>
            <w:u w:val="single"/>
          </w:rPr>
          <w:t>https://doi.org/10.1111/joop.12346</w:t>
        </w:r>
      </w:hyperlink>
    </w:p>
    <w:p w14:paraId="0000007C" w14:textId="77777777" w:rsidR="004B7D4A" w:rsidRDefault="004B7D4A">
      <w:pPr>
        <w:tabs>
          <w:tab w:val="right" w:pos="8640"/>
        </w:tabs>
        <w:spacing w:line="240" w:lineRule="auto"/>
        <w:ind w:left="720"/>
        <w:rPr>
          <w:rFonts w:ascii="Times New Roman" w:eastAsia="Times New Roman" w:hAnsi="Times New Roman" w:cs="Times New Roman"/>
          <w:sz w:val="24"/>
          <w:szCs w:val="24"/>
        </w:rPr>
      </w:pPr>
    </w:p>
    <w:p w14:paraId="595706AE" w14:textId="77777777" w:rsidR="009D2CB9" w:rsidRDefault="002B4382"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Bailey, B., &amp; Ricketts, H. (2003). Gender vulnerabilities in Caribbean labour markets and </w:t>
      </w:r>
    </w:p>
    <w:p w14:paraId="0000007D" w14:textId="5031717D" w:rsidR="004B7D4A" w:rsidRDefault="009D2CB9"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382">
        <w:rPr>
          <w:rFonts w:ascii="Times New Roman" w:eastAsia="Times New Roman" w:hAnsi="Times New Roman" w:cs="Times New Roman"/>
          <w:sz w:val="24"/>
          <w:szCs w:val="24"/>
        </w:rPr>
        <w:t xml:space="preserve">decent work provisions. Social and Economic </w:t>
      </w:r>
      <w:r w:rsidR="002B4382">
        <w:rPr>
          <w:rFonts w:ascii="Times New Roman" w:eastAsia="Times New Roman" w:hAnsi="Times New Roman" w:cs="Times New Roman"/>
          <w:sz w:val="24"/>
          <w:szCs w:val="24"/>
        </w:rPr>
        <w:t>Studies, 52 (4), 49-81.</w:t>
      </w:r>
    </w:p>
    <w:p w14:paraId="0000007E" w14:textId="77777777" w:rsidR="004B7D4A" w:rsidRDefault="004B7D4A">
      <w:pPr>
        <w:tabs>
          <w:tab w:val="right" w:pos="8640"/>
        </w:tabs>
        <w:spacing w:line="240" w:lineRule="auto"/>
        <w:ind w:left="720"/>
        <w:rPr>
          <w:rFonts w:ascii="Times New Roman" w:eastAsia="Times New Roman" w:hAnsi="Times New Roman" w:cs="Times New Roman"/>
          <w:sz w:val="24"/>
          <w:szCs w:val="24"/>
        </w:rPr>
      </w:pPr>
    </w:p>
    <w:p w14:paraId="0000007F"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Brue, K. L. (2018). Harmony and Help: Recognizing the Impact of Work-Life Balance for </w:t>
      </w:r>
    </w:p>
    <w:p w14:paraId="00000080"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women Leaders. </w:t>
      </w:r>
      <w:r>
        <w:rPr>
          <w:rFonts w:ascii="Times New Roman" w:eastAsia="Times New Roman" w:hAnsi="Times New Roman" w:cs="Times New Roman"/>
          <w:i/>
          <w:sz w:val="24"/>
          <w:szCs w:val="24"/>
        </w:rPr>
        <w:t>Journal of Leadership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(4).</w:t>
      </w:r>
    </w:p>
    <w:p w14:paraId="00000081" w14:textId="77777777" w:rsidR="004B7D4A" w:rsidRDefault="004B7D4A">
      <w:pPr>
        <w:tabs>
          <w:tab w:val="right" w:pos="8640"/>
        </w:tabs>
        <w:spacing w:line="240" w:lineRule="auto"/>
        <w:ind w:left="720"/>
        <w:rPr>
          <w:rFonts w:ascii="Times New Roman" w:eastAsia="Times New Roman" w:hAnsi="Times New Roman" w:cs="Times New Roman"/>
          <w:sz w:val="24"/>
          <w:szCs w:val="24"/>
        </w:rPr>
      </w:pPr>
    </w:p>
    <w:p w14:paraId="00000082" w14:textId="77777777" w:rsidR="004B7D4A" w:rsidRDefault="002B4382">
      <w:pPr>
        <w:tabs>
          <w:tab w:val="right" w:pos="8640"/>
          <w:tab w:val="right" w:pos="864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Buchanan, C., &amp; Baker, P. (2020). </w:t>
      </w:r>
      <w:r>
        <w:rPr>
          <w:rFonts w:ascii="Times New Roman" w:eastAsia="Times New Roman" w:hAnsi="Times New Roman" w:cs="Times New Roman"/>
          <w:i/>
          <w:sz w:val="24"/>
          <w:szCs w:val="24"/>
        </w:rPr>
        <w:t xml:space="preserve">Women in the Jamaican Labour Force: Implications for </w:t>
      </w:r>
    </w:p>
    <w:p w14:paraId="00000083"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b/>
        <w:t>Work Life Balance and Ageing</w:t>
      </w:r>
      <w:r>
        <w:rPr>
          <w:rFonts w:ascii="Times New Roman" w:eastAsia="Times New Roman" w:hAnsi="Times New Roman" w:cs="Times New Roman"/>
          <w:sz w:val="24"/>
          <w:szCs w:val="24"/>
        </w:rPr>
        <w:t xml:space="preserve">. In Professor Patricia Mohammed and Dr Cheryl-Ann </w:t>
      </w:r>
      <w:r>
        <w:rPr>
          <w:rFonts w:ascii="Times New Roman" w:eastAsia="Times New Roman" w:hAnsi="Times New Roman" w:cs="Times New Roman"/>
          <w:sz w:val="24"/>
          <w:szCs w:val="24"/>
        </w:rPr>
        <w:tab/>
        <w:t xml:space="preserve">Boodram (Eds), pp Connecting the Dots: Work. Life. Balance and Ageing. Ian Randle </w:t>
      </w:r>
    </w:p>
    <w:p w14:paraId="00000084"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Publishers.</w:t>
      </w:r>
    </w:p>
    <w:p w14:paraId="00000085"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86"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Capron, R. A. (201</w:t>
      </w:r>
      <w:r>
        <w:rPr>
          <w:rFonts w:ascii="Times New Roman" w:eastAsia="Times New Roman" w:hAnsi="Times New Roman" w:cs="Times New Roman"/>
          <w:sz w:val="24"/>
          <w:szCs w:val="24"/>
        </w:rPr>
        <w:t xml:space="preserve">4). </w:t>
      </w:r>
      <w:r>
        <w:rPr>
          <w:rFonts w:ascii="Times New Roman" w:eastAsia="Times New Roman" w:hAnsi="Times New Roman" w:cs="Times New Roman"/>
          <w:i/>
          <w:sz w:val="24"/>
          <w:szCs w:val="24"/>
        </w:rPr>
        <w:t>The role that mentors play in women's work life balance</w:t>
      </w:r>
      <w:r>
        <w:rPr>
          <w:rFonts w:ascii="Times New Roman" w:eastAsia="Times New Roman" w:hAnsi="Times New Roman" w:cs="Times New Roman"/>
          <w:sz w:val="24"/>
          <w:szCs w:val="24"/>
        </w:rPr>
        <w:t xml:space="preserve"> (Doctoral </w:t>
      </w:r>
    </w:p>
    <w:p w14:paraId="00000087"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dissertation, Pepperdine University).</w:t>
      </w:r>
    </w:p>
    <w:p w14:paraId="00000088"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89" w14:textId="77777777" w:rsidR="004B7D4A" w:rsidRDefault="002B4382">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Charmes, J. (2019). The Unpaid Care Work and the Labour Market. An analysis of time use </w:t>
      </w:r>
    </w:p>
    <w:p w14:paraId="0000008A" w14:textId="77777777" w:rsidR="004B7D4A" w:rsidRDefault="002B4382">
      <w:pPr>
        <w:tabs>
          <w:tab w:val="right" w:pos="8640"/>
        </w:tabs>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ab/>
        <w:t>data based on the latest World Compilation o</w:t>
      </w:r>
      <w:r>
        <w:rPr>
          <w:rFonts w:ascii="Times New Roman" w:eastAsia="Times New Roman" w:hAnsi="Times New Roman" w:cs="Times New Roman"/>
          <w:sz w:val="24"/>
          <w:szCs w:val="24"/>
        </w:rPr>
        <w:t xml:space="preserve">f Time-use Surveys. </w:t>
      </w:r>
      <w:r>
        <w:rPr>
          <w:rFonts w:ascii="Times New Roman" w:eastAsia="Times New Roman" w:hAnsi="Times New Roman" w:cs="Times New Roman"/>
          <w:i/>
          <w:sz w:val="24"/>
          <w:szCs w:val="24"/>
        </w:rPr>
        <w:t xml:space="preserve">International Labour      </w:t>
      </w:r>
    </w:p>
    <w:p w14:paraId="0000008B" w14:textId="77777777" w:rsidR="004B7D4A" w:rsidRDefault="002B4382">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Office–Geneva: ILO</w:t>
      </w:r>
      <w:r>
        <w:rPr>
          <w:rFonts w:ascii="Times New Roman" w:eastAsia="Times New Roman" w:hAnsi="Times New Roman" w:cs="Times New Roman"/>
          <w:sz w:val="24"/>
          <w:szCs w:val="24"/>
        </w:rPr>
        <w:t>.</w:t>
      </w:r>
    </w:p>
    <w:p w14:paraId="0000008C"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8D"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Dugarova, E. (2020, June). Unpaid care work in times of the COVID-19 crisis: Gendered </w:t>
      </w:r>
    </w:p>
    <w:p w14:paraId="0000008E" w14:textId="77777777" w:rsidR="004B7D4A" w:rsidRDefault="002B4382">
      <w:pPr>
        <w:tabs>
          <w:tab w:val="right" w:pos="8640"/>
          <w:tab w:val="right" w:pos="864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impacts, emerging evidence and promising policy responses. In </w:t>
      </w:r>
      <w:r>
        <w:rPr>
          <w:rFonts w:ascii="Times New Roman" w:eastAsia="Times New Roman" w:hAnsi="Times New Roman" w:cs="Times New Roman"/>
          <w:i/>
          <w:sz w:val="24"/>
          <w:szCs w:val="24"/>
        </w:rPr>
        <w:t>UN Expert Group Meeting ‘Familie</w:t>
      </w:r>
      <w:r>
        <w:rPr>
          <w:rFonts w:ascii="Times New Roman" w:eastAsia="Times New Roman" w:hAnsi="Times New Roman" w:cs="Times New Roman"/>
          <w:i/>
          <w:sz w:val="24"/>
          <w:szCs w:val="24"/>
        </w:rPr>
        <w:t>s in development: Assessing progress, challenges and emerging issues, Focus on modalities for IYF</w:t>
      </w:r>
      <w:r>
        <w:rPr>
          <w:rFonts w:ascii="Times New Roman" w:eastAsia="Times New Roman" w:hAnsi="Times New Roman" w:cs="Times New Roman"/>
          <w:sz w:val="24"/>
          <w:szCs w:val="24"/>
        </w:rPr>
        <w:t xml:space="preserve"> (Vol. 30).</w:t>
      </w:r>
    </w:p>
    <w:p w14:paraId="0000008F"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90" w14:textId="77777777" w:rsidR="004B7D4A" w:rsidRDefault="002B43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Edwards, A., Hedegaard, M.(2019).Rethinking professional support for challenging </w:t>
      </w:r>
    </w:p>
    <w:p w14:paraId="00000091" w14:textId="77777777" w:rsidR="004B7D4A" w:rsidRDefault="002B438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transitioning: Enabling the agency of children, young people and</w:t>
      </w:r>
      <w:r>
        <w:rPr>
          <w:rFonts w:ascii="Times New Roman" w:eastAsia="Times New Roman" w:hAnsi="Times New Roman" w:cs="Times New Roman"/>
          <w:sz w:val="24"/>
          <w:szCs w:val="24"/>
        </w:rPr>
        <w:t xml:space="preserve"> their families In M. Hedegaard &amp; A. Edwards (Eds.), </w:t>
      </w:r>
      <w:r>
        <w:rPr>
          <w:rFonts w:ascii="Times New Roman" w:eastAsia="Times New Roman" w:hAnsi="Times New Roman" w:cs="Times New Roman"/>
          <w:i/>
          <w:sz w:val="24"/>
          <w:szCs w:val="24"/>
        </w:rPr>
        <w:t xml:space="preserve">Supporting difficult transitions: Children, young people and their carers </w:t>
      </w:r>
      <w:r>
        <w:rPr>
          <w:rFonts w:ascii="Times New Roman" w:eastAsia="Times New Roman" w:hAnsi="Times New Roman" w:cs="Times New Roman"/>
          <w:sz w:val="24"/>
          <w:szCs w:val="24"/>
        </w:rPr>
        <w:t>( pp. 1-18). Bloomsbury Publishing Plc.</w:t>
      </w:r>
    </w:p>
    <w:p w14:paraId="00000092"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93"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Gallup &amp; International Labour Organization. Towards a better future for women and work: </w:t>
      </w:r>
    </w:p>
    <w:p w14:paraId="00000094" w14:textId="77777777" w:rsidR="004B7D4A" w:rsidRDefault="002B4382">
      <w:pPr>
        <w:tabs>
          <w:tab w:val="right" w:pos="8640"/>
          <w:tab w:val="right" w:pos="8640"/>
        </w:tabs>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Voices of women and men. (2017). Retrieved from </w:t>
      </w:r>
      <w:hyperlink r:id="rId7">
        <w:r>
          <w:rPr>
            <w:rFonts w:ascii="Times New Roman" w:eastAsia="Times New Roman" w:hAnsi="Times New Roman" w:cs="Times New Roman"/>
            <w:color w:val="1155CC"/>
            <w:sz w:val="24"/>
            <w:szCs w:val="24"/>
            <w:u w:val="single"/>
          </w:rPr>
          <w:t>https://www.ilo.org/wcmsp5/groups/public/@dgreports/@dcomm/@publ/documents/publication/wcms_546256.pdf</w:t>
        </w:r>
      </w:hyperlink>
    </w:p>
    <w:p w14:paraId="00000095" w14:textId="77777777" w:rsidR="004B7D4A" w:rsidRDefault="004B7D4A">
      <w:pPr>
        <w:tabs>
          <w:tab w:val="right" w:pos="8640"/>
          <w:tab w:val="right" w:pos="8640"/>
        </w:tabs>
        <w:spacing w:line="240" w:lineRule="auto"/>
        <w:ind w:left="720"/>
        <w:rPr>
          <w:rFonts w:ascii="Times New Roman" w:eastAsia="Times New Roman" w:hAnsi="Times New Roman" w:cs="Times New Roman"/>
          <w:sz w:val="24"/>
          <w:szCs w:val="24"/>
        </w:rPr>
      </w:pPr>
    </w:p>
    <w:p w14:paraId="00000096" w14:textId="77777777" w:rsidR="004B7D4A" w:rsidRDefault="002B43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Hofacker, D., &amp; Konig, S. (2013). Flexibility and work-life conflict in times of crisis: a </w:t>
      </w:r>
    </w:p>
    <w:p w14:paraId="00000097" w14:textId="77777777" w:rsidR="004B7D4A" w:rsidRDefault="002B438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perspective. </w:t>
      </w:r>
      <w:r>
        <w:rPr>
          <w:rFonts w:ascii="Times New Roman" w:eastAsia="Times New Roman" w:hAnsi="Times New Roman" w:cs="Times New Roman"/>
          <w:i/>
          <w:sz w:val="24"/>
          <w:szCs w:val="24"/>
        </w:rPr>
        <w:t>International Journal of Sociology and Social Policy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33</w:t>
      </w:r>
      <w:r>
        <w:rPr>
          <w:rFonts w:ascii="Times New Roman" w:eastAsia="Times New Roman" w:hAnsi="Times New Roman" w:cs="Times New Roman"/>
          <w:sz w:val="24"/>
          <w:szCs w:val="24"/>
        </w:rPr>
        <w:t xml:space="preserve">(9/10), 613–635. </w:t>
      </w:r>
      <w:hyperlink r:id="rId8">
        <w:r>
          <w:rPr>
            <w:rFonts w:ascii="Times New Roman" w:eastAsia="Times New Roman" w:hAnsi="Times New Roman" w:cs="Times New Roman"/>
            <w:color w:val="1155CC"/>
            <w:sz w:val="24"/>
            <w:szCs w:val="24"/>
            <w:u w:val="single"/>
          </w:rPr>
          <w:t>https://doi.org/10.1108/IJSSP-04-2013-0042</w:t>
        </w:r>
      </w:hyperlink>
    </w:p>
    <w:p w14:paraId="00000098"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99"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9A"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ILO (2017). The future of Work We Want: The Voice of Youth and Different Per</w:t>
      </w:r>
      <w:r>
        <w:rPr>
          <w:rFonts w:ascii="Times New Roman" w:eastAsia="Times New Roman" w:hAnsi="Times New Roman" w:cs="Times New Roman"/>
          <w:sz w:val="24"/>
          <w:szCs w:val="24"/>
        </w:rPr>
        <w:t xml:space="preserve">spectives </w:t>
      </w:r>
    </w:p>
    <w:p w14:paraId="0000009B"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From Latin America and the Caribbean.</w:t>
      </w:r>
    </w:p>
    <w:p w14:paraId="6E2CD781" w14:textId="77777777" w:rsidR="009D2CB9" w:rsidRDefault="009D2CB9" w:rsidP="009D2CB9">
      <w:pPr>
        <w:spacing w:line="240" w:lineRule="auto"/>
        <w:jc w:val="both"/>
        <w:rPr>
          <w:rFonts w:ascii="Times New Roman" w:eastAsia="Times New Roman" w:hAnsi="Times New Roman" w:cs="Times New Roman"/>
          <w:sz w:val="24"/>
          <w:szCs w:val="24"/>
        </w:rPr>
      </w:pPr>
    </w:p>
    <w:p w14:paraId="54A5B31A" w14:textId="77777777" w:rsidR="009D2CB9" w:rsidRDefault="009D2CB9" w:rsidP="009D2CB9">
      <w:pPr>
        <w:spacing w:line="240" w:lineRule="auto"/>
        <w:jc w:val="both"/>
        <w:rPr>
          <w:rFonts w:ascii="Times New Roman" w:eastAsia="Times New Roman" w:hAnsi="Times New Roman" w:cs="Times New Roman"/>
          <w:sz w:val="24"/>
          <w:szCs w:val="24"/>
        </w:rPr>
      </w:pPr>
    </w:p>
    <w:p w14:paraId="463D5F61" w14:textId="77777777" w:rsidR="009D2CB9" w:rsidRDefault="009D2CB9" w:rsidP="009D2CB9">
      <w:pPr>
        <w:spacing w:line="240" w:lineRule="auto"/>
        <w:jc w:val="both"/>
        <w:rPr>
          <w:rFonts w:ascii="Times New Roman" w:eastAsia="Times New Roman" w:hAnsi="Times New Roman" w:cs="Times New Roman"/>
          <w:sz w:val="24"/>
          <w:szCs w:val="24"/>
        </w:rPr>
      </w:pPr>
    </w:p>
    <w:p w14:paraId="466D7895" w14:textId="73D4D006" w:rsidR="009D2CB9" w:rsidRDefault="002B4382" w:rsidP="009D2CB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Kengatharan, N. (2020). Shouldering a double burden: the cultural stigma of the dogma of </w:t>
      </w:r>
    </w:p>
    <w:p w14:paraId="0000009D" w14:textId="495469D9" w:rsidR="004B7D4A" w:rsidRDefault="002B4382" w:rsidP="009D2CB9">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role ideology and its impact on work–family conflict. </w:t>
      </w:r>
      <w:r>
        <w:rPr>
          <w:rFonts w:ascii="Times New Roman" w:eastAsia="Times New Roman" w:hAnsi="Times New Roman" w:cs="Times New Roman"/>
          <w:i/>
          <w:sz w:val="24"/>
          <w:szCs w:val="24"/>
        </w:rPr>
        <w:t xml:space="preserve">Journal of Advances in </w:t>
      </w:r>
      <w:r>
        <w:rPr>
          <w:rFonts w:ascii="Times New Roman" w:eastAsia="Times New Roman" w:hAnsi="Times New Roman" w:cs="Times New Roman"/>
          <w:i/>
          <w:sz w:val="24"/>
          <w:szCs w:val="24"/>
        </w:rPr>
        <w:t>Management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651–667. </w:t>
      </w:r>
      <w:hyperlink r:id="rId9">
        <w:r>
          <w:rPr>
            <w:rFonts w:ascii="Times New Roman" w:eastAsia="Times New Roman" w:hAnsi="Times New Roman" w:cs="Times New Roman"/>
            <w:color w:val="1155CC"/>
            <w:sz w:val="24"/>
            <w:szCs w:val="24"/>
            <w:u w:val="single"/>
          </w:rPr>
          <w:t>https://doi.org/10.1108/JAMR-03-2020-0033</w:t>
        </w:r>
      </w:hyperlink>
    </w:p>
    <w:p w14:paraId="0000009E"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9F"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Matud, M. P., Díaz, A., Bethencourt, J. M., &amp; Ibáñez, I. (2020). Stress and psychological </w:t>
      </w:r>
      <w:r>
        <w:rPr>
          <w:rFonts w:ascii="Times New Roman" w:eastAsia="Times New Roman" w:hAnsi="Times New Roman" w:cs="Times New Roman"/>
          <w:sz w:val="24"/>
          <w:szCs w:val="24"/>
        </w:rPr>
        <w:tab/>
      </w:r>
    </w:p>
    <w:p w14:paraId="000000A0"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distress in emerging adulthood: A ge</w:t>
      </w:r>
      <w:r>
        <w:rPr>
          <w:rFonts w:ascii="Times New Roman" w:eastAsia="Times New Roman" w:hAnsi="Times New Roman" w:cs="Times New Roman"/>
          <w:sz w:val="24"/>
          <w:szCs w:val="24"/>
        </w:rPr>
        <w:t xml:space="preserve">nder analysis. </w:t>
      </w:r>
      <w:r>
        <w:rPr>
          <w:rFonts w:ascii="Times New Roman" w:eastAsia="Times New Roman" w:hAnsi="Times New Roman" w:cs="Times New Roman"/>
          <w:i/>
          <w:sz w:val="24"/>
          <w:szCs w:val="24"/>
        </w:rPr>
        <w:t>Journal of Clinical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(9),                    </w:t>
      </w:r>
    </w:p>
    <w:p w14:paraId="000000A1" w14:textId="77777777" w:rsidR="004B7D4A" w:rsidRDefault="002B4382">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2859.</w:t>
      </w:r>
    </w:p>
    <w:p w14:paraId="000000A2"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28A838D4" w14:textId="77777777" w:rsidR="009D2CB9" w:rsidRDefault="002B4382"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Mohammed, P. (2003). Like sugar in coffee: Third wave feminism and the Caribbean. Social </w:t>
      </w:r>
    </w:p>
    <w:p w14:paraId="000000A3" w14:textId="24BE9656" w:rsidR="004B7D4A" w:rsidRDefault="009D2CB9" w:rsidP="009D2CB9">
      <w:pPr>
        <w:tabs>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sidR="002B4382">
        <w:rPr>
          <w:rFonts w:ascii="Times New Roman" w:eastAsia="Times New Roman" w:hAnsi="Times New Roman" w:cs="Times New Roman"/>
          <w:sz w:val="24"/>
          <w:szCs w:val="24"/>
        </w:rPr>
        <w:t>nd Economic Studies, 52 (3), 5-30.</w:t>
      </w:r>
    </w:p>
    <w:p w14:paraId="000000A4"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000000A5" w14:textId="77777777" w:rsidR="004B7D4A" w:rsidRDefault="004B7D4A">
      <w:pPr>
        <w:tabs>
          <w:tab w:val="right" w:pos="8640"/>
          <w:tab w:val="right" w:pos="8640"/>
        </w:tabs>
        <w:spacing w:line="240" w:lineRule="auto"/>
        <w:rPr>
          <w:rFonts w:ascii="Times New Roman" w:eastAsia="Times New Roman" w:hAnsi="Times New Roman" w:cs="Times New Roman"/>
          <w:sz w:val="24"/>
          <w:szCs w:val="24"/>
        </w:rPr>
      </w:pPr>
    </w:p>
    <w:p w14:paraId="789AB431" w14:textId="77777777" w:rsidR="009D2CB9" w:rsidRDefault="002B4382" w:rsidP="009D2CB9">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Sarrasanti, N., Donkor, F. K., Santos, C</w:t>
      </w:r>
      <w:r>
        <w:rPr>
          <w:rFonts w:ascii="Times New Roman" w:eastAsia="Times New Roman" w:hAnsi="Times New Roman" w:cs="Times New Roman"/>
          <w:sz w:val="24"/>
          <w:szCs w:val="24"/>
        </w:rPr>
        <w:t>., Tsagkari, M., &amp; Wann</w:t>
      </w:r>
      <w:r w:rsidR="009D2CB9">
        <w:rPr>
          <w:rFonts w:ascii="Times New Roman" w:eastAsia="Times New Roman" w:hAnsi="Times New Roman" w:cs="Times New Roman"/>
          <w:sz w:val="24"/>
          <w:szCs w:val="24"/>
        </w:rPr>
        <w:t xml:space="preserve">ous, C. (2020). It’s about </w:t>
      </w:r>
    </w:p>
    <w:p w14:paraId="0C1CA015" w14:textId="77777777" w:rsidR="009D2CB9" w:rsidRDefault="009D2CB9" w:rsidP="009D2CB9">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time</w:t>
      </w:r>
      <w:r w:rsidR="002B4382">
        <w:rPr>
          <w:rFonts w:ascii="Times New Roman" w:eastAsia="Times New Roman" w:hAnsi="Times New Roman" w:cs="Times New Roman"/>
          <w:sz w:val="24"/>
          <w:szCs w:val="24"/>
        </w:rPr>
        <w:t xml:space="preserve"> we care about an equitable world: Women's unpaid care work and COVID-</w:t>
      </w:r>
    </w:p>
    <w:p w14:paraId="000000A7" w14:textId="5E132CAB" w:rsidR="004B7D4A" w:rsidRDefault="009D2CB9" w:rsidP="009D2CB9">
      <w:pPr>
        <w:tabs>
          <w:tab w:val="right" w:pos="8640"/>
          <w:tab w:val="right" w:pos="864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4382">
        <w:rPr>
          <w:rFonts w:ascii="Times New Roman" w:eastAsia="Times New Roman" w:hAnsi="Times New Roman" w:cs="Times New Roman"/>
          <w:sz w:val="24"/>
          <w:szCs w:val="24"/>
        </w:rPr>
        <w:t xml:space="preserve">19. </w:t>
      </w:r>
      <w:r w:rsidR="002B4382">
        <w:rPr>
          <w:rFonts w:ascii="Times New Roman" w:eastAsia="Times New Roman" w:hAnsi="Times New Roman" w:cs="Times New Roman"/>
          <w:i/>
          <w:sz w:val="24"/>
          <w:szCs w:val="24"/>
        </w:rPr>
        <w:t>IEEE engineering management review</w:t>
      </w:r>
      <w:r w:rsidR="002B4382">
        <w:rPr>
          <w:rFonts w:ascii="Times New Roman" w:eastAsia="Times New Roman" w:hAnsi="Times New Roman" w:cs="Times New Roman"/>
          <w:sz w:val="24"/>
          <w:szCs w:val="24"/>
        </w:rPr>
        <w:t xml:space="preserve">, </w:t>
      </w:r>
      <w:r w:rsidR="002B4382">
        <w:rPr>
          <w:rFonts w:ascii="Times New Roman" w:eastAsia="Times New Roman" w:hAnsi="Times New Roman" w:cs="Times New Roman"/>
          <w:i/>
          <w:sz w:val="24"/>
          <w:szCs w:val="24"/>
        </w:rPr>
        <w:t>48</w:t>
      </w:r>
      <w:r w:rsidR="002B4382">
        <w:rPr>
          <w:rFonts w:ascii="Times New Roman" w:eastAsia="Times New Roman" w:hAnsi="Times New Roman" w:cs="Times New Roman"/>
          <w:sz w:val="24"/>
          <w:szCs w:val="24"/>
        </w:rPr>
        <w:t>(4), 37-45.</w:t>
      </w:r>
    </w:p>
    <w:p w14:paraId="000000A8" w14:textId="77777777" w:rsidR="004B7D4A" w:rsidRDefault="004B7D4A">
      <w:pPr>
        <w:spacing w:line="480" w:lineRule="auto"/>
        <w:rPr>
          <w:rFonts w:ascii="Times New Roman" w:eastAsia="Times New Roman" w:hAnsi="Times New Roman" w:cs="Times New Roman"/>
          <w:sz w:val="24"/>
          <w:szCs w:val="24"/>
        </w:rPr>
      </w:pPr>
    </w:p>
    <w:p w14:paraId="6D811C6C" w14:textId="77777777" w:rsidR="009D2CB9" w:rsidRDefault="002B4382" w:rsidP="009D2CB9">
      <w:pPr>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Tong, R., &amp; Fernandes Botts, T. (2018).</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Feminist Thought: A More Comprehen</w:t>
      </w:r>
      <w:r>
        <w:rPr>
          <w:rFonts w:ascii="Times New Roman" w:eastAsia="Times New Roman" w:hAnsi="Times New Roman" w:cs="Times New Roman"/>
          <w:i/>
          <w:sz w:val="24"/>
          <w:szCs w:val="24"/>
        </w:rPr>
        <w:t xml:space="preserve">sive </w:t>
      </w:r>
    </w:p>
    <w:p w14:paraId="000000A9" w14:textId="701EED43" w:rsidR="004B7D4A" w:rsidRDefault="002B4382" w:rsidP="009D2CB9">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Introduction 5th Edition.</w:t>
      </w:r>
      <w:r>
        <w:rPr>
          <w:rFonts w:ascii="Times New Roman" w:eastAsia="Times New Roman" w:hAnsi="Times New Roman" w:cs="Times New Roman"/>
          <w:sz w:val="24"/>
          <w:szCs w:val="24"/>
        </w:rPr>
        <w:t xml:space="preserve"> Westview Press.</w:t>
      </w:r>
    </w:p>
    <w:p w14:paraId="000000AA" w14:textId="77777777" w:rsidR="004B7D4A" w:rsidRDefault="004B7D4A">
      <w:pPr>
        <w:spacing w:line="240" w:lineRule="auto"/>
        <w:ind w:left="720"/>
        <w:rPr>
          <w:rFonts w:ascii="Times New Roman" w:eastAsia="Times New Roman" w:hAnsi="Times New Roman" w:cs="Times New Roman"/>
          <w:sz w:val="24"/>
          <w:szCs w:val="24"/>
        </w:rPr>
      </w:pPr>
    </w:p>
    <w:p w14:paraId="000000AB" w14:textId="77777777" w:rsidR="004B7D4A" w:rsidRDefault="002B438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&amp; Schieman, S. (2018). Scaling back and finding flexibility: Gender differences in </w:t>
      </w:r>
    </w:p>
    <w:p w14:paraId="000000AC" w14:textId="77777777" w:rsidR="004B7D4A" w:rsidRDefault="002B4382">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strategies to manage work–family conflict. </w:t>
      </w:r>
      <w:r>
        <w:rPr>
          <w:rFonts w:ascii="Times New Roman" w:eastAsia="Times New Roman" w:hAnsi="Times New Roman" w:cs="Times New Roman"/>
          <w:i/>
          <w:sz w:val="24"/>
          <w:szCs w:val="24"/>
        </w:rPr>
        <w:t>Journal of Marriage and Family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80</w:t>
      </w:r>
      <w:r>
        <w:rPr>
          <w:rFonts w:ascii="Times New Roman" w:eastAsia="Times New Roman" w:hAnsi="Times New Roman" w:cs="Times New Roman"/>
          <w:sz w:val="24"/>
          <w:szCs w:val="24"/>
        </w:rPr>
        <w:t xml:space="preserve">(1), 99–118. </w:t>
      </w:r>
      <w:hyperlink r:id="rId10">
        <w:r>
          <w:rPr>
            <w:rFonts w:ascii="Times New Roman" w:eastAsia="Times New Roman" w:hAnsi="Times New Roman" w:cs="Times New Roman"/>
            <w:color w:val="1155CC"/>
            <w:sz w:val="24"/>
            <w:szCs w:val="24"/>
            <w:u w:val="single"/>
          </w:rPr>
          <w:t>https://doi.org/10.1111/jomf.12435</w:t>
        </w:r>
      </w:hyperlink>
    </w:p>
    <w:p w14:paraId="000000AD" w14:textId="77777777" w:rsidR="004B7D4A" w:rsidRDefault="004B7D4A">
      <w:pPr>
        <w:spacing w:line="480" w:lineRule="auto"/>
        <w:rPr>
          <w:rFonts w:ascii="Times New Roman" w:eastAsia="Times New Roman" w:hAnsi="Times New Roman" w:cs="Times New Roman"/>
          <w:b/>
          <w:sz w:val="24"/>
          <w:szCs w:val="24"/>
        </w:rPr>
      </w:pPr>
    </w:p>
    <w:p w14:paraId="000000AE" w14:textId="77777777" w:rsidR="004B7D4A" w:rsidRDefault="004B7D4A">
      <w:pPr>
        <w:spacing w:line="480" w:lineRule="auto"/>
        <w:rPr>
          <w:rFonts w:ascii="Times New Roman" w:eastAsia="Times New Roman" w:hAnsi="Times New Roman" w:cs="Times New Roman"/>
          <w:b/>
          <w:sz w:val="24"/>
          <w:szCs w:val="24"/>
        </w:rPr>
      </w:pPr>
    </w:p>
    <w:p w14:paraId="000000AF" w14:textId="77777777" w:rsidR="004B7D4A" w:rsidRDefault="004B7D4A">
      <w:bookmarkStart w:id="0" w:name="_GoBack"/>
      <w:bookmarkEnd w:id="0"/>
    </w:p>
    <w:sectPr w:rsidR="004B7D4A">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BB43" w14:textId="77777777" w:rsidR="002B4382" w:rsidRDefault="002B4382">
      <w:pPr>
        <w:spacing w:line="240" w:lineRule="auto"/>
      </w:pPr>
      <w:r>
        <w:separator/>
      </w:r>
    </w:p>
  </w:endnote>
  <w:endnote w:type="continuationSeparator" w:id="0">
    <w:p w14:paraId="5E6D9A89" w14:textId="77777777" w:rsidR="002B4382" w:rsidRDefault="002B43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89865"/>
      <w:docPartObj>
        <w:docPartGallery w:val="Page Numbers (Bottom of Page)"/>
        <w:docPartUnique/>
      </w:docPartObj>
    </w:sdtPr>
    <w:sdtEndPr>
      <w:rPr>
        <w:noProof/>
      </w:rPr>
    </w:sdtEndPr>
    <w:sdtContent>
      <w:p w14:paraId="04E08A58" w14:textId="45D2E1BE" w:rsidR="009D2CB9" w:rsidRDefault="009D2CB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D30A2A3" w14:textId="77777777" w:rsidR="009D2CB9" w:rsidRDefault="009D2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32EE4" w14:textId="77777777" w:rsidR="002B4382" w:rsidRDefault="002B4382">
      <w:pPr>
        <w:spacing w:line="240" w:lineRule="auto"/>
      </w:pPr>
      <w:r>
        <w:separator/>
      </w:r>
    </w:p>
  </w:footnote>
  <w:footnote w:type="continuationSeparator" w:id="0">
    <w:p w14:paraId="26D7FF8B" w14:textId="77777777" w:rsidR="002B4382" w:rsidRDefault="002B43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0" w14:textId="77777777" w:rsidR="004B7D4A" w:rsidRDefault="002B4382">
    <w:pPr>
      <w:tabs>
        <w:tab w:val="right" w:pos="8640"/>
        <w:tab w:val="right" w:pos="8640"/>
        <w:tab w:val="right" w:pos="9360"/>
      </w:tabs>
      <w:spacing w:line="480" w:lineRule="auto"/>
    </w:pPr>
    <w:r>
      <w:rPr>
        <w:rFonts w:ascii="Times New Roman" w:eastAsia="Times New Roman" w:hAnsi="Times New Roman" w:cs="Times New Roman"/>
      </w:rPr>
      <w:t xml:space="preserve">Cerita Buchanan,    COM803, Hermeneutics and Communication   Assignment 3,     (09/30/2023) </w:t>
    </w:r>
    <w:r>
      <w:rPr>
        <w:rFonts w:ascii="Times New Roman" w:eastAsia="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4A"/>
    <w:rsid w:val="002B4382"/>
    <w:rsid w:val="004B7D4A"/>
    <w:rsid w:val="009D2CB9"/>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1A45"/>
  <w15:docId w15:val="{7C996CE2-074E-4A32-931B-2D861F5A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JM" w:eastAsia="en-JM"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9D2CB9"/>
    <w:pPr>
      <w:tabs>
        <w:tab w:val="center" w:pos="4513"/>
        <w:tab w:val="right" w:pos="9026"/>
      </w:tabs>
      <w:spacing w:line="240" w:lineRule="auto"/>
    </w:pPr>
  </w:style>
  <w:style w:type="character" w:customStyle="1" w:styleId="HeaderChar">
    <w:name w:val="Header Char"/>
    <w:basedOn w:val="DefaultParagraphFont"/>
    <w:link w:val="Header"/>
    <w:uiPriority w:val="99"/>
    <w:rsid w:val="009D2CB9"/>
  </w:style>
  <w:style w:type="paragraph" w:styleId="Footer">
    <w:name w:val="footer"/>
    <w:basedOn w:val="Normal"/>
    <w:link w:val="FooterChar"/>
    <w:uiPriority w:val="99"/>
    <w:unhideWhenUsed/>
    <w:rsid w:val="009D2CB9"/>
    <w:pPr>
      <w:tabs>
        <w:tab w:val="center" w:pos="4513"/>
        <w:tab w:val="right" w:pos="9026"/>
      </w:tabs>
      <w:spacing w:line="240" w:lineRule="auto"/>
    </w:pPr>
  </w:style>
  <w:style w:type="character" w:customStyle="1" w:styleId="FooterChar">
    <w:name w:val="Footer Char"/>
    <w:basedOn w:val="DefaultParagraphFont"/>
    <w:link w:val="Footer"/>
    <w:uiPriority w:val="99"/>
    <w:rsid w:val="009D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i.org/10.1108/IJSSP-04-2013-004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lo.org/wcmsp5/groups/public/@dgreports/@dcomm/@publ/documents/publication/wcms_546256.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11/joop.12346"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doi.org/10.1111/jomf.12435" TargetMode="External"/><Relationship Id="rId4" Type="http://schemas.openxmlformats.org/officeDocument/2006/relationships/footnotes" Target="footnotes.xml"/><Relationship Id="rId9" Type="http://schemas.openxmlformats.org/officeDocument/2006/relationships/hyperlink" Target="https://doi.org/10.1108/JAMR-03-2020-00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2111</Words>
  <Characters>12034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2023-10-02T16:05:00Z</dcterms:created>
  <dcterms:modified xsi:type="dcterms:W3CDTF">2023-10-02T16:05:00Z</dcterms:modified>
</cp:coreProperties>
</file>