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72194056" w:rsidP="72194056" w:rsidRDefault="72194056" w14:paraId="644DE927" w14:textId="3FF9AA57">
      <w:pPr>
        <w:jc w:val="center"/>
        <w:rPr>
          <w:rFonts w:ascii="Calibri" w:hAnsi="Calibri" w:eastAsia="Calibri" w:cs="Calibri"/>
          <w:b w:val="1"/>
          <w:bCs w:val="1"/>
          <w:noProof w:val="0"/>
          <w:sz w:val="22"/>
          <w:szCs w:val="22"/>
          <w:lang w:val="en-US"/>
        </w:rPr>
      </w:pPr>
      <w:r w:rsidRPr="72194056" w:rsidR="72194056">
        <w:rPr>
          <w:rFonts w:ascii="Calibri" w:hAnsi="Calibri" w:eastAsia="Calibri" w:cs="Calibri"/>
          <w:b w:val="1"/>
          <w:bCs w:val="1"/>
          <w:noProof w:val="0"/>
          <w:sz w:val="22"/>
          <w:szCs w:val="22"/>
          <w:lang w:val="en-US"/>
        </w:rPr>
        <w:t>PHI 800 Transformative Learning and Adult Education</w:t>
      </w:r>
    </w:p>
    <w:p w:rsidR="72194056" w:rsidP="72194056" w:rsidRDefault="72194056" w14:paraId="1000274C" w14:textId="0BB5BEFE">
      <w:pPr>
        <w:jc w:val="center"/>
      </w:pPr>
      <w:r w:rsidRPr="72194056" w:rsidR="72194056">
        <w:rPr>
          <w:rFonts w:ascii="Calibri" w:hAnsi="Calibri" w:eastAsia="Calibri" w:cs="Calibri"/>
          <w:noProof w:val="0"/>
          <w:sz w:val="22"/>
          <w:szCs w:val="22"/>
          <w:lang w:val="en-US"/>
        </w:rPr>
        <w:t xml:space="preserve">Grace Godfrey </w:t>
      </w:r>
    </w:p>
    <w:p w:rsidR="72194056" w:rsidP="72194056" w:rsidRDefault="72194056" w14:paraId="7139227A" w14:textId="508C3D99">
      <w:pPr>
        <w:jc w:val="center"/>
      </w:pPr>
      <w:r>
        <w:br/>
      </w:r>
    </w:p>
    <w:p w:rsidR="72194056" w:rsidP="72194056" w:rsidRDefault="72194056" w14:paraId="31C1B015" w14:textId="02CDC8B4">
      <w:pPr>
        <w:jc w:val="center"/>
      </w:pPr>
      <w:r w:rsidRPr="72194056" w:rsidR="72194056">
        <w:rPr>
          <w:rFonts w:ascii="Calibri" w:hAnsi="Calibri" w:eastAsia="Calibri" w:cs="Calibri"/>
          <w:noProof w:val="0"/>
          <w:sz w:val="22"/>
          <w:szCs w:val="22"/>
          <w:lang w:val="en-US"/>
        </w:rPr>
        <w:t>Omega Graduate School</w:t>
      </w:r>
      <w:r w:rsidRPr="72194056" w:rsidR="72194056">
        <w:rPr>
          <w:rFonts w:ascii="Calibri" w:hAnsi="Calibri" w:eastAsia="Calibri" w:cs="Calibri"/>
          <w:noProof w:val="0"/>
          <w:sz w:val="22"/>
          <w:szCs w:val="22"/>
          <w:lang w:val="en-US"/>
        </w:rPr>
        <w:t xml:space="preserve"> </w:t>
      </w:r>
    </w:p>
    <w:p w:rsidR="72194056" w:rsidP="72194056" w:rsidRDefault="72194056" w14:paraId="679EDDCB" w14:textId="295FC7F6">
      <w:pPr>
        <w:jc w:val="center"/>
      </w:pPr>
      <w:r>
        <w:br/>
      </w:r>
    </w:p>
    <w:p w:rsidR="72194056" w:rsidP="72194056" w:rsidRDefault="72194056" w14:paraId="112B0DFD" w14:textId="17E23E79">
      <w:pPr>
        <w:jc w:val="center"/>
      </w:pPr>
      <w:r w:rsidRPr="72194056" w:rsidR="72194056">
        <w:rPr>
          <w:rFonts w:ascii="Calibri" w:hAnsi="Calibri" w:eastAsia="Calibri" w:cs="Calibri"/>
          <w:noProof w:val="0"/>
          <w:sz w:val="22"/>
          <w:szCs w:val="22"/>
          <w:lang w:val="en-US"/>
        </w:rPr>
        <w:t>Date (August 15, 2023)</w:t>
      </w:r>
      <w:r w:rsidRPr="72194056" w:rsidR="72194056">
        <w:rPr>
          <w:rFonts w:ascii="Calibri" w:hAnsi="Calibri" w:eastAsia="Calibri" w:cs="Calibri"/>
          <w:noProof w:val="0"/>
          <w:sz w:val="22"/>
          <w:szCs w:val="22"/>
          <w:lang w:val="en-US"/>
        </w:rPr>
        <w:t xml:space="preserve"> </w:t>
      </w:r>
    </w:p>
    <w:p w:rsidR="72194056" w:rsidP="72194056" w:rsidRDefault="72194056" w14:paraId="4929AED2" w14:textId="08444B6E">
      <w:pPr>
        <w:jc w:val="center"/>
      </w:pPr>
      <w:r>
        <w:br/>
      </w:r>
    </w:p>
    <w:p w:rsidR="72194056" w:rsidP="72194056" w:rsidRDefault="72194056" w14:paraId="174C8227" w14:textId="4677549E">
      <w:pPr>
        <w:jc w:val="center"/>
      </w:pPr>
      <w:r w:rsidRPr="72194056" w:rsidR="72194056">
        <w:rPr>
          <w:rFonts w:ascii="Calibri" w:hAnsi="Calibri" w:eastAsia="Calibri" w:cs="Calibri"/>
          <w:noProof w:val="0"/>
          <w:sz w:val="22"/>
          <w:szCs w:val="22"/>
          <w:lang w:val="en-US"/>
        </w:rPr>
        <w:t xml:space="preserve">Assignment #4 – Course Learning Journal </w:t>
      </w:r>
    </w:p>
    <w:p w:rsidR="72194056" w:rsidP="72194056" w:rsidRDefault="72194056" w14:paraId="60C34747" w14:textId="7C4E1050">
      <w:pPr>
        <w:jc w:val="center"/>
      </w:pPr>
      <w:r>
        <w:br/>
      </w:r>
    </w:p>
    <w:p w:rsidR="72194056" w:rsidP="72194056" w:rsidRDefault="72194056" w14:paraId="6EFE7C30" w14:textId="00AFF9EA">
      <w:pPr>
        <w:jc w:val="center"/>
      </w:pPr>
      <w:r w:rsidRPr="72194056" w:rsidR="72194056">
        <w:rPr>
          <w:rFonts w:ascii="Calibri" w:hAnsi="Calibri" w:eastAsia="Calibri" w:cs="Calibri"/>
          <w:noProof w:val="0"/>
          <w:sz w:val="22"/>
          <w:szCs w:val="22"/>
          <w:lang w:val="en-US"/>
        </w:rPr>
        <w:t>Professor: Dr. Drenda Davis</w:t>
      </w:r>
      <w:r w:rsidRPr="72194056" w:rsidR="72194056">
        <w:rPr>
          <w:rFonts w:ascii="Calibri" w:hAnsi="Calibri" w:eastAsia="Calibri" w:cs="Calibri"/>
          <w:noProof w:val="0"/>
          <w:sz w:val="22"/>
          <w:szCs w:val="22"/>
          <w:lang w:val="en-US"/>
        </w:rPr>
        <w:t xml:space="preserve"> </w:t>
      </w:r>
    </w:p>
    <w:p w:rsidR="72194056" w:rsidP="72194056" w:rsidRDefault="72194056" w14:paraId="4DDF7244" w14:textId="67537D37">
      <w:pPr>
        <w:jc w:val="center"/>
      </w:pPr>
      <w:r>
        <w:br/>
      </w:r>
    </w:p>
    <w:p w:rsidR="72194056" w:rsidP="72194056" w:rsidRDefault="72194056" w14:paraId="60E22D16" w14:textId="091EB2DE">
      <w:pPr>
        <w:jc w:val="center"/>
      </w:pPr>
      <w:r>
        <w:br/>
      </w:r>
    </w:p>
    <w:p w:rsidR="72194056" w:rsidP="72194056" w:rsidRDefault="72194056" w14:paraId="0707AA02" w14:textId="6A96B209">
      <w:pPr>
        <w:jc w:val="center"/>
      </w:pPr>
      <w:r>
        <w:br/>
      </w:r>
    </w:p>
    <w:p w:rsidR="72194056" w:rsidP="72194056" w:rsidRDefault="72194056" w14:paraId="7695661C" w14:textId="0E394ADC">
      <w:pPr>
        <w:jc w:val="center"/>
      </w:pPr>
      <w:r>
        <w:br/>
      </w:r>
    </w:p>
    <w:p w:rsidR="72194056" w:rsidP="72194056" w:rsidRDefault="72194056" w14:paraId="086DCCAA" w14:textId="02E1F256">
      <w:pPr>
        <w:jc w:val="center"/>
      </w:pPr>
      <w:r>
        <w:br/>
      </w:r>
    </w:p>
    <w:p w:rsidR="72194056" w:rsidP="72194056" w:rsidRDefault="72194056" w14:paraId="52144FBB" w14:textId="146C8A72">
      <w:pPr>
        <w:pStyle w:val="Normal"/>
        <w:jc w:val="center"/>
      </w:pPr>
    </w:p>
    <w:p w:rsidR="72194056" w:rsidP="72194056" w:rsidRDefault="72194056" w14:paraId="5AC2EA81" w14:textId="7184BA9B">
      <w:pPr>
        <w:pStyle w:val="Normal"/>
        <w:jc w:val="center"/>
      </w:pPr>
    </w:p>
    <w:p w:rsidR="72194056" w:rsidP="72194056" w:rsidRDefault="72194056" w14:paraId="25C82352" w14:textId="4222E9B6">
      <w:pPr>
        <w:pStyle w:val="Normal"/>
        <w:jc w:val="center"/>
      </w:pPr>
    </w:p>
    <w:p w:rsidR="72194056" w:rsidP="72194056" w:rsidRDefault="72194056" w14:paraId="016B1E93" w14:textId="544A90D5">
      <w:pPr>
        <w:pStyle w:val="Normal"/>
        <w:jc w:val="center"/>
      </w:pPr>
    </w:p>
    <w:p w:rsidR="72194056" w:rsidP="72194056" w:rsidRDefault="72194056" w14:paraId="1BCBC20A" w14:textId="0A8EBD7D">
      <w:pPr>
        <w:pStyle w:val="Normal"/>
        <w:jc w:val="center"/>
      </w:pPr>
    </w:p>
    <w:p w:rsidR="72194056" w:rsidP="72194056" w:rsidRDefault="72194056" w14:paraId="290947B4" w14:textId="0914F0ED">
      <w:pPr>
        <w:pStyle w:val="Normal"/>
        <w:jc w:val="center"/>
      </w:pPr>
    </w:p>
    <w:p w:rsidR="72194056" w:rsidP="72194056" w:rsidRDefault="72194056" w14:paraId="31DE95EB" w14:textId="0ED4E152">
      <w:pPr>
        <w:pStyle w:val="Normal"/>
        <w:jc w:val="center"/>
      </w:pPr>
    </w:p>
    <w:p w:rsidR="72194056" w:rsidP="72194056" w:rsidRDefault="72194056" w14:paraId="27B5BF7A" w14:textId="0A666B78">
      <w:pPr>
        <w:spacing w:line="480" w:lineRule="auto"/>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 xml:space="preserve">Assignment #4 – Course Learning Journal </w:t>
      </w:r>
    </w:p>
    <w:p w:rsidR="72194056" w:rsidP="72194056" w:rsidRDefault="72194056" w14:paraId="46168E63" w14:textId="17107886">
      <w:pPr>
        <w:spacing w:line="480" w:lineRule="auto"/>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 xml:space="preserve">The journal is a written reflection of your learning journey while working in each course. The Learning Journal integrates the essential elements of the course within your professional field of interest. The </w:t>
      </w:r>
      <w:r w:rsidRPr="72194056" w:rsidR="72194056">
        <w:rPr>
          <w:rFonts w:ascii="Times New Roman" w:hAnsi="Times New Roman" w:eastAsia="Times New Roman" w:cs="Times New Roman"/>
          <w:noProof w:val="0"/>
          <w:sz w:val="22"/>
          <w:szCs w:val="22"/>
          <w:lang w:val="en-US"/>
        </w:rPr>
        <w:t>objective</w:t>
      </w:r>
      <w:r w:rsidRPr="72194056" w:rsidR="72194056">
        <w:rPr>
          <w:rFonts w:ascii="Times New Roman" w:hAnsi="Times New Roman" w:eastAsia="Times New Roman" w:cs="Times New Roman"/>
          <w:noProof w:val="0"/>
          <w:sz w:val="22"/>
          <w:szCs w:val="22"/>
          <w:lang w:val="en-US"/>
        </w:rPr>
        <w:t xml:space="preserve"> of the course journal is to produce a degree of acculturation, integrating. </w:t>
      </w:r>
      <w:r w:rsidRPr="72194056" w:rsidR="72194056">
        <w:rPr>
          <w:rFonts w:ascii="Times New Roman" w:hAnsi="Times New Roman" w:eastAsia="Times New Roman" w:cs="Times New Roman"/>
          <w:noProof w:val="0"/>
          <w:sz w:val="22"/>
          <w:szCs w:val="22"/>
          <w:lang w:val="en-US"/>
        </w:rPr>
        <w:t>new ideas</w:t>
      </w:r>
      <w:r w:rsidRPr="72194056" w:rsidR="72194056">
        <w:rPr>
          <w:rFonts w:ascii="Times New Roman" w:hAnsi="Times New Roman" w:eastAsia="Times New Roman" w:cs="Times New Roman"/>
          <w:noProof w:val="0"/>
          <w:sz w:val="22"/>
          <w:szCs w:val="22"/>
          <w:lang w:val="en-US"/>
        </w:rPr>
        <w:t xml:space="preserve"> into your existing knowledge of each course. This is also an opportunity to communicate with your professor insights gained </w:t>
      </w:r>
      <w:r w:rsidRPr="72194056" w:rsidR="72194056">
        <w:rPr>
          <w:rFonts w:ascii="Times New Roman" w:hAnsi="Times New Roman" w:eastAsia="Times New Roman" w:cs="Times New Roman"/>
          <w:noProof w:val="0"/>
          <w:sz w:val="22"/>
          <w:szCs w:val="22"/>
          <w:lang w:val="en-US"/>
        </w:rPr>
        <w:t>because of</w:t>
      </w:r>
      <w:r w:rsidRPr="72194056" w:rsidR="72194056">
        <w:rPr>
          <w:rFonts w:ascii="Times New Roman" w:hAnsi="Times New Roman" w:eastAsia="Times New Roman" w:cs="Times New Roman"/>
          <w:noProof w:val="0"/>
          <w:sz w:val="22"/>
          <w:szCs w:val="22"/>
          <w:lang w:val="en-US"/>
        </w:rPr>
        <w:t xml:space="preserve"> the course. The course learning journal should be 3-5 pages in length and should include the following sections: </w:t>
      </w:r>
    </w:p>
    <w:p w:rsidR="72194056" w:rsidP="72194056" w:rsidRDefault="72194056" w14:paraId="05B58906" w14:textId="20D703E5">
      <w:pPr>
        <w:spacing w:line="480" w:lineRule="auto"/>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 xml:space="preserve">1. Introduction – Summarize the intent of the course, how it fits into the graduate </w:t>
      </w:r>
      <w:r w:rsidRPr="72194056" w:rsidR="72194056">
        <w:rPr>
          <w:rFonts w:ascii="Times New Roman" w:hAnsi="Times New Roman" w:eastAsia="Times New Roman" w:cs="Times New Roman"/>
          <w:noProof w:val="0"/>
          <w:sz w:val="22"/>
          <w:szCs w:val="22"/>
          <w:lang w:val="en-US"/>
        </w:rPr>
        <w:t>program, and</w:t>
      </w:r>
      <w:r w:rsidRPr="72194056" w:rsidR="72194056">
        <w:rPr>
          <w:rFonts w:ascii="Times New Roman" w:hAnsi="Times New Roman" w:eastAsia="Times New Roman" w:cs="Times New Roman"/>
          <w:noProof w:val="0"/>
          <w:sz w:val="22"/>
          <w:szCs w:val="22"/>
          <w:lang w:val="en-US"/>
        </w:rPr>
        <w:t xml:space="preserve"> the relevance of its position in the curricular sequence. </w:t>
      </w:r>
    </w:p>
    <w:p w:rsidR="72194056" w:rsidP="72194056" w:rsidRDefault="72194056" w14:paraId="12C6472C" w14:textId="1D0F2E8C">
      <w:pPr>
        <w:spacing w:line="480" w:lineRule="auto"/>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 xml:space="preserve">2. Personal Growth - Describe your personal growth–how the course stretched or </w:t>
      </w:r>
      <w:r w:rsidRPr="72194056" w:rsidR="72194056">
        <w:rPr>
          <w:rFonts w:ascii="Times New Roman" w:hAnsi="Times New Roman" w:eastAsia="Times New Roman" w:cs="Times New Roman"/>
          <w:noProof w:val="0"/>
          <w:sz w:val="22"/>
          <w:szCs w:val="22"/>
          <w:lang w:val="en-US"/>
        </w:rPr>
        <w:t xml:space="preserve">challenged you– and your progress in mastery of course content and skills during </w:t>
      </w:r>
      <w:r w:rsidRPr="72194056" w:rsidR="72194056">
        <w:rPr>
          <w:rFonts w:ascii="Times New Roman" w:hAnsi="Times New Roman" w:eastAsia="Times New Roman" w:cs="Times New Roman"/>
          <w:noProof w:val="0"/>
          <w:sz w:val="22"/>
          <w:szCs w:val="22"/>
          <w:lang w:val="en-US"/>
        </w:rPr>
        <w:t xml:space="preserve">the week and through </w:t>
      </w:r>
      <w:r w:rsidRPr="72194056" w:rsidR="72194056">
        <w:rPr>
          <w:rFonts w:ascii="Times New Roman" w:hAnsi="Times New Roman" w:eastAsia="Times New Roman" w:cs="Times New Roman"/>
          <w:noProof w:val="0"/>
          <w:sz w:val="22"/>
          <w:szCs w:val="22"/>
          <w:lang w:val="en-US"/>
        </w:rPr>
        <w:t>subsequent</w:t>
      </w:r>
      <w:r w:rsidRPr="72194056" w:rsidR="72194056">
        <w:rPr>
          <w:rFonts w:ascii="Times New Roman" w:hAnsi="Times New Roman" w:eastAsia="Times New Roman" w:cs="Times New Roman"/>
          <w:noProof w:val="0"/>
          <w:sz w:val="22"/>
          <w:szCs w:val="22"/>
          <w:lang w:val="en-US"/>
        </w:rPr>
        <w:t xml:space="preserve"> readings – what new insights or skills you gained.</w:t>
      </w:r>
      <w:r w:rsidRPr="72194056" w:rsidR="72194056">
        <w:rPr>
          <w:rFonts w:ascii="Times New Roman" w:hAnsi="Times New Roman" w:eastAsia="Times New Roman" w:cs="Times New Roman"/>
          <w:noProof w:val="0"/>
          <w:sz w:val="22"/>
          <w:szCs w:val="22"/>
          <w:lang w:val="en-US"/>
        </w:rPr>
        <w:t xml:space="preserve"> </w:t>
      </w:r>
    </w:p>
    <w:p w:rsidR="72194056" w:rsidP="72194056" w:rsidRDefault="72194056" w14:paraId="74022B8E" w14:textId="5392CA92">
      <w:pPr>
        <w:spacing w:line="480" w:lineRule="auto"/>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3. Reflective Entry - Add a reflective entry that describes the contextualization (</w:t>
      </w:r>
      <w:r w:rsidRPr="72194056" w:rsidR="72194056">
        <w:rPr>
          <w:rFonts w:ascii="Times New Roman" w:hAnsi="Times New Roman" w:eastAsia="Times New Roman" w:cs="Times New Roman"/>
          <w:noProof w:val="0"/>
          <w:sz w:val="22"/>
          <w:szCs w:val="22"/>
          <w:lang w:val="en-US"/>
        </w:rPr>
        <w:t>or adaptation</w:t>
      </w:r>
      <w:r w:rsidRPr="72194056" w:rsidR="72194056">
        <w:rPr>
          <w:rFonts w:ascii="Times New Roman" w:hAnsi="Times New Roman" w:eastAsia="Times New Roman" w:cs="Times New Roman"/>
          <w:noProof w:val="0"/>
          <w:sz w:val="22"/>
          <w:szCs w:val="22"/>
          <w:lang w:val="en-US"/>
        </w:rPr>
        <w:t xml:space="preserve"> and relevant application) of new learning in your professional field. </w:t>
      </w:r>
    </w:p>
    <w:p w:rsidR="72194056" w:rsidP="72194056" w:rsidRDefault="72194056" w14:paraId="7A4944E4" w14:textId="7CDDF1DA">
      <w:pPr>
        <w:spacing w:line="480" w:lineRule="auto"/>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 xml:space="preserve">What questions or concerns have surfaced about your professional field </w:t>
      </w:r>
      <w:r w:rsidRPr="72194056" w:rsidR="72194056">
        <w:rPr>
          <w:rFonts w:ascii="Times New Roman" w:hAnsi="Times New Roman" w:eastAsia="Times New Roman" w:cs="Times New Roman"/>
          <w:noProof w:val="0"/>
          <w:sz w:val="22"/>
          <w:szCs w:val="22"/>
          <w:lang w:val="en-US"/>
        </w:rPr>
        <w:t xml:space="preserve">as a result </w:t>
      </w:r>
      <w:r w:rsidRPr="72194056" w:rsidR="72194056">
        <w:rPr>
          <w:rFonts w:ascii="Times New Roman" w:hAnsi="Times New Roman" w:eastAsia="Times New Roman" w:cs="Times New Roman"/>
          <w:noProof w:val="0"/>
          <w:sz w:val="22"/>
          <w:szCs w:val="22"/>
          <w:lang w:val="en-US"/>
        </w:rPr>
        <w:t>of</w:t>
      </w:r>
      <w:r w:rsidRPr="72194056" w:rsidR="72194056">
        <w:rPr>
          <w:rFonts w:ascii="Times New Roman" w:hAnsi="Times New Roman" w:eastAsia="Times New Roman" w:cs="Times New Roman"/>
          <w:noProof w:val="0"/>
          <w:sz w:val="22"/>
          <w:szCs w:val="22"/>
          <w:lang w:val="en-US"/>
        </w:rPr>
        <w:t xml:space="preserve"> your study? </w:t>
      </w:r>
    </w:p>
    <w:p w:rsidR="72194056" w:rsidP="72194056" w:rsidRDefault="72194056" w14:paraId="3612104E" w14:textId="333AEC39">
      <w:pPr>
        <w:spacing w:line="480" w:lineRule="auto"/>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 xml:space="preserve">4. Conclusion – Evaluate the effectiveness of the course in meeting your professional, </w:t>
      </w:r>
      <w:r w:rsidRPr="72194056" w:rsidR="72194056">
        <w:rPr>
          <w:rFonts w:ascii="Times New Roman" w:hAnsi="Times New Roman" w:eastAsia="Times New Roman" w:cs="Times New Roman"/>
          <w:noProof w:val="0"/>
          <w:sz w:val="22"/>
          <w:szCs w:val="22"/>
          <w:lang w:val="en-US"/>
        </w:rPr>
        <w:t xml:space="preserve">religious, and educational goals. </w:t>
      </w:r>
    </w:p>
    <w:p w:rsidR="72194056" w:rsidP="72194056" w:rsidRDefault="72194056" w14:paraId="46A9DAE0" w14:textId="2AF32FCA">
      <w:pPr>
        <w:rPr>
          <w:rFonts w:ascii="Times New Roman" w:hAnsi="Times New Roman" w:eastAsia="Times New Roman" w:cs="Times New Roman"/>
        </w:rPr>
      </w:pPr>
      <w:r>
        <w:br/>
      </w:r>
    </w:p>
    <w:p w:rsidR="72194056" w:rsidP="72194056" w:rsidRDefault="72194056" w14:paraId="1C90C9A4" w14:textId="7786F8DC">
      <w:pPr>
        <w:rPr>
          <w:rFonts w:ascii="Times New Roman" w:hAnsi="Times New Roman" w:eastAsia="Times New Roman" w:cs="Times New Roman"/>
        </w:rPr>
      </w:pPr>
      <w:r>
        <w:br/>
      </w:r>
    </w:p>
    <w:p w:rsidR="72194056" w:rsidP="72194056" w:rsidRDefault="72194056" w14:paraId="4FF55136" w14:textId="36E3E8D7">
      <w:pPr>
        <w:rPr>
          <w:rFonts w:ascii="Times New Roman" w:hAnsi="Times New Roman" w:eastAsia="Times New Roman" w:cs="Times New Roman"/>
        </w:rPr>
      </w:pPr>
      <w:r>
        <w:br/>
      </w:r>
    </w:p>
    <w:p w:rsidR="72194056" w:rsidP="72194056" w:rsidRDefault="72194056" w14:paraId="2ABED2B2" w14:textId="5743E62C">
      <w:pPr>
        <w:rPr>
          <w:rFonts w:ascii="Times New Roman" w:hAnsi="Times New Roman" w:eastAsia="Times New Roman" w:cs="Times New Roman"/>
        </w:rPr>
      </w:pPr>
      <w:r>
        <w:br/>
      </w:r>
    </w:p>
    <w:p w:rsidR="72194056" w:rsidP="72194056" w:rsidRDefault="72194056" w14:paraId="52F94BBE" w14:textId="7DB4058D">
      <w:pPr>
        <w:jc w:val="left"/>
        <w:rPr>
          <w:rFonts w:ascii="Times New Roman" w:hAnsi="Times New Roman" w:eastAsia="Times New Roman" w:cs="Times New Roman"/>
          <w:b w:val="0"/>
          <w:bCs w:val="0"/>
          <w:i w:val="0"/>
          <w:iCs w:val="0"/>
          <w:noProof w:val="0"/>
          <w:color w:val="000000" w:themeColor="text1" w:themeTint="FF" w:themeShade="FF"/>
          <w:sz w:val="24"/>
          <w:szCs w:val="24"/>
          <w:lang w:val="en-US"/>
        </w:rPr>
      </w:pPr>
    </w:p>
    <w:p w:rsidR="72194056" w:rsidP="72194056" w:rsidRDefault="72194056" w14:paraId="7C6522D1" w14:textId="1EA6F6FF">
      <w:pPr>
        <w:rPr>
          <w:rFonts w:ascii="Times New Roman" w:hAnsi="Times New Roman" w:eastAsia="Times New Roman" w:cs="Times New Roman"/>
        </w:rPr>
      </w:pPr>
      <w:r>
        <w:br/>
      </w:r>
    </w:p>
    <w:p w:rsidR="72194056" w:rsidP="72194056" w:rsidRDefault="72194056" w14:paraId="6CDB61B7" w14:textId="4324B3D7">
      <w:pPr>
        <w:spacing w:line="480" w:lineRule="auto"/>
        <w:rPr>
          <w:rFonts w:ascii="Times New Roman" w:hAnsi="Times New Roman" w:eastAsia="Times New Roman" w:cs="Times New Roman"/>
          <w:b w:val="1"/>
          <w:bCs w:val="1"/>
          <w:noProof w:val="0"/>
          <w:sz w:val="22"/>
          <w:szCs w:val="22"/>
          <w:lang w:val="en-US"/>
        </w:rPr>
      </w:pPr>
      <w:r w:rsidRPr="72194056" w:rsidR="72194056">
        <w:rPr>
          <w:rFonts w:ascii="Times New Roman" w:hAnsi="Times New Roman" w:eastAsia="Times New Roman" w:cs="Times New Roman"/>
          <w:b w:val="1"/>
          <w:bCs w:val="1"/>
          <w:noProof w:val="0"/>
          <w:sz w:val="22"/>
          <w:szCs w:val="22"/>
          <w:lang w:val="en-US"/>
        </w:rPr>
        <w:t xml:space="preserve">Introduction: Course Learning Journal </w:t>
      </w:r>
    </w:p>
    <w:p w:rsidR="72194056" w:rsidP="72194056" w:rsidRDefault="72194056" w14:paraId="39F0BCF6" w14:textId="237F626D">
      <w:pPr>
        <w:spacing w:line="480" w:lineRule="auto"/>
        <w:ind w:firstLine="720"/>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 xml:space="preserve">My learning on adult learners from my master's degree in city vision university and now learning the same here in OMEGA graduate school am recognizing that adults' learners have a wealth of life experiences that they can draw from, depending on what area of expertise they are coming from, that acquired experiences and knowledge is what they want to build on and continue from there. Adult learners are not empty minded like children or young, they want to learn how to do better on what they already experienced. In my case I have been a leader for over twenty years but am here to learn to add onto what I already have and do it professionally. My understanding is that dealing with adult learners is giving them and myself an opportunity to learn more from different perspectives from different information from individuals that is integrated into these past experiences and will serves as a driving force in the learner’s desire to learn. </w:t>
      </w:r>
    </w:p>
    <w:p w:rsidR="72194056" w:rsidP="72194056" w:rsidRDefault="72194056" w14:paraId="353D434A" w14:textId="453DE44C">
      <w:pPr>
        <w:spacing w:line="480" w:lineRule="auto"/>
        <w:ind w:firstLine="720"/>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b w:val="1"/>
          <w:bCs w:val="1"/>
          <w:noProof w:val="0"/>
          <w:sz w:val="22"/>
          <w:szCs w:val="22"/>
          <w:lang w:val="en-US"/>
        </w:rPr>
        <w:t>2. Personal Growth</w:t>
      </w:r>
      <w:r w:rsidRPr="72194056" w:rsidR="72194056">
        <w:rPr>
          <w:rFonts w:ascii="Times New Roman" w:hAnsi="Times New Roman" w:eastAsia="Times New Roman" w:cs="Times New Roman"/>
          <w:noProof w:val="0"/>
          <w:sz w:val="22"/>
          <w:szCs w:val="22"/>
          <w:lang w:val="en-US"/>
        </w:rPr>
        <w:t xml:space="preserve"> </w:t>
      </w:r>
    </w:p>
    <w:p w:rsidR="72194056" w:rsidP="72194056" w:rsidRDefault="72194056" w14:paraId="140092B0" w14:textId="62DA052B">
      <w:pPr>
        <w:spacing w:line="480" w:lineRule="auto"/>
        <w:ind w:firstLine="720"/>
        <w:rPr>
          <w:rFonts w:ascii="Times New Roman" w:hAnsi="Times New Roman" w:eastAsia="Times New Roman" w:cs="Times New Roman"/>
          <w:noProof w:val="0"/>
          <w:sz w:val="24"/>
          <w:szCs w:val="24"/>
          <w:lang w:val="en-US"/>
        </w:rPr>
      </w:pPr>
      <w:r w:rsidRPr="72194056" w:rsidR="72194056">
        <w:rPr>
          <w:rFonts w:ascii="Times New Roman" w:hAnsi="Times New Roman" w:eastAsia="Times New Roman" w:cs="Times New Roman"/>
          <w:noProof w:val="0"/>
          <w:sz w:val="22"/>
          <w:szCs w:val="22"/>
          <w:lang w:val="en-US"/>
        </w:rPr>
        <w:t xml:space="preserve">We scholars as Educators we need to </w:t>
      </w:r>
      <w:r w:rsidRPr="72194056" w:rsidR="72194056">
        <w:rPr>
          <w:rFonts w:ascii="Times New Roman" w:hAnsi="Times New Roman" w:eastAsia="Times New Roman" w:cs="Times New Roman"/>
          <w:noProof w:val="0"/>
          <w:sz w:val="22"/>
          <w:szCs w:val="22"/>
          <w:lang w:val="en-US"/>
        </w:rPr>
        <w:t>facilitate</w:t>
      </w:r>
      <w:r w:rsidRPr="72194056" w:rsidR="72194056">
        <w:rPr>
          <w:rFonts w:ascii="Times New Roman" w:hAnsi="Times New Roman" w:eastAsia="Times New Roman" w:cs="Times New Roman"/>
          <w:noProof w:val="0"/>
          <w:sz w:val="22"/>
          <w:szCs w:val="22"/>
          <w:lang w:val="en-US"/>
        </w:rPr>
        <w:t xml:space="preserve"> adult learning by actively involving the learner in the education process. Adult learners are highly self-directed and, therefore, learn best when they are active participants in the education process rather than being forced to just listen to lectures. Lion Gardiner believes that a student’s active involvement in learning is so interrelated to effective learning that educational institutions should focus on increasing their students’ involvement in learning. In addition, adult learners, to my understanding from t</w:t>
      </w:r>
      <w:r w:rsidRPr="72194056" w:rsidR="72194056">
        <w:rPr>
          <w:rFonts w:ascii="Times New Roman" w:hAnsi="Times New Roman" w:eastAsia="Times New Roman" w:cs="Times New Roman"/>
          <w:noProof w:val="0"/>
          <w:sz w:val="24"/>
          <w:szCs w:val="24"/>
          <w:lang w:val="en-US"/>
        </w:rPr>
        <w:t xml:space="preserve">he course materials, say that they are motivated to learn when they feel that the material has relevancy to their real life, or it seems important to their own lives and useful to be applied. Therefore, we as scholars and to be educators we will need to emphasize the goals of the courses we will be teaching because adults function best when they know what is expected of them. Also, </w:t>
      </w:r>
      <w:r w:rsidRPr="72194056" w:rsidR="72194056">
        <w:rPr>
          <w:rFonts w:ascii="Times New Roman" w:hAnsi="Times New Roman" w:eastAsia="Times New Roman" w:cs="Times New Roman"/>
          <w:noProof w:val="0"/>
          <w:sz w:val="24"/>
          <w:szCs w:val="24"/>
          <w:lang w:val="en-US"/>
        </w:rPr>
        <w:t>it's</w:t>
      </w:r>
      <w:r w:rsidRPr="72194056" w:rsidR="72194056">
        <w:rPr>
          <w:rFonts w:ascii="Times New Roman" w:hAnsi="Times New Roman" w:eastAsia="Times New Roman" w:cs="Times New Roman"/>
          <w:noProof w:val="0"/>
          <w:sz w:val="24"/>
          <w:szCs w:val="24"/>
          <w:lang w:val="en-US"/>
        </w:rPr>
        <w:t xml:space="preserve"> important for educators. I have learned to clearly </w:t>
      </w:r>
      <w:r w:rsidRPr="72194056" w:rsidR="72194056">
        <w:rPr>
          <w:rFonts w:ascii="Times New Roman" w:hAnsi="Times New Roman" w:eastAsia="Times New Roman" w:cs="Times New Roman"/>
          <w:noProof w:val="0"/>
          <w:sz w:val="24"/>
          <w:szCs w:val="24"/>
          <w:lang w:val="en-US"/>
        </w:rPr>
        <w:t>state</w:t>
      </w:r>
      <w:r w:rsidRPr="72194056" w:rsidR="72194056">
        <w:rPr>
          <w:rFonts w:ascii="Times New Roman" w:hAnsi="Times New Roman" w:eastAsia="Times New Roman" w:cs="Times New Roman"/>
          <w:noProof w:val="0"/>
          <w:sz w:val="24"/>
          <w:szCs w:val="24"/>
          <w:lang w:val="en-US"/>
        </w:rPr>
        <w:t xml:space="preserve"> why the information I am teaching is important and how to show it </w:t>
      </w:r>
      <w:r w:rsidRPr="72194056" w:rsidR="72194056">
        <w:rPr>
          <w:rFonts w:ascii="Times New Roman" w:hAnsi="Times New Roman" w:eastAsia="Times New Roman" w:cs="Times New Roman"/>
          <w:noProof w:val="0"/>
          <w:sz w:val="24"/>
          <w:szCs w:val="24"/>
          <w:lang w:val="en-US"/>
        </w:rPr>
        <w:t>practically how</w:t>
      </w:r>
      <w:r w:rsidRPr="72194056" w:rsidR="72194056">
        <w:rPr>
          <w:rFonts w:ascii="Times New Roman" w:hAnsi="Times New Roman" w:eastAsia="Times New Roman" w:cs="Times New Roman"/>
          <w:noProof w:val="0"/>
          <w:sz w:val="24"/>
          <w:szCs w:val="24"/>
          <w:lang w:val="en-US"/>
        </w:rPr>
        <w:t xml:space="preserve"> it can fit into the bigger-real and practical picture of their education goals. According to the reading on Instructions for Adult learners, my philosophy of adult education is</w:t>
      </w:r>
    </w:p>
    <w:p w:rsidR="72194056" w:rsidP="72194056" w:rsidRDefault="72194056" w14:paraId="175AC944" w14:textId="75627D58">
      <w:pPr>
        <w:pStyle w:val="Normal"/>
        <w:spacing w:line="480" w:lineRule="auto"/>
        <w:ind w:firstLine="720"/>
      </w:pPr>
      <w:r w:rsidRPr="72194056" w:rsidR="72194056">
        <w:rPr>
          <w:rFonts w:ascii="Times New Roman" w:hAnsi="Times New Roman" w:eastAsia="Times New Roman" w:cs="Times New Roman"/>
          <w:noProof w:val="0"/>
          <w:sz w:val="24"/>
          <w:szCs w:val="24"/>
          <w:lang w:val="en-US"/>
        </w:rPr>
        <w:t xml:space="preserve">to create learning environments where adults can grow and develop at their own pace. The </w:t>
      </w:r>
      <w:r w:rsidRPr="72194056" w:rsidR="72194056">
        <w:rPr>
          <w:rFonts w:ascii="Times New Roman" w:hAnsi="Times New Roman" w:eastAsia="Times New Roman" w:cs="Times New Roman"/>
          <w:noProof w:val="0"/>
          <w:sz w:val="24"/>
          <w:szCs w:val="24"/>
          <w:lang w:val="en-US"/>
        </w:rPr>
        <w:t xml:space="preserve">purpose of education </w:t>
      </w:r>
      <w:r w:rsidRPr="72194056" w:rsidR="72194056">
        <w:rPr>
          <w:rFonts w:ascii="Times New Roman" w:hAnsi="Times New Roman" w:eastAsia="Times New Roman" w:cs="Times New Roman"/>
          <w:noProof w:val="0"/>
          <w:sz w:val="24"/>
          <w:szCs w:val="24"/>
          <w:lang w:val="en-US"/>
        </w:rPr>
        <w:t>cannot</w:t>
      </w:r>
      <w:r w:rsidRPr="72194056" w:rsidR="72194056">
        <w:rPr>
          <w:rFonts w:ascii="Times New Roman" w:hAnsi="Times New Roman" w:eastAsia="Times New Roman" w:cs="Times New Roman"/>
          <w:noProof w:val="0"/>
          <w:sz w:val="24"/>
          <w:szCs w:val="24"/>
          <w:lang w:val="en-US"/>
        </w:rPr>
        <w:t xml:space="preserve"> be confined to any one purpose but varies according to the needs </w:t>
      </w:r>
      <w:r w:rsidRPr="72194056" w:rsidR="72194056">
        <w:rPr>
          <w:rFonts w:ascii="Times New Roman" w:hAnsi="Times New Roman" w:eastAsia="Times New Roman" w:cs="Times New Roman"/>
          <w:noProof w:val="0"/>
          <w:sz w:val="24"/>
          <w:szCs w:val="24"/>
          <w:lang w:val="en-US"/>
        </w:rPr>
        <w:t>of the individual. My educational philosophy is about empowering people with tools for</w:t>
      </w:r>
    </w:p>
    <w:p w:rsidR="72194056" w:rsidP="72194056" w:rsidRDefault="72194056" w14:paraId="3E7CC2A3" w14:textId="49E6C9D2">
      <w:pPr>
        <w:pStyle w:val="Normal"/>
        <w:spacing w:line="480" w:lineRule="auto"/>
        <w:ind w:firstLine="0"/>
        <w:rPr>
          <w:rFonts w:ascii="Times New Roman" w:hAnsi="Times New Roman" w:eastAsia="Times New Roman" w:cs="Times New Roman"/>
          <w:noProof w:val="0"/>
          <w:sz w:val="24"/>
          <w:szCs w:val="24"/>
          <w:lang w:val="en-US"/>
        </w:rPr>
      </w:pPr>
      <w:r w:rsidRPr="72194056" w:rsidR="72194056">
        <w:rPr>
          <w:rFonts w:ascii="Times New Roman" w:hAnsi="Times New Roman" w:eastAsia="Times New Roman" w:cs="Times New Roman"/>
          <w:noProof w:val="0"/>
          <w:sz w:val="24"/>
          <w:szCs w:val="24"/>
          <w:lang w:val="en-US"/>
        </w:rPr>
        <w:t xml:space="preserve">approaching today and tomorrow more effectively based on what they wish to create with </w:t>
      </w:r>
      <w:bookmarkStart w:name="_Int_AaB4m1ZZ" w:id="1756342482"/>
      <w:r w:rsidRPr="72194056" w:rsidR="72194056">
        <w:rPr>
          <w:rFonts w:ascii="Times New Roman" w:hAnsi="Times New Roman" w:eastAsia="Times New Roman" w:cs="Times New Roman"/>
          <w:noProof w:val="0"/>
          <w:sz w:val="24"/>
          <w:szCs w:val="24"/>
          <w:lang w:val="en-US"/>
        </w:rPr>
        <w:t>thei</w:t>
      </w:r>
      <w:r w:rsidRPr="72194056" w:rsidR="72194056">
        <w:rPr>
          <w:rFonts w:ascii="Times New Roman" w:hAnsi="Times New Roman" w:eastAsia="Times New Roman" w:cs="Times New Roman"/>
          <w:noProof w:val="0"/>
          <w:sz w:val="24"/>
          <w:szCs w:val="24"/>
          <w:lang w:val="en-US"/>
        </w:rPr>
        <w:t>r</w:t>
      </w:r>
      <w:bookmarkEnd w:id="1756342482"/>
    </w:p>
    <w:p w:rsidR="72194056" w:rsidP="72194056" w:rsidRDefault="72194056" w14:paraId="741F9B49" w14:textId="3016EC1E">
      <w:pPr>
        <w:pStyle w:val="Normal"/>
        <w:spacing w:line="480" w:lineRule="auto"/>
        <w:ind w:firstLine="0"/>
      </w:pPr>
      <w:r w:rsidRPr="72194056" w:rsidR="72194056">
        <w:rPr>
          <w:rFonts w:ascii="Times New Roman" w:hAnsi="Times New Roman" w:eastAsia="Times New Roman" w:cs="Times New Roman"/>
          <w:noProof w:val="0"/>
          <w:sz w:val="24"/>
          <w:szCs w:val="24"/>
          <w:lang w:val="en-US"/>
        </w:rPr>
        <w:t xml:space="preserve">lives. There is a wide range of ways for </w:t>
      </w:r>
      <w:r w:rsidRPr="72194056" w:rsidR="72194056">
        <w:rPr>
          <w:rFonts w:ascii="Times New Roman" w:hAnsi="Times New Roman" w:eastAsia="Times New Roman" w:cs="Times New Roman"/>
          <w:noProof w:val="0"/>
          <w:sz w:val="24"/>
          <w:szCs w:val="24"/>
          <w:lang w:val="en-US"/>
        </w:rPr>
        <w:t>accomplishing</w:t>
      </w:r>
      <w:r w:rsidRPr="72194056" w:rsidR="72194056">
        <w:rPr>
          <w:rFonts w:ascii="Times New Roman" w:hAnsi="Times New Roman" w:eastAsia="Times New Roman" w:cs="Times New Roman"/>
          <w:noProof w:val="0"/>
          <w:sz w:val="24"/>
          <w:szCs w:val="24"/>
          <w:lang w:val="en-US"/>
        </w:rPr>
        <w:t xml:space="preserve"> this task, as there should be to</w:t>
      </w:r>
    </w:p>
    <w:p w:rsidR="72194056" w:rsidP="72194056" w:rsidRDefault="72194056" w14:paraId="47570AC5" w14:textId="1F38229A">
      <w:pPr>
        <w:pStyle w:val="Normal"/>
        <w:spacing w:line="480" w:lineRule="auto"/>
        <w:ind w:firstLine="0"/>
        <w:rPr>
          <w:rFonts w:ascii="Times New Roman" w:hAnsi="Times New Roman" w:eastAsia="Times New Roman" w:cs="Times New Roman"/>
          <w:noProof w:val="0"/>
          <w:sz w:val="24"/>
          <w:szCs w:val="24"/>
          <w:lang w:val="en-US"/>
        </w:rPr>
      </w:pPr>
      <w:r w:rsidRPr="72194056" w:rsidR="72194056">
        <w:rPr>
          <w:rFonts w:ascii="Times New Roman" w:hAnsi="Times New Roman" w:eastAsia="Times New Roman" w:cs="Times New Roman"/>
          <w:noProof w:val="0"/>
          <w:sz w:val="24"/>
          <w:szCs w:val="24"/>
          <w:lang w:val="en-US"/>
        </w:rPr>
        <w:t xml:space="preserve">accommodate the individual learning styles. </w:t>
      </w:r>
      <w:r w:rsidRPr="72194056" w:rsidR="72194056">
        <w:rPr>
          <w:rFonts w:ascii="Times New Roman" w:hAnsi="Times New Roman" w:eastAsia="Times New Roman" w:cs="Times New Roman"/>
          <w:noProof w:val="0"/>
          <w:sz w:val="24"/>
          <w:szCs w:val="24"/>
          <w:lang w:val="en-US"/>
        </w:rPr>
        <w:t>One of the major goals of education, I believe, is to make people aware of their options for learning</w:t>
      </w:r>
      <w:r w:rsidRPr="72194056" w:rsidR="72194056">
        <w:rPr>
          <w:rFonts w:ascii="Times New Roman" w:hAnsi="Times New Roman" w:eastAsia="Times New Roman" w:cs="Times New Roman"/>
          <w:noProof w:val="0"/>
          <w:sz w:val="24"/>
          <w:szCs w:val="24"/>
          <w:lang w:val="en-US"/>
        </w:rPr>
        <w:t xml:space="preserve"> and help them select the ones best suited to their needs. I  see the role of my learners </w:t>
      </w:r>
      <w:r w:rsidRPr="72194056" w:rsidR="72194056">
        <w:rPr>
          <w:rFonts w:ascii="Times New Roman" w:hAnsi="Times New Roman" w:eastAsia="Times New Roman" w:cs="Times New Roman"/>
          <w:noProof w:val="0"/>
          <w:sz w:val="24"/>
          <w:szCs w:val="24"/>
          <w:lang w:val="en-US"/>
        </w:rPr>
        <w:t xml:space="preserve">as </w:t>
      </w:r>
      <w:r w:rsidRPr="72194056" w:rsidR="72194056">
        <w:rPr>
          <w:rFonts w:ascii="Times New Roman" w:hAnsi="Times New Roman" w:eastAsia="Times New Roman" w:cs="Times New Roman"/>
          <w:noProof w:val="0"/>
          <w:sz w:val="24"/>
          <w:szCs w:val="24"/>
          <w:lang w:val="en-US"/>
        </w:rPr>
        <w:t>being in charge of</w:t>
      </w:r>
      <w:r w:rsidRPr="72194056" w:rsidR="72194056">
        <w:rPr>
          <w:rFonts w:ascii="Times New Roman" w:hAnsi="Times New Roman" w:eastAsia="Times New Roman" w:cs="Times New Roman"/>
          <w:noProof w:val="0"/>
          <w:sz w:val="24"/>
          <w:szCs w:val="24"/>
          <w:lang w:val="en-US"/>
        </w:rPr>
        <w:t xml:space="preserve"> the direction of their own education; while the role of me as the educator is </w:t>
      </w:r>
      <w:r w:rsidRPr="72194056" w:rsidR="72194056">
        <w:rPr>
          <w:rFonts w:ascii="Times New Roman" w:hAnsi="Times New Roman" w:eastAsia="Times New Roman" w:cs="Times New Roman"/>
          <w:noProof w:val="0"/>
          <w:sz w:val="24"/>
          <w:szCs w:val="24"/>
          <w:lang w:val="en-US"/>
        </w:rPr>
        <w:t xml:space="preserve">to </w:t>
      </w:r>
      <w:r w:rsidRPr="72194056" w:rsidR="72194056">
        <w:rPr>
          <w:rFonts w:ascii="Times New Roman" w:hAnsi="Times New Roman" w:eastAsia="Times New Roman" w:cs="Times New Roman"/>
          <w:noProof w:val="0"/>
          <w:sz w:val="24"/>
          <w:szCs w:val="24"/>
          <w:lang w:val="en-US"/>
        </w:rPr>
        <w:t>provide</w:t>
      </w:r>
      <w:r w:rsidRPr="72194056" w:rsidR="72194056">
        <w:rPr>
          <w:rFonts w:ascii="Times New Roman" w:hAnsi="Times New Roman" w:eastAsia="Times New Roman" w:cs="Times New Roman"/>
          <w:noProof w:val="0"/>
          <w:sz w:val="24"/>
          <w:szCs w:val="24"/>
          <w:lang w:val="en-US"/>
        </w:rPr>
        <w:t xml:space="preserve"> options that the learner might choose to use and guidance for supporting the </w:t>
      </w:r>
      <w:r w:rsidRPr="72194056" w:rsidR="72194056">
        <w:rPr>
          <w:rFonts w:ascii="Times New Roman" w:hAnsi="Times New Roman" w:eastAsia="Times New Roman" w:cs="Times New Roman"/>
          <w:noProof w:val="0"/>
          <w:sz w:val="24"/>
          <w:szCs w:val="24"/>
          <w:lang w:val="en-US"/>
        </w:rPr>
        <w:t xml:space="preserve">learners" choices and with dignity &amp; integrity respecting the whole person </w:t>
      </w:r>
      <w:r w:rsidRPr="72194056" w:rsidR="72194056">
        <w:rPr>
          <w:rFonts w:ascii="Times New Roman" w:hAnsi="Times New Roman" w:eastAsia="Times New Roman" w:cs="Times New Roman"/>
          <w:noProof w:val="0"/>
          <w:sz w:val="24"/>
          <w:szCs w:val="24"/>
          <w:lang w:val="en-US"/>
        </w:rPr>
        <w:t xml:space="preserve">My philosophy of education is indeed will be a learner-centered with an emphasis on empowerment by </w:t>
      </w:r>
      <w:r w:rsidRPr="72194056" w:rsidR="72194056">
        <w:rPr>
          <w:rFonts w:ascii="Times New Roman" w:hAnsi="Times New Roman" w:eastAsia="Times New Roman" w:cs="Times New Roman"/>
          <w:noProof w:val="0"/>
          <w:sz w:val="24"/>
          <w:szCs w:val="24"/>
          <w:lang w:val="en-US"/>
        </w:rPr>
        <w:t xml:space="preserve">creating environments that match learner needs. In practice, this means that I am creating </w:t>
      </w:r>
      <w:r w:rsidRPr="72194056" w:rsidR="72194056">
        <w:rPr>
          <w:rFonts w:ascii="Times New Roman" w:hAnsi="Times New Roman" w:eastAsia="Times New Roman" w:cs="Times New Roman"/>
          <w:noProof w:val="0"/>
          <w:sz w:val="24"/>
          <w:szCs w:val="24"/>
          <w:lang w:val="en-US"/>
        </w:rPr>
        <w:t xml:space="preserve">instruction that does more than simply tell or show; I am trying to create instruction that allows </w:t>
      </w:r>
      <w:r w:rsidRPr="72194056" w:rsidR="72194056">
        <w:rPr>
          <w:rFonts w:ascii="Times New Roman" w:hAnsi="Times New Roman" w:eastAsia="Times New Roman" w:cs="Times New Roman"/>
          <w:noProof w:val="0"/>
          <w:sz w:val="24"/>
          <w:szCs w:val="24"/>
          <w:lang w:val="en-US"/>
        </w:rPr>
        <w:t xml:space="preserve">learners to choose for themselves whether they want to read about, watch, reflect, or do. I am </w:t>
      </w:r>
      <w:r w:rsidRPr="72194056" w:rsidR="72194056">
        <w:rPr>
          <w:rFonts w:ascii="Times New Roman" w:hAnsi="Times New Roman" w:eastAsia="Times New Roman" w:cs="Times New Roman"/>
          <w:noProof w:val="0"/>
          <w:sz w:val="24"/>
          <w:szCs w:val="24"/>
          <w:lang w:val="en-US"/>
        </w:rPr>
        <w:t xml:space="preserve">trying to create instruction that embeds critical thinking, problems solving, and other </w:t>
      </w:r>
      <w:r w:rsidRPr="72194056" w:rsidR="72194056">
        <w:rPr>
          <w:rFonts w:ascii="Times New Roman" w:hAnsi="Times New Roman" w:eastAsia="Times New Roman" w:cs="Times New Roman"/>
          <w:noProof w:val="0"/>
          <w:sz w:val="24"/>
          <w:szCs w:val="24"/>
          <w:lang w:val="en-US"/>
        </w:rPr>
        <w:t xml:space="preserve">learning-how-to-learn skills within the methods and strategies used. </w:t>
      </w:r>
      <w:r w:rsidRPr="72194056" w:rsidR="72194056">
        <w:rPr>
          <w:rFonts w:ascii="Times New Roman" w:hAnsi="Times New Roman" w:eastAsia="Times New Roman" w:cs="Times New Roman"/>
          <w:noProof w:val="0"/>
          <w:sz w:val="24"/>
          <w:szCs w:val="24"/>
          <w:lang w:val="en-US"/>
        </w:rPr>
        <w:t xml:space="preserve">The most interesting theory that I have learned is the theory about becoming ready to learn </w:t>
      </w:r>
      <w:r w:rsidRPr="72194056" w:rsidR="72194056">
        <w:rPr>
          <w:rFonts w:ascii="Times New Roman" w:hAnsi="Times New Roman" w:eastAsia="Times New Roman" w:cs="Times New Roman"/>
          <w:noProof w:val="0"/>
          <w:sz w:val="24"/>
          <w:szCs w:val="24"/>
          <w:lang w:val="en-US"/>
        </w:rPr>
        <w:t xml:space="preserve">something when they experience a need to learn it </w:t>
      </w:r>
      <w:r w:rsidRPr="72194056" w:rsidR="72194056">
        <w:rPr>
          <w:rFonts w:ascii="Times New Roman" w:hAnsi="Times New Roman" w:eastAsia="Times New Roman" w:cs="Times New Roman"/>
          <w:noProof w:val="0"/>
          <w:sz w:val="24"/>
          <w:szCs w:val="24"/>
          <w:lang w:val="en-US"/>
        </w:rPr>
        <w:t>in order to</w:t>
      </w:r>
      <w:r w:rsidRPr="72194056" w:rsidR="72194056">
        <w:rPr>
          <w:rFonts w:ascii="Times New Roman" w:hAnsi="Times New Roman" w:eastAsia="Times New Roman" w:cs="Times New Roman"/>
          <w:noProof w:val="0"/>
          <w:sz w:val="24"/>
          <w:szCs w:val="24"/>
          <w:lang w:val="en-US"/>
        </w:rPr>
        <w:t xml:space="preserve"> cope more effectively with real life tasks</w:t>
      </w:r>
      <w:r w:rsidRPr="72194056" w:rsidR="72194056">
        <w:rPr>
          <w:rFonts w:ascii="Times New Roman" w:hAnsi="Times New Roman" w:eastAsia="Times New Roman" w:cs="Times New Roman"/>
          <w:noProof w:val="0"/>
          <w:sz w:val="24"/>
          <w:szCs w:val="24"/>
          <w:lang w:val="en-US"/>
        </w:rPr>
        <w:t xml:space="preserve"> or problems.  By my </w:t>
      </w:r>
      <w:r w:rsidRPr="72194056" w:rsidR="72194056">
        <w:rPr>
          <w:rFonts w:ascii="Times New Roman" w:hAnsi="Times New Roman" w:eastAsia="Times New Roman" w:cs="Times New Roman"/>
          <w:noProof w:val="0"/>
          <w:sz w:val="24"/>
          <w:szCs w:val="24"/>
          <w:lang w:val="en-US"/>
        </w:rPr>
        <w:t>past experience</w:t>
      </w:r>
      <w:r w:rsidRPr="72194056" w:rsidR="72194056">
        <w:rPr>
          <w:rFonts w:ascii="Times New Roman" w:hAnsi="Times New Roman" w:eastAsia="Times New Roman" w:cs="Times New Roman"/>
          <w:noProof w:val="0"/>
          <w:sz w:val="24"/>
          <w:szCs w:val="24"/>
          <w:lang w:val="en-US"/>
        </w:rPr>
        <w:t xml:space="preserve">, no theory of </w:t>
      </w:r>
      <w:r w:rsidRPr="72194056" w:rsidR="72194056">
        <w:rPr>
          <w:rFonts w:ascii="Times New Roman" w:hAnsi="Times New Roman" w:eastAsia="Times New Roman" w:cs="Times New Roman"/>
          <w:noProof w:val="0"/>
          <w:sz w:val="24"/>
          <w:szCs w:val="24"/>
          <w:lang w:val="en-US"/>
        </w:rPr>
        <w:t xml:space="preserve">instruction exists for adult learners, and it can also be argued that no one theory of instruction is </w:t>
      </w:r>
      <w:r w:rsidRPr="72194056" w:rsidR="72194056">
        <w:rPr>
          <w:rFonts w:ascii="Times New Roman" w:hAnsi="Times New Roman" w:eastAsia="Times New Roman" w:cs="Times New Roman"/>
          <w:noProof w:val="0"/>
          <w:sz w:val="24"/>
          <w:szCs w:val="24"/>
          <w:lang w:val="en-US"/>
        </w:rPr>
        <w:t>possible given the diverse activities that are together called adult education. This is an interesting</w:t>
      </w:r>
      <w:r w:rsidRPr="72194056" w:rsidR="72194056">
        <w:rPr>
          <w:rFonts w:ascii="Times New Roman" w:hAnsi="Times New Roman" w:eastAsia="Times New Roman" w:cs="Times New Roman"/>
          <w:noProof w:val="0"/>
          <w:sz w:val="24"/>
          <w:szCs w:val="24"/>
          <w:lang w:val="en-US"/>
        </w:rPr>
        <w:t xml:space="preserve"> subject to learn and, yes, I agree 100% with my </w:t>
      </w:r>
      <w:r w:rsidRPr="72194056" w:rsidR="72194056">
        <w:rPr>
          <w:rFonts w:ascii="Times New Roman" w:hAnsi="Times New Roman" w:eastAsia="Times New Roman" w:cs="Times New Roman"/>
          <w:noProof w:val="0"/>
          <w:sz w:val="24"/>
          <w:szCs w:val="24"/>
          <w:lang w:val="en-US"/>
        </w:rPr>
        <w:t>past experience</w:t>
      </w:r>
      <w:r w:rsidRPr="72194056" w:rsidR="72194056">
        <w:rPr>
          <w:rFonts w:ascii="Times New Roman" w:hAnsi="Times New Roman" w:eastAsia="Times New Roman" w:cs="Times New Roman"/>
          <w:noProof w:val="0"/>
          <w:sz w:val="24"/>
          <w:szCs w:val="24"/>
          <w:lang w:val="en-US"/>
        </w:rPr>
        <w:t xml:space="preserve"> on solving problems in</w:t>
      </w:r>
      <w:r w:rsidRPr="72194056" w:rsidR="72194056">
        <w:rPr>
          <w:rFonts w:ascii="Times New Roman" w:hAnsi="Times New Roman" w:eastAsia="Times New Roman" w:cs="Times New Roman"/>
          <w:noProof w:val="0"/>
          <w:sz w:val="24"/>
          <w:szCs w:val="24"/>
          <w:lang w:val="en-US"/>
        </w:rPr>
        <w:t xml:space="preserve"> my life, I have experienced that only I and I can resolve the matter, in most cases I needed no advice from whoever </w:t>
      </w:r>
      <w:r w:rsidRPr="72194056" w:rsidR="72194056">
        <w:rPr>
          <w:rFonts w:ascii="Times New Roman" w:hAnsi="Times New Roman" w:eastAsia="Times New Roman" w:cs="Times New Roman"/>
          <w:noProof w:val="0"/>
          <w:sz w:val="24"/>
          <w:szCs w:val="24"/>
          <w:lang w:val="en-US"/>
        </w:rPr>
        <w:t xml:space="preserve">no matter how experienced or educated they might be, but cannot give an idea on resolving the </w:t>
      </w:r>
      <w:r w:rsidRPr="72194056" w:rsidR="72194056">
        <w:rPr>
          <w:rFonts w:ascii="Times New Roman" w:hAnsi="Times New Roman" w:eastAsia="Times New Roman" w:cs="Times New Roman"/>
          <w:noProof w:val="0"/>
          <w:sz w:val="24"/>
          <w:szCs w:val="24"/>
          <w:lang w:val="en-US"/>
        </w:rPr>
        <w:t xml:space="preserve">issue but the idea and best instruction are from within me. Adults are uniquely built in ways to get then out of where they are to another level only by being given the needed tool and </w:t>
      </w:r>
      <w:r w:rsidRPr="72194056" w:rsidR="72194056">
        <w:rPr>
          <w:rFonts w:ascii="Times New Roman" w:hAnsi="Times New Roman" w:eastAsia="Times New Roman" w:cs="Times New Roman"/>
          <w:noProof w:val="0"/>
          <w:sz w:val="24"/>
          <w:szCs w:val="24"/>
          <w:lang w:val="en-US"/>
        </w:rPr>
        <w:t>probably little</w:t>
      </w:r>
      <w:r w:rsidRPr="72194056" w:rsidR="72194056">
        <w:rPr>
          <w:rFonts w:ascii="Times New Roman" w:hAnsi="Times New Roman" w:eastAsia="Times New Roman" w:cs="Times New Roman"/>
          <w:noProof w:val="0"/>
          <w:sz w:val="24"/>
          <w:szCs w:val="24"/>
          <w:lang w:val="en-US"/>
        </w:rPr>
        <w:t xml:space="preserve"> shared experiences to make it sounds better than advice to </w:t>
      </w:r>
      <w:r w:rsidRPr="72194056" w:rsidR="72194056">
        <w:rPr>
          <w:rFonts w:ascii="Times New Roman" w:hAnsi="Times New Roman" w:eastAsia="Times New Roman" w:cs="Times New Roman"/>
          <w:noProof w:val="0"/>
          <w:sz w:val="24"/>
          <w:szCs w:val="24"/>
          <w:lang w:val="en-US"/>
        </w:rPr>
        <w:t xml:space="preserve">resourced in a way, they have an escape from conditions and situations in life.  I always figured things out as an adult and it worked, I get the credit and shared my experiences with those going through the shame. </w:t>
      </w:r>
    </w:p>
    <w:p w:rsidR="72194056" w:rsidP="72194056" w:rsidRDefault="72194056" w14:paraId="69F6188E" w14:textId="5FEDA9FD">
      <w:pPr>
        <w:spacing w:line="480" w:lineRule="auto"/>
        <w:ind w:firstLine="720"/>
        <w:rPr>
          <w:rFonts w:ascii="Times New Roman" w:hAnsi="Times New Roman" w:eastAsia="Times New Roman" w:cs="Times New Roman"/>
          <w:b w:val="1"/>
          <w:bCs w:val="1"/>
          <w:noProof w:val="0"/>
          <w:sz w:val="22"/>
          <w:szCs w:val="22"/>
          <w:lang w:val="en-US"/>
        </w:rPr>
      </w:pPr>
      <w:r w:rsidRPr="72194056" w:rsidR="72194056">
        <w:rPr>
          <w:rFonts w:ascii="Times New Roman" w:hAnsi="Times New Roman" w:eastAsia="Times New Roman" w:cs="Times New Roman"/>
          <w:b w:val="1"/>
          <w:bCs w:val="1"/>
          <w:noProof w:val="0"/>
          <w:sz w:val="22"/>
          <w:szCs w:val="22"/>
          <w:lang w:val="en-US"/>
        </w:rPr>
        <w:t>3. Reflective Entry -</w:t>
      </w:r>
      <w:r w:rsidRPr="72194056" w:rsidR="72194056">
        <w:rPr>
          <w:rFonts w:ascii="Times New Roman" w:hAnsi="Times New Roman" w:eastAsia="Times New Roman" w:cs="Times New Roman"/>
          <w:b w:val="1"/>
          <w:bCs w:val="1"/>
          <w:noProof w:val="0"/>
          <w:sz w:val="22"/>
          <w:szCs w:val="22"/>
          <w:lang w:val="en-US"/>
        </w:rPr>
        <w:t xml:space="preserve"> </w:t>
      </w:r>
    </w:p>
    <w:p w:rsidR="72194056" w:rsidP="72194056" w:rsidRDefault="72194056" w14:paraId="25B07747" w14:textId="3D57A724">
      <w:pPr>
        <w:pStyle w:val="Normal"/>
        <w:spacing w:line="480" w:lineRule="auto"/>
        <w:ind w:firstLine="720"/>
      </w:pP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 xml:space="preserve">On the reflection entry I want to agree with Walter that Both the teacher and students design and lead learning activities which elaborate, “unpack,” and critique readings, and develop students’ capacity for experiential, emotional, spiritual, arts-based, and bodily learning as well as group process, all the while reinforcing trust, deeper relationships, cooperation, and better knowledge of each other's lives, personalities, capabilities, and identities. The class culminates in creative presentations where learners transform the classroom into “living history museums” </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representing</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 xml:space="preserve"> the sites of adult learning they have investigated in field research. Visitors to living history museums engage in a rich array of informal adult learning; they gain new knowledge, </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participate</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 xml:space="preserve"> in hands-on learning and role playing, and at times even experience transformative learning. In this class, the museum and its learning opportunities come into the classroom and are created by learners themselves</w:t>
      </w:r>
      <w:r w:rsidRPr="72194056" w:rsidR="72194056">
        <w:rPr>
          <w:rFonts w:ascii="Open Sans" w:hAnsi="Open Sans" w:eastAsia="Open Sans" w:cs="Open Sans"/>
          <w:b w:val="0"/>
          <w:bCs w:val="0"/>
          <w:i w:val="0"/>
          <w:iCs w:val="0"/>
          <w:caps w:val="0"/>
          <w:smallCaps w:val="0"/>
          <w:noProof w:val="0"/>
          <w:color w:val="333333"/>
          <w:sz w:val="24"/>
          <w:szCs w:val="24"/>
          <w:lang w:val="en-US"/>
        </w:rPr>
        <w:t>.</w:t>
      </w:r>
    </w:p>
    <w:p w:rsidR="72194056" w:rsidP="72194056" w:rsidRDefault="72194056" w14:paraId="223E2EC2" w14:textId="375E82AA">
      <w:pPr>
        <w:ind w:firstLine="720"/>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b w:val="1"/>
          <w:bCs w:val="1"/>
          <w:noProof w:val="0"/>
          <w:sz w:val="22"/>
          <w:szCs w:val="22"/>
          <w:lang w:val="en-US"/>
        </w:rPr>
        <w:t>4. Conclusion</w:t>
      </w:r>
      <w:r w:rsidRPr="72194056" w:rsidR="72194056">
        <w:rPr>
          <w:rFonts w:ascii="Times New Roman" w:hAnsi="Times New Roman" w:eastAsia="Times New Roman" w:cs="Times New Roman"/>
          <w:noProof w:val="0"/>
          <w:sz w:val="22"/>
          <w:szCs w:val="22"/>
          <w:lang w:val="en-US"/>
        </w:rPr>
        <w:t xml:space="preserve"> </w:t>
      </w:r>
    </w:p>
    <w:p w:rsidR="72194056" w:rsidP="72194056" w:rsidRDefault="72194056" w14:paraId="45030B00" w14:textId="58A443AE">
      <w:pPr>
        <w:pStyle w:val="Normal"/>
        <w:spacing w:line="480" w:lineRule="auto"/>
        <w:ind w:firstLine="720"/>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 xml:space="preserve">I like this about training people how to get out of poverty on their own. Paraphrasing on comment from Andrew Sear The president of CVU, in a video on system thinking “The system thinking according to Andrew he explained the domains of learning on three dimensions. The purpose of the system thinking is to reduce poverty using the three-domain a head, </w:t>
      </w:r>
      <w:r w:rsidRPr="72194056" w:rsidR="72194056">
        <w:rPr>
          <w:rFonts w:ascii="Times New Roman" w:hAnsi="Times New Roman" w:eastAsia="Times New Roman" w:cs="Times New Roman"/>
          <w:noProof w:val="0"/>
          <w:sz w:val="22"/>
          <w:szCs w:val="22"/>
          <w:lang w:val="en-US"/>
        </w:rPr>
        <w:t>heart</w:t>
      </w:r>
      <w:r w:rsidRPr="72194056" w:rsidR="72194056">
        <w:rPr>
          <w:rFonts w:ascii="Times New Roman" w:hAnsi="Times New Roman" w:eastAsia="Times New Roman" w:cs="Times New Roman"/>
          <w:noProof w:val="0"/>
          <w:sz w:val="22"/>
          <w:szCs w:val="22"/>
          <w:lang w:val="en-US"/>
        </w:rPr>
        <w:t xml:space="preserve"> and hands. </w:t>
      </w:r>
      <w:r w:rsidRPr="72194056" w:rsidR="72194056">
        <w:rPr>
          <w:rFonts w:ascii="Times New Roman" w:hAnsi="Times New Roman" w:eastAsia="Times New Roman" w:cs="Times New Roman"/>
          <w:noProof w:val="0"/>
          <w:sz w:val="22"/>
          <w:szCs w:val="22"/>
          <w:lang w:val="en-US"/>
        </w:rPr>
        <w:t>It's</w:t>
      </w:r>
      <w:r w:rsidRPr="72194056" w:rsidR="72194056">
        <w:rPr>
          <w:rFonts w:ascii="Times New Roman" w:hAnsi="Times New Roman" w:eastAsia="Times New Roman" w:cs="Times New Roman"/>
          <w:noProof w:val="0"/>
          <w:sz w:val="22"/>
          <w:szCs w:val="22"/>
          <w:lang w:val="en-US"/>
        </w:rPr>
        <w:t xml:space="preserve"> a process that requires each step of the three. This means that education and training are the utmost part of the process. People </w:t>
      </w:r>
      <w:r w:rsidRPr="72194056" w:rsidR="72194056">
        <w:rPr>
          <w:rFonts w:ascii="Times New Roman" w:hAnsi="Times New Roman" w:eastAsia="Times New Roman" w:cs="Times New Roman"/>
          <w:noProof w:val="0"/>
          <w:sz w:val="22"/>
          <w:szCs w:val="22"/>
          <w:lang w:val="en-US"/>
        </w:rPr>
        <w:t>have to</w:t>
      </w:r>
      <w:r w:rsidRPr="72194056" w:rsidR="72194056">
        <w:rPr>
          <w:rFonts w:ascii="Times New Roman" w:hAnsi="Times New Roman" w:eastAsia="Times New Roman" w:cs="Times New Roman"/>
          <w:noProof w:val="0"/>
          <w:sz w:val="22"/>
          <w:szCs w:val="22"/>
          <w:lang w:val="en-US"/>
        </w:rPr>
        <w:t xml:space="preserve"> get the knowledge into their head, get it down into their heart and finally put it right into their hands. The next step is outcomes / the results of the harmony of the domains. Therefore, Head Learning- Cognitive Learning is a way that you can help someone is cognitive development providing him/her with choices and prompt him/her to make thoughtful decisions. Heart learning- Affective learning </w:t>
      </w:r>
      <w:r w:rsidRPr="72194056" w:rsidR="72194056">
        <w:rPr>
          <w:rFonts w:ascii="Times New Roman" w:hAnsi="Times New Roman" w:eastAsia="Times New Roman" w:cs="Times New Roman"/>
          <w:noProof w:val="0"/>
          <w:sz w:val="22"/>
          <w:szCs w:val="22"/>
          <w:lang w:val="en-US"/>
        </w:rPr>
        <w:t>has to</w:t>
      </w:r>
      <w:r w:rsidRPr="72194056" w:rsidR="72194056">
        <w:rPr>
          <w:rFonts w:ascii="Times New Roman" w:hAnsi="Times New Roman" w:eastAsia="Times New Roman" w:cs="Times New Roman"/>
          <w:noProof w:val="0"/>
          <w:sz w:val="22"/>
          <w:szCs w:val="22"/>
          <w:lang w:val="en-US"/>
        </w:rPr>
        <w:t xml:space="preserve"> start from head to heart, as this learning relates to the learner's interests, attitudes, and motivation” we as educators then for this to work we </w:t>
      </w:r>
      <w:r w:rsidRPr="72194056" w:rsidR="72194056">
        <w:rPr>
          <w:rFonts w:ascii="Times New Roman" w:hAnsi="Times New Roman" w:eastAsia="Times New Roman" w:cs="Times New Roman"/>
          <w:noProof w:val="0"/>
          <w:sz w:val="22"/>
          <w:szCs w:val="22"/>
          <w:lang w:val="en-US"/>
        </w:rPr>
        <w:t>have to</w:t>
      </w:r>
      <w:r w:rsidRPr="72194056" w:rsidR="72194056">
        <w:rPr>
          <w:rFonts w:ascii="Times New Roman" w:hAnsi="Times New Roman" w:eastAsia="Times New Roman" w:cs="Times New Roman"/>
          <w:noProof w:val="0"/>
          <w:sz w:val="22"/>
          <w:szCs w:val="22"/>
          <w:lang w:val="en-US"/>
        </w:rPr>
        <w:t xml:space="preserve"> show our student adult learner's due respect. We cannot treat them like kids or young people who are waiting to be directed </w:t>
      </w:r>
      <w:r w:rsidRPr="72194056" w:rsidR="72194056">
        <w:rPr>
          <w:rFonts w:ascii="Times New Roman" w:hAnsi="Times New Roman" w:eastAsia="Times New Roman" w:cs="Times New Roman"/>
          <w:noProof w:val="0"/>
          <w:sz w:val="22"/>
          <w:szCs w:val="22"/>
          <w:lang w:val="en-US"/>
        </w:rPr>
        <w:t>at</w:t>
      </w:r>
      <w:r w:rsidRPr="72194056" w:rsidR="72194056">
        <w:rPr>
          <w:rFonts w:ascii="Times New Roman" w:hAnsi="Times New Roman" w:eastAsia="Times New Roman" w:cs="Times New Roman"/>
          <w:noProof w:val="0"/>
          <w:sz w:val="22"/>
          <w:szCs w:val="22"/>
          <w:lang w:val="en-US"/>
        </w:rPr>
        <w:t xml:space="preserve"> what to do.</w:t>
      </w:r>
    </w:p>
    <w:p w:rsidR="72194056" w:rsidP="72194056" w:rsidRDefault="72194056" w14:paraId="08E9CC67" w14:textId="1A31B59E">
      <w:pPr>
        <w:pStyle w:val="Normal"/>
        <w:spacing w:line="480" w:lineRule="auto"/>
        <w:ind w:firstLine="720"/>
        <w:rPr>
          <w:rFonts w:ascii="Times New Roman" w:hAnsi="Times New Roman" w:eastAsia="Times New Roman" w:cs="Times New Roman"/>
          <w:noProof w:val="0"/>
          <w:lang w:val="en-US"/>
        </w:rPr>
      </w:pPr>
      <w:r w:rsidRPr="72194056" w:rsidR="72194056">
        <w:rPr>
          <w:rFonts w:ascii="Times New Roman" w:hAnsi="Times New Roman" w:eastAsia="Times New Roman" w:cs="Times New Roman"/>
          <w:noProof w:val="0"/>
          <w:color w:val="auto"/>
          <w:sz w:val="22"/>
          <w:szCs w:val="22"/>
          <w:lang w:val="en-US"/>
        </w:rPr>
        <w:t xml:space="preserve">Therefore, we as educators it is important to show respect toward them adult learners as our students </w:t>
      </w:r>
      <w:r w:rsidRPr="72194056" w:rsidR="72194056">
        <w:rPr>
          <w:rFonts w:ascii="Times New Roman" w:hAnsi="Times New Roman" w:eastAsia="Times New Roman" w:cs="Times New Roman"/>
          <w:noProof w:val="0"/>
          <w:color w:val="auto"/>
          <w:sz w:val="22"/>
          <w:szCs w:val="22"/>
          <w:lang w:val="en-US"/>
        </w:rPr>
        <w:t>for the reasons that</w:t>
      </w:r>
      <w:r w:rsidRPr="72194056" w:rsidR="72194056">
        <w:rPr>
          <w:rFonts w:ascii="Times New Roman" w:hAnsi="Times New Roman" w:eastAsia="Times New Roman" w:cs="Times New Roman"/>
          <w:noProof w:val="0"/>
          <w:color w:val="auto"/>
          <w:sz w:val="22"/>
          <w:szCs w:val="22"/>
          <w:lang w:val="en-US"/>
        </w:rPr>
        <w:t xml:space="preserve"> when they feel respected and heard, they feel like equals as well considered as to the educator, they are more likely to </w:t>
      </w:r>
      <w:r w:rsidRPr="72194056" w:rsidR="72194056">
        <w:rPr>
          <w:rFonts w:ascii="Times New Roman" w:hAnsi="Times New Roman" w:eastAsia="Times New Roman" w:cs="Times New Roman"/>
          <w:noProof w:val="0"/>
          <w:color w:val="auto"/>
          <w:sz w:val="22"/>
          <w:szCs w:val="22"/>
          <w:lang w:val="en-US"/>
        </w:rPr>
        <w:t>participate</w:t>
      </w:r>
      <w:r w:rsidRPr="72194056" w:rsidR="72194056">
        <w:rPr>
          <w:rFonts w:ascii="Times New Roman" w:hAnsi="Times New Roman" w:eastAsia="Times New Roman" w:cs="Times New Roman"/>
          <w:noProof w:val="0"/>
          <w:color w:val="auto"/>
          <w:sz w:val="22"/>
          <w:szCs w:val="22"/>
          <w:lang w:val="en-US"/>
        </w:rPr>
        <w:t xml:space="preserve"> in class and become active learners. It is important for the educator to recognize that adult learners may tend to personalize their own mistakes that they make and that this may affect their self-esteem </w:t>
      </w:r>
      <w:r w:rsidRPr="72194056" w:rsidR="72194056">
        <w:rPr>
          <w:rFonts w:ascii="Times New Roman" w:hAnsi="Times New Roman" w:eastAsia="Times New Roman" w:cs="Times New Roman"/>
          <w:noProof w:val="0"/>
          <w:color w:val="auto"/>
          <w:sz w:val="22"/>
          <w:szCs w:val="22"/>
          <w:lang w:val="en-US"/>
        </w:rPr>
        <w:t>in the process of learning</w:t>
      </w:r>
      <w:r w:rsidRPr="72194056" w:rsidR="72194056">
        <w:rPr>
          <w:rFonts w:ascii="Times New Roman" w:hAnsi="Times New Roman" w:eastAsia="Times New Roman" w:cs="Times New Roman"/>
          <w:noProof w:val="0"/>
          <w:color w:val="auto"/>
          <w:sz w:val="22"/>
          <w:szCs w:val="22"/>
          <w:lang w:val="en-US"/>
        </w:rPr>
        <w:t xml:space="preserve">. This </w:t>
      </w:r>
      <w:r w:rsidRPr="72194056" w:rsidR="72194056">
        <w:rPr>
          <w:rFonts w:ascii="Times New Roman" w:hAnsi="Times New Roman" w:eastAsia="Times New Roman" w:cs="Times New Roman"/>
          <w:noProof w:val="0"/>
          <w:color w:val="auto"/>
          <w:sz w:val="22"/>
          <w:szCs w:val="22"/>
          <w:lang w:val="en-US"/>
        </w:rPr>
        <w:t>I myself</w:t>
      </w:r>
      <w:r w:rsidRPr="72194056" w:rsidR="72194056">
        <w:rPr>
          <w:rFonts w:ascii="Times New Roman" w:hAnsi="Times New Roman" w:eastAsia="Times New Roman" w:cs="Times New Roman"/>
          <w:noProof w:val="0"/>
          <w:color w:val="auto"/>
          <w:sz w:val="22"/>
          <w:szCs w:val="22"/>
          <w:lang w:val="en-US"/>
        </w:rPr>
        <w:t xml:space="preserve"> have learned by experiences that an adult learner self-esteem once wounded might take long to heal. Therefore, </w:t>
      </w:r>
      <w:r w:rsidRPr="72194056" w:rsidR="72194056">
        <w:rPr>
          <w:rFonts w:ascii="Times New Roman" w:hAnsi="Times New Roman" w:eastAsia="Times New Roman" w:cs="Times New Roman"/>
          <w:noProof w:val="0"/>
          <w:color w:val="auto"/>
          <w:sz w:val="22"/>
          <w:szCs w:val="22"/>
          <w:lang w:val="en-US"/>
        </w:rPr>
        <w:t>it's</w:t>
      </w:r>
      <w:r w:rsidRPr="72194056" w:rsidR="72194056">
        <w:rPr>
          <w:rFonts w:ascii="Times New Roman" w:hAnsi="Times New Roman" w:eastAsia="Times New Roman" w:cs="Times New Roman"/>
          <w:noProof w:val="0"/>
          <w:color w:val="auto"/>
          <w:sz w:val="22"/>
          <w:szCs w:val="22"/>
          <w:lang w:val="en-US"/>
        </w:rPr>
        <w:t xml:space="preserve"> okay for learners to understand that every answer or exercise is never wrong to specific individual may be a little construction though needed so long as it produces positive outcome. It is for this reason that adult learners might be more reluctant when it comes to </w:t>
      </w:r>
      <w:r w:rsidRPr="72194056" w:rsidR="72194056">
        <w:rPr>
          <w:rFonts w:ascii="Times New Roman" w:hAnsi="Times New Roman" w:eastAsia="Times New Roman" w:cs="Times New Roman"/>
          <w:noProof w:val="0"/>
          <w:color w:val="auto"/>
          <w:sz w:val="22"/>
          <w:szCs w:val="22"/>
          <w:lang w:val="en-US"/>
        </w:rPr>
        <w:t>participating</w:t>
      </w:r>
      <w:r w:rsidRPr="72194056" w:rsidR="72194056">
        <w:rPr>
          <w:rFonts w:ascii="Times New Roman" w:hAnsi="Times New Roman" w:eastAsia="Times New Roman" w:cs="Times New Roman"/>
          <w:noProof w:val="0"/>
          <w:color w:val="auto"/>
          <w:sz w:val="22"/>
          <w:szCs w:val="22"/>
          <w:lang w:val="en-US"/>
        </w:rPr>
        <w:t xml:space="preserve"> in class. Positive self-beliefs are a central construct in educational psychology, and self-concept and self-efficacy are to be the most to be used </w:t>
      </w:r>
      <w:r w:rsidRPr="72194056" w:rsidR="72194056">
        <w:rPr>
          <w:rFonts w:ascii="Times New Roman" w:hAnsi="Times New Roman" w:eastAsia="Times New Roman" w:cs="Times New Roman"/>
          <w:noProof w:val="0"/>
          <w:color w:val="auto"/>
          <w:sz w:val="22"/>
          <w:szCs w:val="22"/>
          <w:lang w:val="en-US"/>
        </w:rPr>
        <w:t>and also</w:t>
      </w:r>
      <w:r w:rsidRPr="72194056" w:rsidR="72194056">
        <w:rPr>
          <w:rFonts w:ascii="Times New Roman" w:hAnsi="Times New Roman" w:eastAsia="Times New Roman" w:cs="Times New Roman"/>
          <w:noProof w:val="0"/>
          <w:color w:val="auto"/>
          <w:sz w:val="22"/>
          <w:szCs w:val="22"/>
          <w:lang w:val="en-US"/>
        </w:rPr>
        <w:t xml:space="preserve"> would be theoretically important for representations of positive self-beliefs in most cases. In Educational I believe that Psychology, much effort </w:t>
      </w:r>
      <w:r w:rsidRPr="72194056" w:rsidR="72194056">
        <w:rPr>
          <w:rFonts w:ascii="Times New Roman" w:hAnsi="Times New Roman" w:eastAsia="Times New Roman" w:cs="Times New Roman"/>
          <w:noProof w:val="0"/>
          <w:color w:val="auto"/>
          <w:sz w:val="22"/>
          <w:szCs w:val="22"/>
          <w:lang w:val="en-US"/>
        </w:rPr>
        <w:t>has to</w:t>
      </w:r>
      <w:r w:rsidRPr="72194056" w:rsidR="72194056">
        <w:rPr>
          <w:rFonts w:ascii="Times New Roman" w:hAnsi="Times New Roman" w:eastAsia="Times New Roman" w:cs="Times New Roman"/>
          <w:noProof w:val="0"/>
          <w:color w:val="auto"/>
          <w:sz w:val="22"/>
          <w:szCs w:val="22"/>
          <w:lang w:val="en-US"/>
        </w:rPr>
        <w:t xml:space="preserve"> be </w:t>
      </w:r>
      <w:r w:rsidRPr="72194056" w:rsidR="72194056">
        <w:rPr>
          <w:rFonts w:ascii="Times New Roman" w:hAnsi="Times New Roman" w:eastAsia="Times New Roman" w:cs="Times New Roman"/>
          <w:noProof w:val="0"/>
          <w:color w:val="auto"/>
          <w:sz w:val="22"/>
          <w:szCs w:val="22"/>
          <w:lang w:val="en-US"/>
        </w:rPr>
        <w:t>expended</w:t>
      </w:r>
      <w:r w:rsidRPr="72194056" w:rsidR="72194056">
        <w:rPr>
          <w:rFonts w:ascii="Times New Roman" w:hAnsi="Times New Roman" w:eastAsia="Times New Roman" w:cs="Times New Roman"/>
          <w:noProof w:val="0"/>
          <w:color w:val="auto"/>
          <w:sz w:val="22"/>
          <w:szCs w:val="22"/>
          <w:lang w:val="en-US"/>
        </w:rPr>
        <w:t xml:space="preserve"> in trying to distinguish between self-concept and self-efficacy. Nevertheless, the practice and </w:t>
      </w:r>
      <w:r w:rsidRPr="72194056" w:rsidR="72194056">
        <w:rPr>
          <w:rFonts w:ascii="Times New Roman" w:hAnsi="Times New Roman" w:eastAsia="Times New Roman" w:cs="Times New Roman"/>
          <w:noProof w:val="0"/>
          <w:color w:val="auto"/>
          <w:sz w:val="22"/>
          <w:szCs w:val="22"/>
          <w:lang w:val="en-US"/>
        </w:rPr>
        <w:t>probably the</w:t>
      </w:r>
      <w:r w:rsidRPr="72194056" w:rsidR="72194056">
        <w:rPr>
          <w:rFonts w:ascii="Times New Roman" w:hAnsi="Times New Roman" w:eastAsia="Times New Roman" w:cs="Times New Roman"/>
          <w:noProof w:val="0"/>
          <w:color w:val="auto"/>
          <w:sz w:val="22"/>
          <w:szCs w:val="22"/>
          <w:lang w:val="en-US"/>
        </w:rPr>
        <w:t xml:space="preserve"> theory of the distinction </w:t>
      </w:r>
      <w:r w:rsidRPr="72194056" w:rsidR="72194056">
        <w:rPr>
          <w:rFonts w:ascii="Times New Roman" w:hAnsi="Times New Roman" w:eastAsia="Times New Roman" w:cs="Times New Roman"/>
          <w:noProof w:val="0"/>
          <w:color w:val="auto"/>
          <w:sz w:val="22"/>
          <w:szCs w:val="22"/>
          <w:lang w:val="en-US"/>
        </w:rPr>
        <w:t xml:space="preserve">in my opinion </w:t>
      </w:r>
      <w:r w:rsidRPr="72194056" w:rsidR="72194056">
        <w:rPr>
          <w:rFonts w:ascii="Times New Roman" w:hAnsi="Times New Roman" w:eastAsia="Times New Roman" w:cs="Times New Roman"/>
          <w:noProof w:val="0"/>
          <w:color w:val="auto"/>
          <w:sz w:val="22"/>
          <w:szCs w:val="22"/>
          <w:lang w:val="en-US"/>
        </w:rPr>
        <w:t>still</w:t>
      </w:r>
      <w:r w:rsidRPr="72194056" w:rsidR="72194056">
        <w:rPr>
          <w:rFonts w:ascii="Times New Roman" w:hAnsi="Times New Roman" w:eastAsia="Times New Roman" w:cs="Times New Roman"/>
          <w:noProof w:val="0"/>
          <w:color w:val="auto"/>
          <w:sz w:val="22"/>
          <w:szCs w:val="22"/>
          <w:lang w:val="en-US"/>
        </w:rPr>
        <w:t xml:space="preserve"> </w:t>
      </w:r>
      <w:r w:rsidRPr="72194056" w:rsidR="72194056">
        <w:rPr>
          <w:rFonts w:ascii="Times New Roman" w:hAnsi="Times New Roman" w:eastAsia="Times New Roman" w:cs="Times New Roman"/>
          <w:noProof w:val="0"/>
          <w:color w:val="auto"/>
          <w:sz w:val="22"/>
          <w:szCs w:val="22"/>
          <w:lang w:val="en-US"/>
        </w:rPr>
        <w:t>remains</w:t>
      </w:r>
      <w:r w:rsidRPr="72194056" w:rsidR="72194056">
        <w:rPr>
          <w:rFonts w:ascii="Times New Roman" w:hAnsi="Times New Roman" w:eastAsia="Times New Roman" w:cs="Times New Roman"/>
          <w:noProof w:val="0"/>
          <w:color w:val="auto"/>
          <w:sz w:val="22"/>
          <w:szCs w:val="22"/>
          <w:lang w:val="en-US"/>
        </w:rPr>
        <w:t xml:space="preserve"> murky. We may need to critique some conceptual attempts to distinguish the two constructs arguing against some distinctions that have been offered in the past and offering some new theoretical distinctions and new empirical approaches to testing support for these distinctions.</w:t>
      </w:r>
      <w:r w:rsidRPr="72194056" w:rsidR="72194056">
        <w:rPr>
          <w:rFonts w:ascii="Times New Roman" w:hAnsi="Times New Roman" w:eastAsia="Times New Roman" w:cs="Times New Roman"/>
          <w:b w:val="0"/>
          <w:bCs w:val="0"/>
          <w:i w:val="0"/>
          <w:iCs w:val="0"/>
          <w:caps w:val="0"/>
          <w:smallCaps w:val="0"/>
          <w:noProof w:val="0"/>
          <w:color w:val="auto"/>
          <w:sz w:val="22"/>
          <w:szCs w:val="22"/>
          <w:lang w:val="en-US"/>
        </w:rPr>
        <w:t xml:space="preserve"> </w:t>
      </w:r>
      <w:r w:rsidRPr="72194056" w:rsidR="72194056">
        <w:rPr>
          <w:rFonts w:ascii="Times New Roman" w:hAnsi="Times New Roman" w:eastAsia="Times New Roman" w:cs="Times New Roman"/>
          <w:noProof w:val="0"/>
          <w:color w:val="auto"/>
          <w:sz w:val="22"/>
          <w:szCs w:val="22"/>
          <w:lang w:val="en-US"/>
        </w:rPr>
        <w:t xml:space="preserve"> Finally, according to Samul in his paper he commented that we being spiritual leaders </w:t>
      </w:r>
      <w:r w:rsidRPr="72194056" w:rsidR="72194056">
        <w:rPr>
          <w:rFonts w:ascii="Times New Roman" w:hAnsi="Times New Roman" w:eastAsia="Times New Roman" w:cs="Times New Roman"/>
          <w:noProof w:val="0"/>
          <w:color w:val="auto"/>
          <w:sz w:val="22"/>
          <w:szCs w:val="22"/>
          <w:lang w:val="en-US"/>
        </w:rPr>
        <w:t>don’t</w:t>
      </w:r>
      <w:r w:rsidRPr="72194056" w:rsidR="72194056">
        <w:rPr>
          <w:rFonts w:ascii="Times New Roman" w:hAnsi="Times New Roman" w:eastAsia="Times New Roman" w:cs="Times New Roman"/>
          <w:noProof w:val="0"/>
          <w:color w:val="auto"/>
          <w:sz w:val="22"/>
          <w:szCs w:val="22"/>
          <w:lang w:val="en-US"/>
        </w:rPr>
        <w:t xml:space="preserve"> need to change who people are, quoted “Spiritual leadership </w:t>
      </w:r>
      <w:r w:rsidRPr="72194056" w:rsidR="72194056">
        <w:rPr>
          <w:rFonts w:ascii="Times New Roman" w:hAnsi="Times New Roman" w:eastAsia="Times New Roman" w:cs="Times New Roman"/>
          <w:noProof w:val="0"/>
          <w:color w:val="auto"/>
          <w:sz w:val="22"/>
          <w:szCs w:val="22"/>
          <w:lang w:val="en-US"/>
        </w:rPr>
        <w:t>seems to be</w:t>
      </w:r>
      <w:r w:rsidRPr="72194056" w:rsidR="72194056">
        <w:rPr>
          <w:rFonts w:ascii="Times New Roman" w:hAnsi="Times New Roman" w:eastAsia="Times New Roman" w:cs="Times New Roman"/>
          <w:noProof w:val="0"/>
          <w:color w:val="auto"/>
          <w:sz w:val="22"/>
          <w:szCs w:val="22"/>
          <w:lang w:val="en-US"/>
        </w:rPr>
        <w:t xml:space="preserve"> a holistic view when compared with other theories. This concerns not only a single trait, behavior, or skill, or contextual factors like </w:t>
      </w:r>
      <w:r w:rsidRPr="72194056" w:rsidR="72194056">
        <w:rPr>
          <w:rFonts w:ascii="Times New Roman" w:hAnsi="Times New Roman" w:eastAsia="Times New Roman" w:cs="Times New Roman"/>
          <w:noProof w:val="0"/>
          <w:color w:val="auto"/>
          <w:sz w:val="22"/>
          <w:szCs w:val="22"/>
          <w:lang w:val="en-US"/>
        </w:rPr>
        <w:t>previous</w:t>
      </w:r>
      <w:r w:rsidRPr="72194056" w:rsidR="72194056">
        <w:rPr>
          <w:rFonts w:ascii="Times New Roman" w:hAnsi="Times New Roman" w:eastAsia="Times New Roman" w:cs="Times New Roman"/>
          <w:noProof w:val="0"/>
          <w:color w:val="auto"/>
          <w:sz w:val="22"/>
          <w:szCs w:val="22"/>
          <w:lang w:val="en-US"/>
        </w:rPr>
        <w:t xml:space="preserve"> theories. Spirituality in leadership focuses on proceeding </w:t>
      </w:r>
      <w:r w:rsidRPr="72194056" w:rsidR="72194056">
        <w:rPr>
          <w:rFonts w:ascii="Times New Roman" w:hAnsi="Times New Roman" w:eastAsia="Times New Roman" w:cs="Times New Roman"/>
          <w:noProof w:val="0"/>
          <w:color w:val="auto"/>
          <w:sz w:val="22"/>
          <w:szCs w:val="22"/>
          <w:lang w:val="en-US"/>
        </w:rPr>
        <w:t>in accordance with</w:t>
      </w:r>
      <w:r w:rsidRPr="72194056" w:rsidR="72194056">
        <w:rPr>
          <w:rFonts w:ascii="Times New Roman" w:hAnsi="Times New Roman" w:eastAsia="Times New Roman" w:cs="Times New Roman"/>
          <w:noProof w:val="0"/>
          <w:color w:val="auto"/>
          <w:sz w:val="22"/>
          <w:szCs w:val="22"/>
          <w:lang w:val="en-US"/>
        </w:rPr>
        <w:t xml:space="preserve"> universal values such as honesty, integrity, love, compassion, gratefulness that have an impact on a leader’s traits, behaviors, attitudes, and abilities. spiritual values are needed for taking responsible and ethical meaning sustainable activities</w:t>
      </w:r>
      <w:r w:rsidRPr="72194056" w:rsidR="72194056">
        <w:rPr>
          <w:rFonts w:ascii="Times New Roman" w:hAnsi="Times New Roman" w:eastAsia="Times New Roman" w:cs="Times New Roman"/>
          <w:noProof w:val="0"/>
          <w:color w:val="auto"/>
          <w:sz w:val="22"/>
          <w:szCs w:val="22"/>
          <w:lang w:val="en-US"/>
        </w:rPr>
        <w:t>”.</w:t>
      </w:r>
      <w:r w:rsidRPr="72194056" w:rsidR="72194056">
        <w:rPr>
          <w:rFonts w:ascii="Times New Roman" w:hAnsi="Times New Roman" w:eastAsia="Times New Roman" w:cs="Times New Roman"/>
          <w:noProof w:val="0"/>
          <w:color w:val="auto"/>
          <w:sz w:val="22"/>
          <w:szCs w:val="22"/>
          <w:lang w:val="en-US"/>
        </w:rPr>
        <w:t xml:space="preserve"> And so, it may mean that following these values </w:t>
      </w:r>
      <w:r w:rsidRPr="72194056" w:rsidR="72194056">
        <w:rPr>
          <w:rFonts w:ascii="Times New Roman" w:hAnsi="Times New Roman" w:eastAsia="Times New Roman" w:cs="Times New Roman"/>
          <w:noProof w:val="0"/>
          <w:color w:val="auto"/>
          <w:sz w:val="22"/>
          <w:szCs w:val="22"/>
          <w:lang w:val="en-US"/>
        </w:rPr>
        <w:t>determines</w:t>
      </w:r>
      <w:r w:rsidRPr="72194056" w:rsidR="72194056">
        <w:rPr>
          <w:rFonts w:ascii="Times New Roman" w:hAnsi="Times New Roman" w:eastAsia="Times New Roman" w:cs="Times New Roman"/>
          <w:noProof w:val="0"/>
          <w:color w:val="auto"/>
          <w:sz w:val="22"/>
          <w:szCs w:val="22"/>
          <w:lang w:val="en-US"/>
        </w:rPr>
        <w:t xml:space="preserve"> what we think, and who we are, what we do, and how we manage the learning process of adult learners. Spiritual leaders are successful because they do not need to change themselves or other people, situations, and organizations but they go with the flow so long as they have a successful result that transforms lives. Not to forget about the barriers that adult learners face, </w:t>
      </w:r>
      <w:r w:rsidRPr="72194056" w:rsidR="72194056">
        <w:rPr>
          <w:rFonts w:ascii="Times New Roman" w:hAnsi="Times New Roman" w:eastAsia="Times New Roman" w:cs="Times New Roman"/>
          <w:b w:val="1"/>
          <w:bCs w:val="1"/>
          <w:i w:val="1"/>
          <w:iCs w:val="1"/>
          <w:caps w:val="0"/>
          <w:smallCaps w:val="0"/>
          <w:strike w:val="0"/>
          <w:dstrike w:val="0"/>
          <w:noProof w:val="0"/>
          <w:color w:val="auto"/>
          <w:sz w:val="22"/>
          <w:szCs w:val="22"/>
          <w:u w:val="none"/>
          <w:lang w:val="en-US"/>
        </w:rPr>
        <w:t xml:space="preserve">Courtney </w:t>
      </w:r>
      <w:r w:rsidRPr="72194056" w:rsidR="72194056">
        <w:rPr>
          <w:rFonts w:ascii="Times New Roman" w:hAnsi="Times New Roman" w:eastAsia="Times New Roman" w:cs="Times New Roman"/>
          <w:b w:val="0"/>
          <w:bCs w:val="0"/>
          <w:i w:val="0"/>
          <w:iCs w:val="0"/>
          <w:caps w:val="0"/>
          <w:smallCaps w:val="0"/>
          <w:noProof w:val="0"/>
          <w:color w:val="auto"/>
          <w:sz w:val="22"/>
          <w:szCs w:val="22"/>
          <w:lang w:val="en-US"/>
        </w:rPr>
        <w:t>stated</w:t>
      </w:r>
      <w:r w:rsidRPr="72194056" w:rsidR="72194056">
        <w:rPr>
          <w:rFonts w:ascii="Times New Roman" w:hAnsi="Times New Roman" w:eastAsia="Times New Roman" w:cs="Times New Roman"/>
          <w:b w:val="0"/>
          <w:bCs w:val="0"/>
          <w:i w:val="0"/>
          <w:iCs w:val="0"/>
          <w:caps w:val="0"/>
          <w:smallCaps w:val="0"/>
          <w:noProof w:val="0"/>
          <w:color w:val="auto"/>
          <w:sz w:val="22"/>
          <w:szCs w:val="22"/>
          <w:lang w:val="en-US"/>
        </w:rPr>
        <w:t xml:space="preserve"> in his paper that adult learners often face barriers as they </w:t>
      </w:r>
      <w:r w:rsidRPr="72194056" w:rsidR="72194056">
        <w:rPr>
          <w:rFonts w:ascii="Times New Roman" w:hAnsi="Times New Roman" w:eastAsia="Times New Roman" w:cs="Times New Roman"/>
          <w:b w:val="0"/>
          <w:bCs w:val="0"/>
          <w:i w:val="0"/>
          <w:iCs w:val="0"/>
          <w:caps w:val="0"/>
          <w:smallCaps w:val="0"/>
          <w:noProof w:val="0"/>
          <w:color w:val="auto"/>
          <w:sz w:val="22"/>
          <w:szCs w:val="22"/>
          <w:lang w:val="en-US"/>
        </w:rPr>
        <w:t>attempt</w:t>
      </w:r>
      <w:r w:rsidRPr="72194056" w:rsidR="72194056">
        <w:rPr>
          <w:rFonts w:ascii="Times New Roman" w:hAnsi="Times New Roman" w:eastAsia="Times New Roman" w:cs="Times New Roman"/>
          <w:b w:val="0"/>
          <w:bCs w:val="0"/>
          <w:i w:val="0"/>
          <w:iCs w:val="0"/>
          <w:caps w:val="0"/>
          <w:smallCaps w:val="0"/>
          <w:noProof w:val="0"/>
          <w:color w:val="auto"/>
          <w:sz w:val="22"/>
          <w:szCs w:val="22"/>
          <w:lang w:val="en-US"/>
        </w:rPr>
        <w:t xml:space="preserve"> to enroll in postsecondary education, many barriers for adult students stem from their responsibilities outside of the classroom, such as childcare, work, and barriers that stem from institutional polices. </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 xml:space="preserve">courses have often been touted as the ideal way to </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facilitate</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 xml:space="preserve"> learning as they allow learners to interact in both face-to-face and online settings, thereby experiencing the “best of both worlds.” In practice, that ideal learning setting is more difficult to achieve. While blended courses have the potential to integrate the most beneficial aspects of each modality, such course design requires diligence to successfully navigate a balance and ensure the </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optimal</w:t>
      </w:r>
      <w:r w:rsidRPr="72194056" w:rsidR="72194056">
        <w:rPr>
          <w:rFonts w:ascii="Times New Roman" w:hAnsi="Times New Roman" w:eastAsia="Times New Roman" w:cs="Times New Roman"/>
          <w:b w:val="0"/>
          <w:bCs w:val="0"/>
          <w:i w:val="0"/>
          <w:iCs w:val="0"/>
          <w:caps w:val="0"/>
          <w:smallCaps w:val="0"/>
          <w:noProof w:val="0"/>
          <w:color w:val="333333"/>
          <w:sz w:val="22"/>
          <w:szCs w:val="22"/>
          <w:lang w:val="en-US"/>
        </w:rPr>
        <w:t xml:space="preserve"> delivery mode is considered for each learning scenario</w:t>
      </w:r>
      <w:r w:rsidRPr="72194056" w:rsidR="72194056">
        <w:rPr>
          <w:rFonts w:ascii="Times New Roman" w:hAnsi="Times New Roman" w:eastAsia="Times New Roman" w:cs="Times New Roman"/>
          <w:b w:val="0"/>
          <w:bCs w:val="0"/>
          <w:i w:val="0"/>
          <w:iCs w:val="0"/>
          <w:caps w:val="0"/>
          <w:smallCaps w:val="0"/>
          <w:noProof w:val="0"/>
          <w:color w:val="333333"/>
          <w:sz w:val="24"/>
          <w:szCs w:val="24"/>
          <w:lang w:val="en-US"/>
        </w:rPr>
        <w:t>.</w:t>
      </w:r>
      <w:r w:rsidRPr="72194056" w:rsidR="72194056">
        <w:rPr>
          <w:rFonts w:ascii="Times New Roman" w:hAnsi="Times New Roman" w:eastAsia="Times New Roman" w:cs="Times New Roman"/>
          <w:b w:val="0"/>
          <w:bCs w:val="0"/>
          <w:i w:val="0"/>
          <w:iCs w:val="0"/>
          <w:caps w:val="0"/>
          <w:smallCaps w:val="0"/>
          <w:noProof w:val="0"/>
          <w:color w:val="333333"/>
          <w:sz w:val="24"/>
          <w:szCs w:val="24"/>
          <w:lang w:val="en-US"/>
        </w:rPr>
        <w:t xml:space="preserve"> The way to encourage them to carry on with no drops out is to encourage the self-directed means of reaching their goal as I stated earlier. This is exactly where Omega graduate school stands, and personally I felt encouraged when I realized the program is self-directed to match my interests in education in ministry of self-concept and social transformation.</w:t>
      </w:r>
    </w:p>
    <w:p w:rsidR="72194056" w:rsidP="72194056" w:rsidRDefault="72194056" w14:paraId="3C8B75C1" w14:textId="52BB3E60">
      <w:pPr>
        <w:jc w:val="center"/>
        <w:rPr>
          <w:rFonts w:ascii="Times New Roman" w:hAnsi="Times New Roman" w:eastAsia="Times New Roman" w:cs="Times New Roman"/>
          <w:noProof w:val="0"/>
          <w:sz w:val="22"/>
          <w:szCs w:val="22"/>
          <w:lang w:val="en-US"/>
        </w:rPr>
      </w:pPr>
      <w:r w:rsidRPr="72194056" w:rsidR="72194056">
        <w:rPr>
          <w:rFonts w:ascii="Times New Roman" w:hAnsi="Times New Roman" w:eastAsia="Times New Roman" w:cs="Times New Roman"/>
          <w:noProof w:val="0"/>
          <w:sz w:val="22"/>
          <w:szCs w:val="22"/>
          <w:lang w:val="en-US"/>
        </w:rPr>
        <w:t>WORKS CITED</w:t>
      </w:r>
      <w:r w:rsidRPr="72194056" w:rsidR="72194056">
        <w:rPr>
          <w:rFonts w:ascii="Times New Roman" w:hAnsi="Times New Roman" w:eastAsia="Times New Roman" w:cs="Times New Roman"/>
          <w:noProof w:val="0"/>
          <w:sz w:val="22"/>
          <w:szCs w:val="22"/>
          <w:lang w:val="en-US"/>
        </w:rPr>
        <w:t xml:space="preserve"> </w:t>
      </w:r>
    </w:p>
    <w:p w:rsidR="72194056" w:rsidP="72194056" w:rsidRDefault="72194056" w14:paraId="1EB265EF" w14:textId="6DE4698D">
      <w:pPr>
        <w:pStyle w:val="ListParagraph"/>
        <w:numPr>
          <w:ilvl w:val="0"/>
          <w:numId w:val="3"/>
        </w:numPr>
        <w:jc w:val="left"/>
        <w:rPr>
          <w:rFonts w:ascii="Calibri" w:hAnsi="Calibri" w:eastAsia="Calibri" w:cs="Calibri" w:asciiTheme="minorAscii" w:hAnsiTheme="minorAscii" w:eastAsiaTheme="minorAscii" w:cstheme="minorAscii"/>
          <w:noProof w:val="0"/>
          <w:sz w:val="22"/>
          <w:szCs w:val="22"/>
          <w:lang w:val="en-US"/>
        </w:rPr>
      </w:pP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Karmelita, C. (2020). Advising adult learners during the transition to college.</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222222"/>
          <w:sz w:val="22"/>
          <w:szCs w:val="22"/>
          <w:lang w:val="en-US"/>
        </w:rPr>
        <w:t>NACADA Journal</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222222"/>
          <w:sz w:val="22"/>
          <w:szCs w:val="22"/>
          <w:lang w:val="en-US"/>
        </w:rPr>
        <w:t>40</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(1), 64-79.</w:t>
      </w:r>
    </w:p>
    <w:p w:rsidR="72194056" w:rsidP="72194056" w:rsidRDefault="72194056" w14:paraId="52A5C4AC" w14:textId="5F1AAEAE">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pP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Cai, L. (2021).</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xml:space="preserve">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0A2535"/>
          <w:sz w:val="22"/>
          <w:szCs w:val="22"/>
          <w:lang w:val="en-US"/>
        </w:rPr>
        <w:t>Gear-Shifting Leadership</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CRC Press.</w:t>
      </w:r>
    </w:p>
    <w:p w:rsidR="72194056" w:rsidP="72194056" w:rsidRDefault="72194056" w14:paraId="33AD8829" w14:textId="5F85F1CA">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Cheng, X., Pellegrini, M., Zhou, L., &amp; Cheung, A. C. (2020). Not only survival but stronger: The impact of alarming invader of SARS-CoV-2 on global education.</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222222"/>
          <w:sz w:val="22"/>
          <w:szCs w:val="22"/>
          <w:lang w:val="en-US"/>
        </w:rPr>
        <w:t>Science Insights Education Frontiers</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222222"/>
          <w:sz w:val="22"/>
          <w:szCs w:val="22"/>
          <w:lang w:val="en-US"/>
        </w:rPr>
        <w:t>7</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(2), 835-860.</w:t>
      </w:r>
    </w:p>
    <w:p w:rsidR="72194056" w:rsidP="72194056" w:rsidRDefault="72194056" w14:paraId="180AED3C" w14:textId="5662C679">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noProof w:val="0"/>
          <w:sz w:val="22"/>
          <w:szCs w:val="22"/>
          <w:lang w:val="en-US"/>
        </w:rPr>
      </w:pP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A2A2A"/>
          <w:sz w:val="22"/>
          <w:szCs w:val="22"/>
          <w:lang w:val="en-US"/>
        </w:rPr>
        <w:t xml:space="preserve">Enneking, K. M., Breitenstein, G. R., Coleman, A. F., Reeves, J. H., Wang, Y., &amp; Grove, N. P. (2019). The Evaluation of a Hybrid, General Chemistry Laboratory Curriculum: Impact on Students’ Cognitive, Affective, and Psychomotor Learning.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2A2A2A"/>
          <w:sz w:val="22"/>
          <w:szCs w:val="22"/>
          <w:lang w:val="en-US"/>
        </w:rPr>
        <w:t>Journal of Chemical Education</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2A2A2A"/>
          <w:sz w:val="22"/>
          <w:szCs w:val="22"/>
          <w:lang w:val="en-US"/>
        </w:rPr>
        <w:t xml:space="preserve">, 96(6), 1058-1067. </w:t>
      </w:r>
      <w:hyperlink r:id="Rc36bae97d8264b99">
        <w:r w:rsidRPr="72194056" w:rsidR="72194056">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https://doi.org/10.1021/acs.jchemed.8b00637</w:t>
        </w:r>
      </w:hyperlink>
    </w:p>
    <w:p w:rsidR="72194056" w:rsidP="72194056" w:rsidRDefault="72194056" w14:paraId="0F8C7673" w14:textId="0187425E">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sz w:val="22"/>
          <w:szCs w:val="22"/>
        </w:rPr>
      </w:pP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Enneking, K. M., Breitenstein, G. R., Coleman, A. F., Reeves, J. H., Wang, Y., &amp; Grove, N. P. (2019). The Evaluation of a Hybrid, General Chemistry Laboratory Curriculum: Impact on Students’ Cognitive, Affective, and Psychomotor Learning.</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xml:space="preserve">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0A2535"/>
          <w:sz w:val="22"/>
          <w:szCs w:val="22"/>
          <w:lang w:val="en-US"/>
        </w:rPr>
        <w:t>Journal of Chemical Education</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xml:space="preserve">, 96(6), 1058-1067. </w:t>
      </w:r>
      <w:hyperlink r:id="Re6c6074769c6440c">
        <w:r w:rsidRPr="72194056" w:rsidR="72194056">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https://doi.org/10.1021/acs.jchemed.8b00637</w:t>
        </w:r>
      </w:hyperlink>
    </w:p>
    <w:p w:rsidR="72194056" w:rsidP="72194056" w:rsidRDefault="72194056" w14:paraId="4A4B7265" w14:textId="6A7643DF">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pP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Hycy</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B. P., &amp; Chunn, P. G. (2021).</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xml:space="preserve">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0A2535"/>
          <w:sz w:val="22"/>
          <w:szCs w:val="22"/>
          <w:lang w:val="en-US"/>
        </w:rPr>
        <w:t>Redefining Teacher Education and Teacher Preparation Programs in the Post-COVID-19 Era</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IGI Global.</w:t>
      </w:r>
    </w:p>
    <w:p w:rsidR="72194056" w:rsidP="72194056" w:rsidRDefault="72194056" w14:paraId="290CD87C" w14:textId="17FCCC60">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pP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xml:space="preserve">McKenna, K., Gupta, K., Kaiser, L., Lopes, T., &amp; </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Zarestky</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xml:space="preserve">, J. (2020). Blended Learning: Balancing the Best of Both Worlds for Adult Learners. Adult Learning, 31(4), 139–149. </w:t>
      </w:r>
      <w:hyperlink r:id="R626215ad11af49c2">
        <w:r w:rsidRPr="72194056" w:rsidR="72194056">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https://doi.org/10.1177/1045159519891997</w:t>
        </w:r>
      </w:hyperlink>
    </w:p>
    <w:p w:rsidR="72194056" w:rsidP="72194056" w:rsidRDefault="72194056" w14:paraId="11F457FD" w14:textId="6F057D59">
      <w:pPr>
        <w:pStyle w:val="ListParagraph"/>
        <w:numPr>
          <w:ilvl w:val="0"/>
          <w:numId w:val="3"/>
        </w:numPr>
        <w:spacing w:before="0" w:beforeAutospacing="off" w:after="0" w:afterAutospacing="off"/>
        <w:rPr>
          <w:rFonts w:ascii="Calibri" w:hAnsi="Calibri" w:eastAsia="Calibri" w:cs="Calibri" w:asciiTheme="minorAscii" w:hAnsiTheme="minorAscii" w:eastAsiaTheme="minorAscii" w:cstheme="minorAscii"/>
          <w:sz w:val="22"/>
          <w:szCs w:val="22"/>
        </w:rPr>
      </w:pP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Samul, J. (2019). Spiritual Leadership: Meaning in the Sustainable Workplace.</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xml:space="preserve"> </w:t>
      </w:r>
      <w:r w:rsidRPr="72194056" w:rsidR="72194056">
        <w:rPr>
          <w:rFonts w:ascii="Calibri" w:hAnsi="Calibri" w:eastAsia="Calibri" w:cs="Calibri" w:asciiTheme="minorAscii" w:hAnsiTheme="minorAscii" w:eastAsiaTheme="minorAscii" w:cstheme="minorAscii"/>
          <w:b w:val="0"/>
          <w:bCs w:val="0"/>
          <w:i w:val="1"/>
          <w:iCs w:val="1"/>
          <w:caps w:val="0"/>
          <w:smallCaps w:val="0"/>
          <w:noProof w:val="0"/>
          <w:color w:val="0A2535"/>
          <w:sz w:val="22"/>
          <w:szCs w:val="22"/>
          <w:lang w:val="en-US"/>
        </w:rPr>
        <w:t>Sustainability</w:t>
      </w:r>
      <w:r w:rsidRPr="72194056" w:rsidR="72194056">
        <w:rPr>
          <w:rFonts w:ascii="Calibri" w:hAnsi="Calibri" w:eastAsia="Calibri" w:cs="Calibri" w:asciiTheme="minorAscii" w:hAnsiTheme="minorAscii" w:eastAsiaTheme="minorAscii" w:cstheme="minorAscii"/>
          <w:b w:val="0"/>
          <w:bCs w:val="0"/>
          <w:i w:val="0"/>
          <w:iCs w:val="0"/>
          <w:caps w:val="0"/>
          <w:smallCaps w:val="0"/>
          <w:noProof w:val="0"/>
          <w:color w:val="0A2535"/>
          <w:sz w:val="22"/>
          <w:szCs w:val="22"/>
          <w:lang w:val="en-US"/>
        </w:rPr>
        <w:t xml:space="preserve">, 12(1), 267. </w:t>
      </w:r>
      <w:hyperlink r:id="Ra6de1fcce11b4b8e">
        <w:r w:rsidRPr="72194056" w:rsidR="72194056">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https://doi.org/10.3390/su12010267</w:t>
        </w:r>
      </w:hyperlink>
    </w:p>
    <w:p w:rsidR="72194056" w:rsidP="72194056" w:rsidRDefault="72194056" w14:paraId="7F3D4270" w14:textId="0A3C3C93">
      <w:pPr>
        <w:pStyle w:val="ListParagraph"/>
        <w:numPr>
          <w:ilvl w:val="0"/>
          <w:numId w:val="3"/>
        </w:numPr>
        <w:jc w:val="left"/>
        <w:rPr>
          <w:rFonts w:ascii="Calibri" w:hAnsi="Calibri" w:eastAsia="Calibri" w:cs="Calibri" w:asciiTheme="minorAscii" w:hAnsiTheme="minorAscii" w:eastAsiaTheme="minorAscii" w:cstheme="minorAscii"/>
          <w:sz w:val="22"/>
          <w:szCs w:val="22"/>
        </w:rPr>
      </w:pPr>
      <w:r w:rsidRPr="72194056" w:rsidR="72194056">
        <w:rPr>
          <w:rFonts w:ascii="Calibri" w:hAnsi="Calibri" w:eastAsia="Calibri" w:cs="Calibri" w:asciiTheme="minorAscii" w:hAnsiTheme="minorAscii" w:eastAsiaTheme="minorAscii" w:cstheme="minorAscii"/>
          <w:sz w:val="22"/>
          <w:szCs w:val="22"/>
        </w:rPr>
        <w:t xml:space="preserve">Walter, P. (2019). Innovations in Teaching Adult Education: Living History Museums and Transformative Learning in the University Classroom. Adult Learning, 30(3), 121–127. </w:t>
      </w:r>
      <w:hyperlink r:id="R49f8ceec4f2b4329">
        <w:r w:rsidRPr="72194056" w:rsidR="72194056">
          <w:rPr>
            <w:rStyle w:val="Hyperlink"/>
            <w:rFonts w:ascii="Calibri" w:hAnsi="Calibri" w:eastAsia="Calibri" w:cs="Calibri" w:asciiTheme="minorAscii" w:hAnsiTheme="minorAscii" w:eastAsiaTheme="minorAscii" w:cstheme="minorAscii"/>
            <w:sz w:val="22"/>
            <w:szCs w:val="22"/>
          </w:rPr>
          <w:t>https://doi.org/10.1177/1045159519826074</w:t>
        </w:r>
      </w:hyperlink>
    </w:p>
    <w:p w:rsidR="72194056" w:rsidP="72194056" w:rsidRDefault="72194056" w14:paraId="0BA528A1" w14:textId="25D60FD9">
      <w:pPr>
        <w:pStyle w:val="Normal"/>
        <w:rPr>
          <w:rFonts w:ascii="Arial" w:hAnsi="Arial" w:eastAsia="Arial" w:cs="Arial"/>
          <w:b w:val="0"/>
          <w:bCs w:val="0"/>
          <w:i w:val="0"/>
          <w:iCs w:val="0"/>
          <w:caps w:val="0"/>
          <w:smallCaps w:val="0"/>
          <w:noProof w:val="0"/>
          <w:color w:val="2A2A2A"/>
          <w:sz w:val="22"/>
          <w:szCs w:val="22"/>
          <w:lang w:val="en-US"/>
        </w:rPr>
      </w:pPr>
    </w:p>
    <w:sectPr>
      <w:pgSz w:w="12240" w:h="15840" w:orient="portrait"/>
      <w:pgMar w:top="1440" w:right="1440" w:bottom="1440" w:left="1440" w:header="720" w:footer="720" w:gutter="0"/>
      <w:cols w:space="720"/>
      <w:docGrid w:linePitch="360"/>
      <w:headerReference w:type="default" r:id="R5e685f3f37a44f0c"/>
      <w:footerReference w:type="default" r:id="Ra38c3550c1754d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194056" w:rsidTr="72194056" w14:paraId="4DB4247C">
      <w:trPr>
        <w:trHeight w:val="300"/>
      </w:trPr>
      <w:tc>
        <w:tcPr>
          <w:tcW w:w="3120" w:type="dxa"/>
          <w:tcMar/>
        </w:tcPr>
        <w:p w:rsidR="72194056" w:rsidP="72194056" w:rsidRDefault="72194056" w14:paraId="62202C68" w14:textId="7EB9B6A2">
          <w:pPr>
            <w:pStyle w:val="Header"/>
            <w:bidi w:val="0"/>
            <w:ind w:left="-115"/>
            <w:jc w:val="left"/>
          </w:pPr>
        </w:p>
      </w:tc>
      <w:tc>
        <w:tcPr>
          <w:tcW w:w="3120" w:type="dxa"/>
          <w:tcMar/>
        </w:tcPr>
        <w:p w:rsidR="72194056" w:rsidP="72194056" w:rsidRDefault="72194056" w14:paraId="5DEA4E77" w14:textId="60BBBB4B">
          <w:pPr>
            <w:pStyle w:val="Header"/>
            <w:bidi w:val="0"/>
            <w:jc w:val="center"/>
          </w:pPr>
        </w:p>
      </w:tc>
      <w:tc>
        <w:tcPr>
          <w:tcW w:w="3120" w:type="dxa"/>
          <w:tcMar/>
        </w:tcPr>
        <w:p w:rsidR="72194056" w:rsidP="72194056" w:rsidRDefault="72194056" w14:paraId="6AE85F53" w14:textId="56EDFAE7">
          <w:pPr>
            <w:pStyle w:val="Header"/>
            <w:bidi w:val="0"/>
            <w:ind w:right="-115"/>
            <w:jc w:val="right"/>
          </w:pPr>
        </w:p>
      </w:tc>
    </w:tr>
  </w:tbl>
  <w:p w:rsidR="72194056" w:rsidP="72194056" w:rsidRDefault="72194056" w14:paraId="51E19258" w14:textId="6C30B32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194056" w:rsidTr="72194056" w14:paraId="366B1C31">
      <w:trPr>
        <w:trHeight w:val="300"/>
      </w:trPr>
      <w:tc>
        <w:tcPr>
          <w:tcW w:w="3120" w:type="dxa"/>
          <w:tcMar/>
        </w:tcPr>
        <w:p w:rsidR="72194056" w:rsidP="72194056" w:rsidRDefault="72194056" w14:paraId="40E588DE" w14:textId="741F4705">
          <w:pPr>
            <w:pStyle w:val="Header"/>
            <w:bidi w:val="0"/>
            <w:ind w:left="-115"/>
            <w:jc w:val="left"/>
          </w:pPr>
        </w:p>
      </w:tc>
      <w:tc>
        <w:tcPr>
          <w:tcW w:w="3120" w:type="dxa"/>
          <w:tcMar/>
        </w:tcPr>
        <w:p w:rsidR="72194056" w:rsidP="72194056" w:rsidRDefault="72194056" w14:paraId="1F2DA231" w14:textId="2BA0F08F">
          <w:pPr>
            <w:pStyle w:val="Header"/>
            <w:bidi w:val="0"/>
            <w:jc w:val="center"/>
          </w:pPr>
        </w:p>
      </w:tc>
      <w:tc>
        <w:tcPr>
          <w:tcW w:w="3120" w:type="dxa"/>
          <w:tcMar/>
        </w:tcPr>
        <w:p w:rsidR="72194056" w:rsidP="72194056" w:rsidRDefault="72194056" w14:paraId="56AE2BB5" w14:textId="7F7C5684">
          <w:pPr>
            <w:pStyle w:val="Header"/>
            <w:bidi w:val="0"/>
            <w:ind w:right="-115"/>
            <w:jc w:val="right"/>
          </w:pPr>
          <w:r w:rsidR="72194056">
            <w:rPr/>
            <w:t>1</w:t>
          </w:r>
          <w:r>
            <w:fldChar w:fldCharType="begin"/>
          </w:r>
          <w:r>
            <w:instrText xml:space="preserve">PAGE</w:instrText>
          </w:r>
          <w:r>
            <w:fldChar w:fldCharType="separate"/>
          </w:r>
          <w:r>
            <w:fldChar w:fldCharType="end"/>
          </w:r>
        </w:p>
      </w:tc>
    </w:tr>
  </w:tbl>
  <w:p w:rsidR="72194056" w:rsidP="72194056" w:rsidRDefault="72194056" w14:paraId="4881E0CD" w14:textId="6FE0A400">
    <w:pPr>
      <w:pStyle w:val="Header"/>
      <w:bidi w:val="0"/>
    </w:pPr>
  </w:p>
</w:hdr>
</file>

<file path=word/intelligence2.xml><?xml version="1.0" encoding="utf-8"?>
<int2:intelligence xmlns:int2="http://schemas.microsoft.com/office/intelligence/2020/intelligence">
  <int2:observations>
    <int2:textHash int2:hashCode="7tIRXxgxfMrgF6" int2:id="giCLbsHL">
      <int2:state int2:type="AugLoop_Text_Critique" int2:value="Rejected"/>
    </int2:textHash>
    <int2:textHash int2:hashCode="v3c5VJjGjdS1Bm" int2:id="XrIcoX8x">
      <int2:state int2:type="AugLoop_Text_Critique" int2:value="Rejected"/>
    </int2:textHash>
    <int2:bookmark int2:bookmarkName="_Int_AaB4m1ZZ" int2:invalidationBookmarkName="" int2:hashCode="3wVcZpQj/aEI7R" int2:id="xxz5UBa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961a5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d62a05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906aa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6056DA"/>
    <w:rsid w:val="056056DA"/>
    <w:rsid w:val="7219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056DA"/>
  <w15:chartTrackingRefBased/>
  <w15:docId w15:val="{D056930B-59AD-4C1D-B873-4EF1AAED6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doi.org/10.1021/acs.jchemed.8b00637" TargetMode="External" Id="Rc36bae97d8264b99" /><Relationship Type="http://schemas.openxmlformats.org/officeDocument/2006/relationships/hyperlink" Target="https://doi.org/10.1021/acs.jchemed.8b00637" TargetMode="External" Id="Re6c6074769c6440c" /><Relationship Type="http://schemas.openxmlformats.org/officeDocument/2006/relationships/hyperlink" Target="https://doi.org/10.1177/1045159519891997" TargetMode="External" Id="R626215ad11af49c2" /><Relationship Type="http://schemas.openxmlformats.org/officeDocument/2006/relationships/hyperlink" Target="https://doi.org/10.3390/su12010267" TargetMode="External" Id="Ra6de1fcce11b4b8e" /><Relationship Type="http://schemas.openxmlformats.org/officeDocument/2006/relationships/hyperlink" Target="https://doi.org/10.1177/1045159519826074" TargetMode="External" Id="R49f8ceec4f2b4329" /><Relationship Type="http://schemas.openxmlformats.org/officeDocument/2006/relationships/header" Target="header.xml" Id="R5e685f3f37a44f0c" /><Relationship Type="http://schemas.openxmlformats.org/officeDocument/2006/relationships/footer" Target="footer.xml" Id="Ra38c3550c1754d69" /><Relationship Type="http://schemas.microsoft.com/office/2020/10/relationships/intelligence" Target="intelligence2.xml" Id="R5e2df3b3704e474a" /><Relationship Type="http://schemas.openxmlformats.org/officeDocument/2006/relationships/numbering" Target="numbering.xml" Id="R7c26e754f0e348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2023-08-15T03:19:02.1607514Z</dcterms:created>
  <dcterms:modified xsi:type="dcterms:W3CDTF">2023-08-15T05:37:24.8856386Z</dcterms:modified>
  <dc:creator>GRACE GODFREY</dc:creator>
  <lastModifiedBy>GRACE GODFREY</lastModifiedBy>
</coreProperties>
</file>