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6AF4" w:rsidRDefault="00786AF4" w:rsidP="00786AF4">
      <w:pPr>
        <w:pStyle w:val="APALevel1"/>
        <w:rPr>
          <w:b w:val="0"/>
          <w:bCs/>
          <w:caps w:val="0"/>
        </w:rPr>
      </w:pPr>
      <w:bookmarkStart w:id="0" w:name="_Toc120824766"/>
      <w:r>
        <w:t>CHAPTER 4: SUMMARY OF RESULTS</w:t>
      </w:r>
      <w:bookmarkStart w:id="1" w:name="_Toc120824768"/>
      <w:bookmarkEnd w:id="0"/>
    </w:p>
    <w:p w:rsidR="00786AF4" w:rsidRDefault="00786AF4" w:rsidP="00786AF4">
      <w:pPr>
        <w:pStyle w:val="APALevel1"/>
        <w:ind w:firstLine="720"/>
        <w:jc w:val="left"/>
        <w:rPr>
          <w:b w:val="0"/>
          <w:bCs/>
        </w:rPr>
      </w:pPr>
      <w:r w:rsidRPr="00375D51">
        <w:rPr>
          <w:b w:val="0"/>
          <w:bCs/>
          <w:caps w:val="0"/>
        </w:rPr>
        <w:t>American society is looking for answers to the problem of rac</w:t>
      </w:r>
      <w:r w:rsidR="008B2B17">
        <w:rPr>
          <w:b w:val="0"/>
          <w:bCs/>
          <w:caps w:val="0"/>
        </w:rPr>
        <w:t>ial division</w:t>
      </w:r>
      <w:r w:rsidRPr="00375D51">
        <w:rPr>
          <w:b w:val="0"/>
          <w:bCs/>
          <w:caps w:val="0"/>
        </w:rPr>
        <w:t xml:space="preserve">. God is calling </w:t>
      </w:r>
      <w:r>
        <w:rPr>
          <w:b w:val="0"/>
          <w:bCs/>
          <w:caps w:val="0"/>
        </w:rPr>
        <w:t xml:space="preserve">his body, </w:t>
      </w:r>
      <w:r w:rsidRPr="00375D51">
        <w:rPr>
          <w:b w:val="0"/>
          <w:bCs/>
          <w:caps w:val="0"/>
        </w:rPr>
        <w:t>the church</w:t>
      </w:r>
      <w:r>
        <w:rPr>
          <w:b w:val="0"/>
          <w:bCs/>
          <w:caps w:val="0"/>
        </w:rPr>
        <w:t>,</w:t>
      </w:r>
      <w:r w:rsidRPr="00375D51">
        <w:rPr>
          <w:b w:val="0"/>
          <w:bCs/>
          <w:caps w:val="0"/>
        </w:rPr>
        <w:t xml:space="preserve"> to courageously step outside its four walls to </w:t>
      </w:r>
      <w:r>
        <w:rPr>
          <w:b w:val="0"/>
          <w:bCs/>
          <w:caps w:val="0"/>
        </w:rPr>
        <w:t>oppose racism</w:t>
      </w:r>
      <w:r w:rsidRPr="00375D51">
        <w:rPr>
          <w:b w:val="0"/>
          <w:bCs/>
          <w:caps w:val="0"/>
        </w:rPr>
        <w:t xml:space="preserve"> in society</w:t>
      </w:r>
      <w:r w:rsidRPr="00375D51">
        <w:rPr>
          <w:b w:val="0"/>
          <w:bCs/>
        </w:rPr>
        <w:t xml:space="preserve"> (</w:t>
      </w:r>
      <w:proofErr w:type="spellStart"/>
      <w:r>
        <w:rPr>
          <w:b w:val="0"/>
          <w:bCs/>
          <w:caps w:val="0"/>
        </w:rPr>
        <w:t>T</w:t>
      </w:r>
      <w:r w:rsidRPr="00375D51">
        <w:rPr>
          <w:b w:val="0"/>
          <w:bCs/>
          <w:caps w:val="0"/>
        </w:rPr>
        <w:t>isby</w:t>
      </w:r>
      <w:proofErr w:type="spellEnd"/>
      <w:r w:rsidRPr="00375D51">
        <w:rPr>
          <w:b w:val="0"/>
          <w:bCs/>
        </w:rPr>
        <w:t xml:space="preserve">, 2020). </w:t>
      </w:r>
      <w:r w:rsidR="00216A47">
        <w:rPr>
          <w:b w:val="0"/>
          <w:bCs/>
          <w:caps w:val="0"/>
        </w:rPr>
        <w:t>Multiethnic</w:t>
      </w:r>
      <w:r w:rsidRPr="00375D51">
        <w:rPr>
          <w:b w:val="0"/>
          <w:bCs/>
          <w:caps w:val="0"/>
        </w:rPr>
        <w:t xml:space="preserve"> churches have the potential to address racism not only within their congregations but in broader society as well </w:t>
      </w:r>
      <w:r w:rsidRPr="00375D51">
        <w:rPr>
          <w:b w:val="0"/>
          <w:bCs/>
        </w:rPr>
        <w:t>(</w:t>
      </w:r>
      <w:r>
        <w:rPr>
          <w:b w:val="0"/>
          <w:bCs/>
          <w:caps w:val="0"/>
        </w:rPr>
        <w:t>D</w:t>
      </w:r>
      <w:r w:rsidRPr="00375D51">
        <w:rPr>
          <w:b w:val="0"/>
          <w:bCs/>
          <w:caps w:val="0"/>
        </w:rPr>
        <w:t>e</w:t>
      </w:r>
      <w:r>
        <w:rPr>
          <w:b w:val="0"/>
          <w:bCs/>
          <w:caps w:val="0"/>
        </w:rPr>
        <w:t>Y</w:t>
      </w:r>
      <w:r w:rsidRPr="00375D51">
        <w:rPr>
          <w:b w:val="0"/>
          <w:bCs/>
          <w:caps w:val="0"/>
        </w:rPr>
        <w:t xml:space="preserve">oung et al., 2004; </w:t>
      </w:r>
      <w:r>
        <w:rPr>
          <w:b w:val="0"/>
          <w:bCs/>
          <w:caps w:val="0"/>
        </w:rPr>
        <w:t>P</w:t>
      </w:r>
      <w:r w:rsidRPr="00375D51">
        <w:rPr>
          <w:b w:val="0"/>
          <w:bCs/>
          <w:caps w:val="0"/>
        </w:rPr>
        <w:t xml:space="preserve">olson &amp; </w:t>
      </w:r>
      <w:r>
        <w:rPr>
          <w:b w:val="0"/>
          <w:bCs/>
          <w:caps w:val="0"/>
        </w:rPr>
        <w:t>D</w:t>
      </w:r>
      <w:r w:rsidRPr="00375D51">
        <w:rPr>
          <w:b w:val="0"/>
          <w:bCs/>
          <w:caps w:val="0"/>
        </w:rPr>
        <w:t>ougherty, 2019)</w:t>
      </w:r>
      <w:r w:rsidRPr="00375D51">
        <w:rPr>
          <w:b w:val="0"/>
          <w:bCs/>
        </w:rPr>
        <w:t xml:space="preserve">. </w:t>
      </w:r>
      <w:r w:rsidRPr="00375D51">
        <w:rPr>
          <w:b w:val="0"/>
          <w:bCs/>
          <w:caps w:val="0"/>
        </w:rPr>
        <w:t xml:space="preserve">While </w:t>
      </w:r>
      <w:r w:rsidR="00216A47">
        <w:rPr>
          <w:b w:val="0"/>
          <w:bCs/>
          <w:caps w:val="0"/>
        </w:rPr>
        <w:t>multiethnic</w:t>
      </w:r>
      <w:r w:rsidRPr="00375D51">
        <w:rPr>
          <w:b w:val="0"/>
          <w:bCs/>
          <w:caps w:val="0"/>
        </w:rPr>
        <w:t xml:space="preserve"> churches continue to grow in number and have been a growing area of academic research, there is a lack of research </w:t>
      </w:r>
      <w:r>
        <w:rPr>
          <w:b w:val="0"/>
          <w:bCs/>
          <w:caps w:val="0"/>
        </w:rPr>
        <w:t>on</w:t>
      </w:r>
      <w:r w:rsidRPr="00375D51">
        <w:rPr>
          <w:b w:val="0"/>
          <w:bCs/>
          <w:caps w:val="0"/>
        </w:rPr>
        <w:t xml:space="preserve"> </w:t>
      </w:r>
      <w:r>
        <w:rPr>
          <w:b w:val="0"/>
          <w:bCs/>
          <w:caps w:val="0"/>
        </w:rPr>
        <w:t xml:space="preserve">the </w:t>
      </w:r>
      <w:r w:rsidRPr="00375D51">
        <w:rPr>
          <w:b w:val="0"/>
          <w:bCs/>
          <w:caps w:val="0"/>
        </w:rPr>
        <w:t xml:space="preserve">relationship between </w:t>
      </w:r>
      <w:r>
        <w:rPr>
          <w:b w:val="0"/>
          <w:bCs/>
          <w:caps w:val="0"/>
        </w:rPr>
        <w:t>CQ</w:t>
      </w:r>
      <w:r w:rsidRPr="00375D51">
        <w:rPr>
          <w:b w:val="0"/>
          <w:bCs/>
          <w:caps w:val="0"/>
        </w:rPr>
        <w:t xml:space="preserve"> and anti</w:t>
      </w:r>
      <w:r>
        <w:rPr>
          <w:b w:val="0"/>
          <w:bCs/>
          <w:caps w:val="0"/>
        </w:rPr>
        <w:t>-</w:t>
      </w:r>
      <w:r w:rsidRPr="00375D51">
        <w:rPr>
          <w:b w:val="0"/>
          <w:bCs/>
          <w:caps w:val="0"/>
        </w:rPr>
        <w:t xml:space="preserve">racism within </w:t>
      </w:r>
      <w:r w:rsidR="00216A47">
        <w:rPr>
          <w:b w:val="0"/>
          <w:bCs/>
          <w:caps w:val="0"/>
        </w:rPr>
        <w:t>multiethnic</w:t>
      </w:r>
      <w:r w:rsidRPr="00375D51">
        <w:rPr>
          <w:b w:val="0"/>
          <w:bCs/>
          <w:caps w:val="0"/>
        </w:rPr>
        <w:t xml:space="preserve"> churches. </w:t>
      </w:r>
      <w:r w:rsidRPr="00375D51">
        <w:rPr>
          <w:rFonts w:ascii="TimesNewRomanPSMT" w:hAnsi="TimesNewRomanPSMT"/>
          <w:b w:val="0"/>
          <w:bCs/>
          <w:caps w:val="0"/>
        </w:rPr>
        <w:t xml:space="preserve">The problem is that it </w:t>
      </w:r>
      <w:r>
        <w:rPr>
          <w:rFonts w:ascii="TimesNewRomanPSMT" w:hAnsi="TimesNewRomanPSMT"/>
          <w:b w:val="0"/>
          <w:bCs/>
          <w:caps w:val="0"/>
        </w:rPr>
        <w:t>i</w:t>
      </w:r>
      <w:r w:rsidRPr="00375D51">
        <w:rPr>
          <w:rFonts w:ascii="TimesNewRomanPSMT" w:hAnsi="TimesNewRomanPSMT"/>
          <w:b w:val="0"/>
          <w:bCs/>
          <w:caps w:val="0"/>
        </w:rPr>
        <w:t xml:space="preserve">s not known </w:t>
      </w:r>
      <w:r>
        <w:rPr>
          <w:rFonts w:ascii="TimesNewRomanPSMT" w:hAnsi="TimesNewRomanPSMT"/>
          <w:b w:val="0"/>
          <w:bCs/>
          <w:caps w:val="0"/>
        </w:rPr>
        <w:t>whether a relationship exists</w:t>
      </w:r>
      <w:r w:rsidRPr="00375D51">
        <w:rPr>
          <w:rFonts w:ascii="TimesNewRomanPSMT" w:hAnsi="TimesNewRomanPSMT"/>
          <w:b w:val="0"/>
          <w:bCs/>
          <w:caps w:val="0"/>
        </w:rPr>
        <w:t xml:space="preserve"> between</w:t>
      </w:r>
      <w:r w:rsidRPr="00375D51">
        <w:rPr>
          <w:rFonts w:ascii="TimesNewRomanPSMT" w:hAnsi="TimesNewRomanPSMT"/>
          <w:b w:val="0"/>
          <w:bCs/>
        </w:rPr>
        <w:t xml:space="preserve"> </w:t>
      </w:r>
      <w:r w:rsidRPr="00375D51">
        <w:rPr>
          <w:rFonts w:ascii="TimesNewRomanPSMT" w:hAnsi="TimesNewRomanPSMT"/>
          <w:b w:val="0"/>
          <w:bCs/>
          <w:caps w:val="0"/>
        </w:rPr>
        <w:t xml:space="preserve">multicultural church </w:t>
      </w:r>
      <w:r w:rsidR="000136DF">
        <w:rPr>
          <w:rFonts w:ascii="TimesNewRomanPSMT" w:hAnsi="TimesNewRomanPSMT"/>
          <w:b w:val="0"/>
          <w:bCs/>
          <w:caps w:val="0"/>
        </w:rPr>
        <w:t>attendees</w:t>
      </w:r>
      <w:r w:rsidR="000136DF">
        <w:rPr>
          <w:rFonts w:ascii="TimesNewRomanPSMT" w:hAnsi="TimesNewRomanPSMT" w:hint="eastAsia"/>
          <w:b w:val="0"/>
          <w:bCs/>
          <w:caps w:val="0"/>
        </w:rPr>
        <w:t>’</w:t>
      </w:r>
      <w:r w:rsidRPr="00375D51">
        <w:rPr>
          <w:rFonts w:ascii="TimesNewRomanPSMT" w:hAnsi="TimesNewRomanPSMT"/>
          <w:b w:val="0"/>
          <w:bCs/>
          <w:caps w:val="0"/>
        </w:rPr>
        <w:t xml:space="preserve"> cultural intelligence and response to racism.</w:t>
      </w:r>
      <w:r w:rsidRPr="00375D51">
        <w:rPr>
          <w:b w:val="0"/>
          <w:bCs/>
        </w:rPr>
        <w:t xml:space="preserve"> </w:t>
      </w:r>
      <w:r w:rsidRPr="00375D51">
        <w:rPr>
          <w:b w:val="0"/>
          <w:bCs/>
          <w:caps w:val="0"/>
        </w:rPr>
        <w:t xml:space="preserve">The purpose of the quantitative correlational research study </w:t>
      </w:r>
      <w:r>
        <w:rPr>
          <w:b w:val="0"/>
          <w:bCs/>
          <w:caps w:val="0"/>
        </w:rPr>
        <w:t>i</w:t>
      </w:r>
      <w:r w:rsidRPr="00375D51">
        <w:rPr>
          <w:b w:val="0"/>
          <w:bCs/>
          <w:caps w:val="0"/>
        </w:rPr>
        <w:t xml:space="preserve">s to evaluate, via </w:t>
      </w:r>
      <w:r>
        <w:rPr>
          <w:b w:val="0"/>
          <w:bCs/>
          <w:caps w:val="0"/>
        </w:rPr>
        <w:t xml:space="preserve">validated </w:t>
      </w:r>
      <w:r w:rsidRPr="00375D51">
        <w:rPr>
          <w:b w:val="0"/>
          <w:bCs/>
          <w:caps w:val="0"/>
        </w:rPr>
        <w:t xml:space="preserve">self-assessment </w:t>
      </w:r>
      <w:r>
        <w:rPr>
          <w:b w:val="0"/>
          <w:bCs/>
          <w:caps w:val="0"/>
        </w:rPr>
        <w:t>instruments</w:t>
      </w:r>
      <w:r w:rsidRPr="00375D51">
        <w:rPr>
          <w:b w:val="0"/>
          <w:bCs/>
          <w:caps w:val="0"/>
        </w:rPr>
        <w:t xml:space="preserve">, </w:t>
      </w:r>
      <w:r w:rsidR="00216A47">
        <w:rPr>
          <w:b w:val="0"/>
          <w:bCs/>
          <w:caps w:val="0"/>
        </w:rPr>
        <w:t>multiethnic</w:t>
      </w:r>
      <w:r w:rsidRPr="00375D51">
        <w:rPr>
          <w:b w:val="0"/>
          <w:bCs/>
          <w:caps w:val="0"/>
        </w:rPr>
        <w:t xml:space="preserve"> church </w:t>
      </w:r>
      <w:r w:rsidR="000136DF">
        <w:rPr>
          <w:b w:val="0"/>
          <w:bCs/>
          <w:caps w:val="0"/>
        </w:rPr>
        <w:t>attendees’</w:t>
      </w:r>
      <w:r w:rsidRPr="00375D51">
        <w:rPr>
          <w:b w:val="0"/>
          <w:bCs/>
          <w:caps w:val="0"/>
        </w:rPr>
        <w:t xml:space="preserve"> </w:t>
      </w:r>
      <w:r>
        <w:rPr>
          <w:b w:val="0"/>
          <w:bCs/>
          <w:caps w:val="0"/>
        </w:rPr>
        <w:t>CQ</w:t>
      </w:r>
      <w:r w:rsidRPr="00375D51">
        <w:rPr>
          <w:b w:val="0"/>
          <w:bCs/>
          <w:caps w:val="0"/>
        </w:rPr>
        <w:t>, anti-racism behaviors, and the potential relationship between the two.</w:t>
      </w:r>
      <w:r w:rsidRPr="00375D51">
        <w:rPr>
          <w:b w:val="0"/>
          <w:bCs/>
        </w:rPr>
        <w:t xml:space="preserve"> </w:t>
      </w:r>
    </w:p>
    <w:p w:rsidR="00786AF4" w:rsidRDefault="005C656B" w:rsidP="00786AF4">
      <w:pPr>
        <w:pStyle w:val="APALevel1"/>
        <w:ind w:firstLine="720"/>
        <w:jc w:val="left"/>
        <w:rPr>
          <w:rFonts w:ascii="TimesNewRomanPSMT" w:hAnsi="TimesNewRomanPSMT"/>
          <w:bCs/>
        </w:rPr>
      </w:pPr>
      <w:r>
        <w:rPr>
          <w:rFonts w:ascii="TimesNewRomanPSMT" w:hAnsi="TimesNewRomanPSMT"/>
          <w:b w:val="0"/>
          <w:bCs/>
          <w:caps w:val="0"/>
        </w:rPr>
        <w:t xml:space="preserve">The researcher </w:t>
      </w:r>
      <w:r w:rsidR="002150E8">
        <w:rPr>
          <w:rFonts w:ascii="TimesNewRomanPSMT" w:hAnsi="TimesNewRomanPSMT"/>
          <w:b w:val="0"/>
          <w:bCs/>
          <w:caps w:val="0"/>
        </w:rPr>
        <w:t>found</w:t>
      </w:r>
      <w:r>
        <w:rPr>
          <w:rFonts w:ascii="TimesNewRomanPSMT" w:hAnsi="TimesNewRomanPSMT"/>
          <w:b w:val="0"/>
          <w:bCs/>
          <w:caps w:val="0"/>
        </w:rPr>
        <w:t xml:space="preserve"> </w:t>
      </w:r>
      <w:r w:rsidR="00216A47">
        <w:rPr>
          <w:rFonts w:ascii="TimesNewRomanPSMT" w:hAnsi="TimesNewRomanPSMT"/>
          <w:b w:val="0"/>
          <w:bCs/>
          <w:caps w:val="0"/>
        </w:rPr>
        <w:t>multiethnic</w:t>
      </w:r>
      <w:r w:rsidR="00786AF4">
        <w:rPr>
          <w:rFonts w:ascii="TimesNewRomanPSMT" w:hAnsi="TimesNewRomanPSMT"/>
          <w:b w:val="0"/>
          <w:bCs/>
          <w:caps w:val="0"/>
        </w:rPr>
        <w:t xml:space="preserve"> church attendee </w:t>
      </w:r>
      <w:r w:rsidR="00786AF4" w:rsidRPr="009312EB">
        <w:rPr>
          <w:rFonts w:ascii="TimesNewRomanPSMT" w:hAnsi="TimesNewRomanPSMT"/>
          <w:b w:val="0"/>
          <w:caps w:val="0"/>
        </w:rPr>
        <w:t xml:space="preserve">demographic information, </w:t>
      </w:r>
      <w:r w:rsidR="00786AF4">
        <w:rPr>
          <w:rFonts w:ascii="TimesNewRomanPSMT" w:hAnsi="TimesNewRomanPSMT"/>
          <w:b w:val="0"/>
          <w:caps w:val="0"/>
        </w:rPr>
        <w:t>CQ</w:t>
      </w:r>
      <w:r w:rsidR="00786AF4" w:rsidRPr="009312EB">
        <w:rPr>
          <w:rFonts w:ascii="TimesNewRomanPSMT" w:hAnsi="TimesNewRomanPSMT"/>
          <w:b w:val="0"/>
          <w:caps w:val="0"/>
        </w:rPr>
        <w:t xml:space="preserve">, and </w:t>
      </w:r>
      <w:r w:rsidR="00786AF4">
        <w:rPr>
          <w:rFonts w:ascii="TimesNewRomanPSMT" w:hAnsi="TimesNewRomanPSMT"/>
          <w:b w:val="0"/>
          <w:caps w:val="0"/>
        </w:rPr>
        <w:t>anti-racism response scores</w:t>
      </w:r>
      <w:r w:rsidR="00786AF4" w:rsidRPr="009312EB">
        <w:rPr>
          <w:rFonts w:ascii="TimesNewRomanPSMT" w:hAnsi="TimesNewRomanPSMT"/>
          <w:b w:val="0"/>
          <w:caps w:val="0"/>
        </w:rPr>
        <w:t xml:space="preserve"> </w:t>
      </w:r>
      <w:r w:rsidR="00786AF4">
        <w:rPr>
          <w:rFonts w:ascii="TimesNewRomanPSMT" w:hAnsi="TimesNewRomanPSMT"/>
          <w:b w:val="0"/>
          <w:caps w:val="0"/>
        </w:rPr>
        <w:t>through</w:t>
      </w:r>
      <w:r w:rsidR="00786AF4" w:rsidRPr="009312EB">
        <w:rPr>
          <w:rFonts w:ascii="TimesNewRomanPSMT" w:hAnsi="TimesNewRomanPSMT"/>
          <w:b w:val="0"/>
          <w:caps w:val="0"/>
        </w:rPr>
        <w:t xml:space="preserve"> the data collection process. </w:t>
      </w:r>
      <w:r w:rsidR="004D0879">
        <w:rPr>
          <w:rFonts w:ascii="TimesNewRomanPSMT" w:hAnsi="TimesNewRomanPSMT"/>
          <w:b w:val="0"/>
          <w:caps w:val="0"/>
        </w:rPr>
        <w:t>The researcher used d</w:t>
      </w:r>
      <w:r w:rsidR="00786AF4" w:rsidRPr="009312EB">
        <w:rPr>
          <w:rFonts w:ascii="TimesNewRomanPSMT" w:hAnsi="TimesNewRomanPSMT"/>
          <w:b w:val="0"/>
          <w:caps w:val="0"/>
        </w:rPr>
        <w:t xml:space="preserve">escriptive statistics to summarize the analysis of data and results. </w:t>
      </w:r>
      <w:r w:rsidR="00C91B91">
        <w:rPr>
          <w:rFonts w:ascii="TimesNewRomanPSMT" w:hAnsi="TimesNewRomanPSMT"/>
          <w:b w:val="0"/>
          <w:caps w:val="0"/>
        </w:rPr>
        <w:t xml:space="preserve">A summary of the data collection protocol used in the research study is provided. </w:t>
      </w:r>
      <w:r w:rsidR="00786AF4" w:rsidRPr="009312EB">
        <w:rPr>
          <w:rFonts w:ascii="TimesNewRomanPSMT" w:hAnsi="TimesNewRomanPSMT"/>
          <w:b w:val="0"/>
          <w:caps w:val="0"/>
        </w:rPr>
        <w:t>The reliability and internal and external validity</w:t>
      </w:r>
      <w:r w:rsidR="00786AF4">
        <w:rPr>
          <w:rFonts w:ascii="TimesNewRomanPSMT" w:hAnsi="TimesNewRomanPSMT"/>
          <w:b w:val="0"/>
          <w:caps w:val="0"/>
        </w:rPr>
        <w:t xml:space="preserve"> measures are described</w:t>
      </w:r>
      <w:r w:rsidR="00786AF4" w:rsidRPr="009312EB">
        <w:rPr>
          <w:rFonts w:ascii="TimesNewRomanPSMT" w:hAnsi="TimesNewRomanPSMT"/>
          <w:b w:val="0"/>
        </w:rPr>
        <w:t>. A</w:t>
      </w:r>
      <w:r w:rsidR="00786AF4">
        <w:rPr>
          <w:rFonts w:ascii="TimesNewRomanPSMT" w:hAnsi="TimesNewRomanPSMT"/>
          <w:b w:val="0"/>
          <w:caps w:val="0"/>
        </w:rPr>
        <w:t>n</w:t>
      </w:r>
      <w:r w:rsidR="00786AF4" w:rsidRPr="009312EB">
        <w:rPr>
          <w:rFonts w:ascii="TimesNewRomanPSMT" w:hAnsi="TimesNewRomanPSMT"/>
          <w:b w:val="0"/>
          <w:caps w:val="0"/>
        </w:rPr>
        <w:t>alysis and discussion of the results and how the research question and hypotheses were addressed</w:t>
      </w:r>
      <w:r w:rsidR="00C91B91">
        <w:rPr>
          <w:rFonts w:ascii="TimesNewRomanPSMT" w:hAnsi="TimesNewRomanPSMT"/>
          <w:b w:val="0"/>
          <w:caps w:val="0"/>
        </w:rPr>
        <w:t xml:space="preserve"> </w:t>
      </w:r>
      <w:r w:rsidR="00786AF4" w:rsidRPr="009312EB">
        <w:rPr>
          <w:rFonts w:ascii="TimesNewRomanPSMT" w:hAnsi="TimesNewRomanPSMT"/>
          <w:b w:val="0"/>
          <w:caps w:val="0"/>
        </w:rPr>
        <w:t>are also provided.</w:t>
      </w:r>
      <w:r w:rsidR="00786AF4" w:rsidRPr="009312EB">
        <w:rPr>
          <w:rFonts w:ascii="TimesNewRomanPSMT" w:hAnsi="TimesNewRomanPSMT"/>
          <w:bCs/>
        </w:rPr>
        <w:t xml:space="preserve"> </w:t>
      </w:r>
    </w:p>
    <w:p w:rsidR="00786AF4" w:rsidRDefault="00786AF4" w:rsidP="00786AF4">
      <w:pPr>
        <w:pStyle w:val="APALevel1"/>
        <w:jc w:val="left"/>
        <w:rPr>
          <w:caps w:val="0"/>
        </w:rPr>
      </w:pPr>
      <w:r>
        <w:rPr>
          <w:caps w:val="0"/>
        </w:rPr>
        <w:t>Descriptions of the Sample</w:t>
      </w:r>
      <w:bookmarkEnd w:id="1"/>
    </w:p>
    <w:p w:rsidR="00786AF4" w:rsidRPr="00375D51" w:rsidRDefault="00786AF4" w:rsidP="00786AF4">
      <w:pPr>
        <w:pStyle w:val="APALevel1"/>
        <w:ind w:firstLine="720"/>
        <w:jc w:val="left"/>
        <w:rPr>
          <w:b w:val="0"/>
          <w:bCs/>
        </w:rPr>
      </w:pPr>
      <w:r w:rsidRPr="00771A96">
        <w:rPr>
          <w:b w:val="0"/>
          <w:caps w:val="0"/>
        </w:rPr>
        <w:t xml:space="preserve">The target population for the study was </w:t>
      </w:r>
      <w:r>
        <w:rPr>
          <w:b w:val="0"/>
          <w:caps w:val="0"/>
        </w:rPr>
        <w:t xml:space="preserve">multicultural church attendees in the District of Columbia, Maryland, North Carolina, and Virginia. Twelve churches agreed to participate in the study by offering their attendees an opportunity to complete the online survey. The link to the </w:t>
      </w:r>
      <w:r>
        <w:rPr>
          <w:b w:val="0"/>
          <w:caps w:val="0"/>
        </w:rPr>
        <w:lastRenderedPageBreak/>
        <w:t xml:space="preserve">survey created on </w:t>
      </w:r>
      <w:proofErr w:type="spellStart"/>
      <w:r>
        <w:rPr>
          <w:b w:val="0"/>
          <w:caps w:val="0"/>
        </w:rPr>
        <w:t>Survio</w:t>
      </w:r>
      <w:proofErr w:type="spellEnd"/>
      <w:r>
        <w:rPr>
          <w:b w:val="0"/>
          <w:caps w:val="0"/>
        </w:rPr>
        <w:t xml:space="preserve"> was sent to the twelve churches for distribution to their congregation</w:t>
      </w:r>
      <w:r w:rsidR="003A01C6">
        <w:rPr>
          <w:b w:val="0"/>
          <w:caps w:val="0"/>
        </w:rPr>
        <w:t>s</w:t>
      </w:r>
      <w:r>
        <w:rPr>
          <w:b w:val="0"/>
          <w:caps w:val="0"/>
        </w:rPr>
        <w:t xml:space="preserve"> through their normal church communication channels. </w:t>
      </w:r>
    </w:p>
    <w:p w:rsidR="00786AF4" w:rsidRPr="0035624B" w:rsidRDefault="00786AF4" w:rsidP="00786AF4">
      <w:pPr>
        <w:pStyle w:val="APALevel3"/>
        <w:rPr>
          <w:i w:val="0"/>
          <w:iCs w:val="0"/>
        </w:rPr>
      </w:pPr>
      <w:bookmarkStart w:id="2" w:name="_Toc120824769"/>
      <w:r w:rsidRPr="0035624B">
        <w:rPr>
          <w:i w:val="0"/>
          <w:iCs w:val="0"/>
        </w:rPr>
        <w:t>Data Collection</w:t>
      </w:r>
    </w:p>
    <w:p w:rsidR="00786AF4" w:rsidRPr="00D618DC" w:rsidRDefault="00786AF4" w:rsidP="00786AF4">
      <w:pPr>
        <w:pStyle w:val="APALevel3"/>
      </w:pPr>
      <w:r w:rsidRPr="00D618DC">
        <w:t>Response Level</w:t>
      </w:r>
      <w:bookmarkEnd w:id="2"/>
    </w:p>
    <w:p w:rsidR="00786AF4" w:rsidRPr="00980DD9" w:rsidRDefault="00786AF4" w:rsidP="00786AF4">
      <w:pPr>
        <w:pStyle w:val="APALevel2"/>
        <w:ind w:firstLine="720"/>
        <w:rPr>
          <w:b w:val="0"/>
        </w:rPr>
      </w:pPr>
      <w:bookmarkStart w:id="3" w:name="_Toc120824770"/>
      <w:r>
        <w:rPr>
          <w:b w:val="0"/>
        </w:rPr>
        <w:t xml:space="preserve">The total population the link was distributed to was 10,210 multicultural church attendees. Four hundred twenty-nine participants completed the survey, </w:t>
      </w:r>
      <w:r w:rsidRPr="00944D99">
        <w:rPr>
          <w:b w:val="0"/>
        </w:rPr>
        <w:t xml:space="preserve">which </w:t>
      </w:r>
      <w:r>
        <w:rPr>
          <w:b w:val="0"/>
        </w:rPr>
        <w:t xml:space="preserve">more than </w:t>
      </w:r>
      <w:r w:rsidRPr="00944D99">
        <w:rPr>
          <w:b w:val="0"/>
        </w:rPr>
        <w:t xml:space="preserve">satisfied the minimum sample size required </w:t>
      </w:r>
      <w:r w:rsidR="002949AF">
        <w:rPr>
          <w:b w:val="0"/>
        </w:rPr>
        <w:t xml:space="preserve">to </w:t>
      </w:r>
      <w:r w:rsidR="002949AF" w:rsidRPr="002949AF">
        <w:rPr>
          <w:rFonts w:ascii="TimesNewRoman" w:hAnsi="TimesNewRoman"/>
          <w:b w:val="0"/>
          <w:bCs/>
        </w:rPr>
        <w:t>hav</w:t>
      </w:r>
      <w:r w:rsidR="002949AF">
        <w:rPr>
          <w:rFonts w:ascii="TimesNewRoman" w:hAnsi="TimesNewRoman"/>
          <w:b w:val="0"/>
          <w:bCs/>
        </w:rPr>
        <w:t>e greater than</w:t>
      </w:r>
      <w:r w:rsidR="002949AF" w:rsidRPr="002949AF">
        <w:rPr>
          <w:rFonts w:ascii="TimesNewRoman" w:hAnsi="TimesNewRoman"/>
          <w:b w:val="0"/>
          <w:bCs/>
        </w:rPr>
        <w:t xml:space="preserve"> 95% confidence, with a 5% margin for error </w:t>
      </w:r>
      <w:r w:rsidR="002949AF">
        <w:rPr>
          <w:rFonts w:ascii="TimesNewRoman" w:hAnsi="TimesNewRoman"/>
          <w:b w:val="0"/>
          <w:bCs/>
        </w:rPr>
        <w:t xml:space="preserve">and </w:t>
      </w:r>
      <w:r w:rsidR="002949AF" w:rsidRPr="002949AF">
        <w:rPr>
          <w:rFonts w:ascii="TimesNewRoman" w:hAnsi="TimesNewRoman"/>
          <w:b w:val="0"/>
          <w:bCs/>
        </w:rPr>
        <w:t>a population proportion of 50%</w:t>
      </w:r>
      <w:r w:rsidR="002949AF">
        <w:rPr>
          <w:rFonts w:ascii="TimesNewRoman" w:hAnsi="TimesNewRoman"/>
          <w:b w:val="0"/>
          <w:bCs/>
        </w:rPr>
        <w:t>.</w:t>
      </w:r>
      <w:r w:rsidR="002949AF">
        <w:rPr>
          <w:rFonts w:ascii="TimesNewRoman" w:hAnsi="TimesNewRoman"/>
        </w:rPr>
        <w:t xml:space="preserve"> </w:t>
      </w:r>
      <w:r>
        <w:rPr>
          <w:b w:val="0"/>
        </w:rPr>
        <w:t>Completing the survey meant answering all 15 demographic questions, 10 Cultural Intelligence</w:t>
      </w:r>
      <w:r w:rsidR="003A01C6">
        <w:rPr>
          <w:b w:val="0"/>
        </w:rPr>
        <w:t xml:space="preserve"> questions</w:t>
      </w:r>
      <w:r>
        <w:rPr>
          <w:b w:val="0"/>
        </w:rPr>
        <w:t xml:space="preserve">, and 21 </w:t>
      </w:r>
      <w:r w:rsidR="003A01C6">
        <w:rPr>
          <w:b w:val="0"/>
        </w:rPr>
        <w:t>a</w:t>
      </w:r>
      <w:r>
        <w:rPr>
          <w:b w:val="0"/>
        </w:rPr>
        <w:t>nti-racism questions. The online survey data was collected from January 8, 2023</w:t>
      </w:r>
      <w:r w:rsidR="003A01C6">
        <w:rPr>
          <w:b w:val="0"/>
        </w:rPr>
        <w:t>,</w:t>
      </w:r>
      <w:r>
        <w:rPr>
          <w:b w:val="0"/>
        </w:rPr>
        <w:t xml:space="preserve"> through February 8, 2023. </w:t>
      </w:r>
    </w:p>
    <w:p w:rsidR="00786AF4" w:rsidRPr="00460B4F" w:rsidRDefault="00786AF4" w:rsidP="00786AF4">
      <w:pPr>
        <w:spacing w:line="480" w:lineRule="auto"/>
        <w:rPr>
          <w:b/>
          <w:bCs/>
          <w:i/>
          <w:iCs/>
        </w:rPr>
      </w:pPr>
      <w:r w:rsidRPr="00460B4F">
        <w:rPr>
          <w:b/>
          <w:bCs/>
          <w:i/>
          <w:iCs/>
        </w:rPr>
        <w:t>Demographic Data</w:t>
      </w:r>
      <w:bookmarkEnd w:id="3"/>
    </w:p>
    <w:p w:rsidR="00786AF4" w:rsidRDefault="00786AF4" w:rsidP="00786AF4">
      <w:pPr>
        <w:spacing w:line="480" w:lineRule="auto"/>
        <w:ind w:firstLine="720"/>
        <w:rPr>
          <w:bCs/>
        </w:rPr>
      </w:pPr>
      <w:bookmarkStart w:id="4" w:name="_Toc120824771"/>
      <w:r w:rsidRPr="00460B4F">
        <w:t>The demographics of this study sample, including age, gender, ethnicity, and education</w:t>
      </w:r>
      <w:r>
        <w:rPr>
          <w:bCs/>
        </w:rPr>
        <w:t xml:space="preserve"> level,</w:t>
      </w:r>
      <w:r w:rsidRPr="00991CBB">
        <w:rPr>
          <w:bCs/>
        </w:rPr>
        <w:t xml:space="preserve"> are presented in Table 1. The participants were divided into five age groups: </w:t>
      </w:r>
      <w:r>
        <w:rPr>
          <w:bCs/>
        </w:rPr>
        <w:t>18 to 29</w:t>
      </w:r>
      <w:r w:rsidRPr="00991CBB">
        <w:rPr>
          <w:bCs/>
        </w:rPr>
        <w:t xml:space="preserve"> years (</w:t>
      </w:r>
      <w:r>
        <w:rPr>
          <w:bCs/>
        </w:rPr>
        <w:t>8.6</w:t>
      </w:r>
      <w:r w:rsidRPr="00991CBB">
        <w:rPr>
          <w:bCs/>
        </w:rPr>
        <w:t xml:space="preserve">%), 30 to </w:t>
      </w:r>
      <w:r>
        <w:rPr>
          <w:bCs/>
        </w:rPr>
        <w:t>44</w:t>
      </w:r>
      <w:r w:rsidRPr="00991CBB">
        <w:rPr>
          <w:bCs/>
        </w:rPr>
        <w:t xml:space="preserve"> years </w:t>
      </w:r>
      <w:r>
        <w:rPr>
          <w:bCs/>
        </w:rPr>
        <w:t>(33.8</w:t>
      </w:r>
      <w:r w:rsidRPr="00991CBB">
        <w:rPr>
          <w:bCs/>
        </w:rPr>
        <w:t>%), 4</w:t>
      </w:r>
      <w:r>
        <w:rPr>
          <w:bCs/>
        </w:rPr>
        <w:t>5</w:t>
      </w:r>
      <w:r w:rsidRPr="00991CBB">
        <w:rPr>
          <w:bCs/>
        </w:rPr>
        <w:t xml:space="preserve"> to </w:t>
      </w:r>
      <w:r>
        <w:rPr>
          <w:bCs/>
        </w:rPr>
        <w:t>5</w:t>
      </w:r>
      <w:r w:rsidRPr="00991CBB">
        <w:rPr>
          <w:bCs/>
        </w:rPr>
        <w:t>9 years (</w:t>
      </w:r>
      <w:r>
        <w:rPr>
          <w:bCs/>
        </w:rPr>
        <w:t>29.1</w:t>
      </w:r>
      <w:r w:rsidRPr="00991CBB">
        <w:rPr>
          <w:bCs/>
        </w:rPr>
        <w:t xml:space="preserve">%), </w:t>
      </w:r>
      <w:r>
        <w:rPr>
          <w:bCs/>
        </w:rPr>
        <w:t>6</w:t>
      </w:r>
      <w:r w:rsidRPr="00991CBB">
        <w:rPr>
          <w:bCs/>
        </w:rPr>
        <w:t xml:space="preserve">0 to </w:t>
      </w:r>
      <w:r>
        <w:rPr>
          <w:bCs/>
        </w:rPr>
        <w:t>74</w:t>
      </w:r>
      <w:r w:rsidRPr="00991CBB">
        <w:rPr>
          <w:bCs/>
        </w:rPr>
        <w:t xml:space="preserve"> years (</w:t>
      </w:r>
      <w:r>
        <w:rPr>
          <w:bCs/>
        </w:rPr>
        <w:t>25</w:t>
      </w:r>
      <w:r w:rsidRPr="00991CBB">
        <w:rPr>
          <w:bCs/>
        </w:rPr>
        <w:t xml:space="preserve">%), and </w:t>
      </w:r>
      <w:r>
        <w:rPr>
          <w:bCs/>
        </w:rPr>
        <w:t>75 years and older</w:t>
      </w:r>
      <w:r w:rsidRPr="00991CBB">
        <w:rPr>
          <w:bCs/>
        </w:rPr>
        <w:t xml:space="preserve"> (</w:t>
      </w:r>
      <w:r>
        <w:rPr>
          <w:bCs/>
        </w:rPr>
        <w:t>3.5</w:t>
      </w:r>
      <w:r w:rsidRPr="00991CBB">
        <w:rPr>
          <w:bCs/>
        </w:rPr>
        <w:t xml:space="preserve">%). The sample consisted of </w:t>
      </w:r>
      <w:r>
        <w:rPr>
          <w:bCs/>
        </w:rPr>
        <w:t>146</w:t>
      </w:r>
      <w:r w:rsidRPr="00991CBB">
        <w:rPr>
          <w:bCs/>
        </w:rPr>
        <w:t xml:space="preserve"> </w:t>
      </w:r>
      <w:r>
        <w:rPr>
          <w:bCs/>
        </w:rPr>
        <w:t>males</w:t>
      </w:r>
      <w:r w:rsidRPr="00991CBB">
        <w:rPr>
          <w:bCs/>
        </w:rPr>
        <w:t xml:space="preserve"> (</w:t>
      </w:r>
      <w:r>
        <w:rPr>
          <w:bCs/>
        </w:rPr>
        <w:t>34</w:t>
      </w:r>
      <w:r w:rsidRPr="00991CBB">
        <w:rPr>
          <w:bCs/>
        </w:rPr>
        <w:t>%)</w:t>
      </w:r>
      <w:r>
        <w:rPr>
          <w:bCs/>
        </w:rPr>
        <w:t>,</w:t>
      </w:r>
      <w:r w:rsidRPr="00991CBB">
        <w:rPr>
          <w:bCs/>
        </w:rPr>
        <w:t xml:space="preserve"> </w:t>
      </w:r>
      <w:r>
        <w:rPr>
          <w:bCs/>
        </w:rPr>
        <w:t>282</w:t>
      </w:r>
      <w:r w:rsidRPr="00991CBB">
        <w:rPr>
          <w:bCs/>
        </w:rPr>
        <w:t xml:space="preserve"> </w:t>
      </w:r>
      <w:r>
        <w:rPr>
          <w:bCs/>
        </w:rPr>
        <w:t>females</w:t>
      </w:r>
      <w:r w:rsidRPr="00991CBB">
        <w:rPr>
          <w:bCs/>
        </w:rPr>
        <w:t xml:space="preserve"> (</w:t>
      </w:r>
      <w:r>
        <w:rPr>
          <w:bCs/>
        </w:rPr>
        <w:t>65.8</w:t>
      </w:r>
      <w:r w:rsidRPr="00991CBB">
        <w:rPr>
          <w:bCs/>
        </w:rPr>
        <w:t>%)</w:t>
      </w:r>
      <w:r>
        <w:rPr>
          <w:bCs/>
        </w:rPr>
        <w:t>, and 1 participant that chose other (0.2%)</w:t>
      </w:r>
      <w:r w:rsidRPr="00991CBB">
        <w:rPr>
          <w:bCs/>
        </w:rPr>
        <w:t xml:space="preserve">. The sample consisted </w:t>
      </w:r>
      <w:r>
        <w:rPr>
          <w:bCs/>
        </w:rPr>
        <w:t>of the following racial and ethnic breakdown</w:t>
      </w:r>
      <w:r w:rsidR="003A01C6">
        <w:rPr>
          <w:bCs/>
        </w:rPr>
        <w:t>:</w:t>
      </w:r>
      <w:r w:rsidRPr="00991CBB">
        <w:rPr>
          <w:bCs/>
        </w:rPr>
        <w:t xml:space="preserve"> </w:t>
      </w:r>
      <w:r>
        <w:rPr>
          <w:bCs/>
        </w:rPr>
        <w:t xml:space="preserve">two </w:t>
      </w:r>
      <w:r w:rsidRPr="00A3431A">
        <w:rPr>
          <w:bCs/>
        </w:rPr>
        <w:t xml:space="preserve">American Indian or Alaska Native (non-Hispanic) </w:t>
      </w:r>
      <w:r w:rsidRPr="00991CBB">
        <w:rPr>
          <w:bCs/>
        </w:rPr>
        <w:t>(</w:t>
      </w:r>
      <w:r>
        <w:rPr>
          <w:bCs/>
        </w:rPr>
        <w:t>0.5</w:t>
      </w:r>
      <w:r w:rsidRPr="00991CBB">
        <w:rPr>
          <w:bCs/>
        </w:rPr>
        <w:t>%)</w:t>
      </w:r>
      <w:r>
        <w:rPr>
          <w:bCs/>
        </w:rPr>
        <w:t>,</w:t>
      </w:r>
      <w:r w:rsidRPr="00991CBB">
        <w:rPr>
          <w:bCs/>
        </w:rPr>
        <w:t xml:space="preserve"> </w:t>
      </w:r>
      <w:r>
        <w:rPr>
          <w:bCs/>
        </w:rPr>
        <w:t xml:space="preserve">14 </w:t>
      </w:r>
      <w:r w:rsidRPr="00A3431A">
        <w:rPr>
          <w:bCs/>
        </w:rPr>
        <w:t xml:space="preserve">Asian or Asian American (non-Hispanic) </w:t>
      </w:r>
      <w:r w:rsidRPr="00991CBB">
        <w:rPr>
          <w:bCs/>
        </w:rPr>
        <w:t>(</w:t>
      </w:r>
      <w:r>
        <w:rPr>
          <w:bCs/>
        </w:rPr>
        <w:t>3.3</w:t>
      </w:r>
      <w:r w:rsidRPr="00991CBB">
        <w:rPr>
          <w:bCs/>
        </w:rPr>
        <w:t>%)</w:t>
      </w:r>
      <w:r>
        <w:rPr>
          <w:bCs/>
        </w:rPr>
        <w:t xml:space="preserve">, 172 </w:t>
      </w:r>
      <w:r w:rsidRPr="00DE5EE4">
        <w:rPr>
          <w:bCs/>
        </w:rPr>
        <w:t>Black or African American (non-Hispanic)</w:t>
      </w:r>
      <w:r>
        <w:rPr>
          <w:bCs/>
        </w:rPr>
        <w:t xml:space="preserve"> (40.1%), 20 </w:t>
      </w:r>
      <w:r w:rsidRPr="00623AC4">
        <w:rPr>
          <w:bCs/>
        </w:rPr>
        <w:t>Hispanic</w:t>
      </w:r>
      <w:r>
        <w:rPr>
          <w:bCs/>
        </w:rPr>
        <w:t xml:space="preserve"> (4.6%), 0 </w:t>
      </w:r>
      <w:r w:rsidRPr="00623AC4">
        <w:rPr>
          <w:bCs/>
        </w:rPr>
        <w:t>Native Hawaiian or Other Pacific Islander (non-Hispanic)</w:t>
      </w:r>
      <w:r>
        <w:rPr>
          <w:bCs/>
        </w:rPr>
        <w:t xml:space="preserve"> (0%), 205 </w:t>
      </w:r>
      <w:r w:rsidRPr="00A5241D">
        <w:rPr>
          <w:bCs/>
        </w:rPr>
        <w:t>White or Caucasian (</w:t>
      </w:r>
      <w:r w:rsidR="003A01C6">
        <w:rPr>
          <w:bCs/>
        </w:rPr>
        <w:t>n</w:t>
      </w:r>
      <w:r w:rsidRPr="00A5241D">
        <w:rPr>
          <w:bCs/>
        </w:rPr>
        <w:t>on-Hispanic)</w:t>
      </w:r>
      <w:r>
        <w:rPr>
          <w:bCs/>
        </w:rPr>
        <w:t xml:space="preserve"> (47.8%), and 16 </w:t>
      </w:r>
      <w:r w:rsidRPr="00192E22">
        <w:rPr>
          <w:bCs/>
        </w:rPr>
        <w:t>Biracial or Multi-Racial or Other</w:t>
      </w:r>
      <w:r>
        <w:rPr>
          <w:bCs/>
        </w:rPr>
        <w:t xml:space="preserve"> (3.7%)</w:t>
      </w:r>
      <w:r w:rsidRPr="00991CBB">
        <w:rPr>
          <w:bCs/>
        </w:rPr>
        <w:t>.</w:t>
      </w:r>
      <w:r>
        <w:rPr>
          <w:bCs/>
        </w:rPr>
        <w:t xml:space="preserve"> </w:t>
      </w:r>
      <w:r w:rsidR="000136DF">
        <w:rPr>
          <w:bCs/>
        </w:rPr>
        <w:t>Participants’</w:t>
      </w:r>
      <w:r w:rsidRPr="00991CBB">
        <w:rPr>
          <w:bCs/>
        </w:rPr>
        <w:t xml:space="preserve"> education levels ranged from high school </w:t>
      </w:r>
      <w:r>
        <w:rPr>
          <w:bCs/>
        </w:rPr>
        <w:t>diplomas</w:t>
      </w:r>
      <w:r w:rsidRPr="00991CBB">
        <w:rPr>
          <w:bCs/>
        </w:rPr>
        <w:t xml:space="preserve"> to postgraduate </w:t>
      </w:r>
      <w:r>
        <w:rPr>
          <w:bCs/>
        </w:rPr>
        <w:t>degrees</w:t>
      </w:r>
      <w:r w:rsidRPr="00991CBB">
        <w:rPr>
          <w:bCs/>
        </w:rPr>
        <w:t xml:space="preserve">. The </w:t>
      </w:r>
      <w:r w:rsidR="00463FC9">
        <w:rPr>
          <w:bCs/>
        </w:rPr>
        <w:t xml:space="preserve">researcher measured the </w:t>
      </w:r>
      <w:r w:rsidRPr="00991CBB">
        <w:rPr>
          <w:bCs/>
        </w:rPr>
        <w:t xml:space="preserve">education levels of participants with six categories: </w:t>
      </w:r>
      <w:r>
        <w:rPr>
          <w:bCs/>
        </w:rPr>
        <w:t>did not complete high school</w:t>
      </w:r>
      <w:r w:rsidRPr="00991CBB">
        <w:rPr>
          <w:bCs/>
        </w:rPr>
        <w:t xml:space="preserve"> (</w:t>
      </w:r>
      <w:r>
        <w:rPr>
          <w:bCs/>
        </w:rPr>
        <w:t>0.2</w:t>
      </w:r>
      <w:r w:rsidRPr="00991CBB">
        <w:rPr>
          <w:bCs/>
        </w:rPr>
        <w:t>%), high school diploma</w:t>
      </w:r>
      <w:r>
        <w:rPr>
          <w:bCs/>
        </w:rPr>
        <w:t xml:space="preserve"> or equivalent</w:t>
      </w:r>
      <w:r w:rsidRPr="00991CBB">
        <w:rPr>
          <w:bCs/>
        </w:rPr>
        <w:t xml:space="preserve"> (</w:t>
      </w:r>
      <w:r>
        <w:rPr>
          <w:bCs/>
        </w:rPr>
        <w:t>8.4</w:t>
      </w:r>
      <w:r w:rsidRPr="00991CBB">
        <w:rPr>
          <w:bCs/>
        </w:rPr>
        <w:t xml:space="preserve"> %), </w:t>
      </w:r>
      <w:r>
        <w:rPr>
          <w:bCs/>
        </w:rPr>
        <w:t>trade school certificate or associates degree</w:t>
      </w:r>
      <w:r w:rsidRPr="00991CBB">
        <w:rPr>
          <w:bCs/>
        </w:rPr>
        <w:t xml:space="preserve"> (</w:t>
      </w:r>
      <w:r>
        <w:rPr>
          <w:bCs/>
        </w:rPr>
        <w:t>11.2</w:t>
      </w:r>
      <w:r w:rsidRPr="00991CBB">
        <w:rPr>
          <w:bCs/>
        </w:rPr>
        <w:t xml:space="preserve">%), </w:t>
      </w:r>
      <w:r w:rsidRPr="00991CBB">
        <w:rPr>
          <w:bCs/>
        </w:rPr>
        <w:lastRenderedPageBreak/>
        <w:t>college degree (</w:t>
      </w:r>
      <w:r>
        <w:rPr>
          <w:bCs/>
        </w:rPr>
        <w:t>32.9</w:t>
      </w:r>
      <w:r w:rsidRPr="00991CBB">
        <w:rPr>
          <w:bCs/>
        </w:rPr>
        <w:t>%),</w:t>
      </w:r>
      <w:r>
        <w:rPr>
          <w:bCs/>
        </w:rPr>
        <w:t xml:space="preserve"> a </w:t>
      </w:r>
      <w:proofErr w:type="spellStart"/>
      <w:r>
        <w:rPr>
          <w:bCs/>
        </w:rPr>
        <w:t>masters</w:t>
      </w:r>
      <w:proofErr w:type="spellEnd"/>
      <w:r w:rsidRPr="00991CBB">
        <w:rPr>
          <w:bCs/>
        </w:rPr>
        <w:t xml:space="preserve"> degree (</w:t>
      </w:r>
      <w:r>
        <w:rPr>
          <w:bCs/>
        </w:rPr>
        <w:t>36.6</w:t>
      </w:r>
      <w:r w:rsidRPr="00991CBB">
        <w:rPr>
          <w:bCs/>
        </w:rPr>
        <w:t xml:space="preserve">%), and </w:t>
      </w:r>
      <w:r>
        <w:rPr>
          <w:bCs/>
        </w:rPr>
        <w:t>MD, Ph.D., or another terminal degree</w:t>
      </w:r>
      <w:r w:rsidRPr="00991CBB">
        <w:rPr>
          <w:bCs/>
        </w:rPr>
        <w:t xml:space="preserve"> (</w:t>
      </w:r>
      <w:r>
        <w:rPr>
          <w:bCs/>
        </w:rPr>
        <w:t>10.7</w:t>
      </w:r>
      <w:r w:rsidRPr="00991CBB">
        <w:rPr>
          <w:bCs/>
        </w:rPr>
        <w:t xml:space="preserve">%). </w:t>
      </w:r>
    </w:p>
    <w:p w:rsidR="00786AF4" w:rsidRPr="00661C46" w:rsidRDefault="00786AF4" w:rsidP="00786AF4">
      <w:pPr>
        <w:spacing w:line="480" w:lineRule="auto"/>
        <w:rPr>
          <w:b/>
        </w:rPr>
      </w:pPr>
      <w:r>
        <w:rPr>
          <w:b/>
        </w:rPr>
        <w:t>Table 1</w:t>
      </w:r>
    </w:p>
    <w:tbl>
      <w:tblPr>
        <w:tblW w:w="6420" w:type="dxa"/>
        <w:tblLook w:val="04A0" w:firstRow="1" w:lastRow="0" w:firstColumn="1" w:lastColumn="0" w:noHBand="0" w:noVBand="1"/>
      </w:tblPr>
      <w:tblGrid>
        <w:gridCol w:w="4157"/>
        <w:gridCol w:w="576"/>
        <w:gridCol w:w="1720"/>
      </w:tblGrid>
      <w:tr w:rsidR="00786AF4" w:rsidTr="00A55339">
        <w:trPr>
          <w:trHeight w:val="320"/>
        </w:trPr>
        <w:tc>
          <w:tcPr>
            <w:tcW w:w="4700" w:type="dxa"/>
            <w:gridSpan w:val="2"/>
            <w:tcBorders>
              <w:top w:val="nil"/>
              <w:left w:val="nil"/>
              <w:bottom w:val="nil"/>
              <w:right w:val="nil"/>
            </w:tcBorders>
            <w:shd w:val="clear" w:color="auto" w:fill="auto"/>
            <w:noWrap/>
            <w:vAlign w:val="bottom"/>
            <w:hideMark/>
          </w:tcPr>
          <w:p w:rsidR="00786AF4" w:rsidRDefault="00786AF4" w:rsidP="00A55339">
            <w:pPr>
              <w:rPr>
                <w:i/>
                <w:iCs/>
              </w:rPr>
            </w:pPr>
            <w:r>
              <w:rPr>
                <w:i/>
                <w:iCs/>
              </w:rPr>
              <w:t>Church Attendees Demographics</w:t>
            </w:r>
          </w:p>
        </w:tc>
        <w:tc>
          <w:tcPr>
            <w:tcW w:w="1720" w:type="dxa"/>
            <w:tcBorders>
              <w:top w:val="nil"/>
              <w:left w:val="nil"/>
              <w:bottom w:val="nil"/>
              <w:right w:val="nil"/>
            </w:tcBorders>
            <w:shd w:val="clear" w:color="auto" w:fill="auto"/>
            <w:noWrap/>
            <w:vAlign w:val="bottom"/>
            <w:hideMark/>
          </w:tcPr>
          <w:p w:rsidR="00786AF4" w:rsidRDefault="00786AF4" w:rsidP="00A55339">
            <w:pPr>
              <w:rPr>
                <w:i/>
                <w:iCs/>
              </w:rPr>
            </w:pPr>
          </w:p>
        </w:tc>
      </w:tr>
      <w:tr w:rsidR="00786AF4" w:rsidTr="00A55339">
        <w:trPr>
          <w:trHeight w:val="320"/>
        </w:trPr>
        <w:tc>
          <w:tcPr>
            <w:tcW w:w="4157" w:type="dxa"/>
            <w:tcBorders>
              <w:top w:val="single" w:sz="4" w:space="0" w:color="auto"/>
              <w:left w:val="nil"/>
              <w:bottom w:val="single" w:sz="4" w:space="0" w:color="auto"/>
              <w:right w:val="nil"/>
            </w:tcBorders>
            <w:shd w:val="clear" w:color="auto" w:fill="auto"/>
            <w:noWrap/>
            <w:vAlign w:val="bottom"/>
            <w:hideMark/>
          </w:tcPr>
          <w:p w:rsidR="00786AF4" w:rsidRDefault="00786AF4" w:rsidP="00A55339">
            <w:pPr>
              <w:ind w:firstLineChars="200" w:firstLine="480"/>
            </w:pPr>
            <w:r>
              <w:t>Demographic Variable</w:t>
            </w:r>
          </w:p>
        </w:tc>
        <w:tc>
          <w:tcPr>
            <w:tcW w:w="543" w:type="dxa"/>
            <w:tcBorders>
              <w:top w:val="single" w:sz="4" w:space="0" w:color="auto"/>
              <w:left w:val="nil"/>
              <w:bottom w:val="single" w:sz="4" w:space="0" w:color="auto"/>
              <w:right w:val="nil"/>
            </w:tcBorders>
            <w:shd w:val="clear" w:color="auto" w:fill="auto"/>
            <w:noWrap/>
            <w:vAlign w:val="bottom"/>
            <w:hideMark/>
          </w:tcPr>
          <w:p w:rsidR="00786AF4" w:rsidRDefault="00786AF4" w:rsidP="00A55339">
            <w:pPr>
              <w:jc w:val="center"/>
              <w:rPr>
                <w:i/>
                <w:iCs/>
              </w:rPr>
            </w:pPr>
            <w:r>
              <w:rPr>
                <w:i/>
                <w:iCs/>
              </w:rPr>
              <w:t>f</w:t>
            </w:r>
          </w:p>
        </w:tc>
        <w:tc>
          <w:tcPr>
            <w:tcW w:w="1720" w:type="dxa"/>
            <w:tcBorders>
              <w:top w:val="single" w:sz="4" w:space="0" w:color="auto"/>
              <w:left w:val="nil"/>
              <w:bottom w:val="single" w:sz="4" w:space="0" w:color="auto"/>
              <w:right w:val="nil"/>
            </w:tcBorders>
            <w:shd w:val="clear" w:color="auto" w:fill="auto"/>
            <w:noWrap/>
            <w:vAlign w:val="bottom"/>
            <w:hideMark/>
          </w:tcPr>
          <w:p w:rsidR="00786AF4" w:rsidRDefault="00786AF4" w:rsidP="00A55339">
            <w:pPr>
              <w:jc w:val="center"/>
            </w:pPr>
            <w:r>
              <w:t>%</w:t>
            </w:r>
          </w:p>
        </w:tc>
      </w:tr>
      <w:tr w:rsidR="00786AF4" w:rsidTr="00A55339">
        <w:trPr>
          <w:trHeight w:val="320"/>
        </w:trPr>
        <w:tc>
          <w:tcPr>
            <w:tcW w:w="4157" w:type="dxa"/>
            <w:tcBorders>
              <w:top w:val="nil"/>
              <w:left w:val="nil"/>
              <w:bottom w:val="nil"/>
              <w:right w:val="nil"/>
            </w:tcBorders>
            <w:shd w:val="clear" w:color="auto" w:fill="auto"/>
            <w:noWrap/>
            <w:vAlign w:val="bottom"/>
            <w:hideMark/>
          </w:tcPr>
          <w:p w:rsidR="00786AF4" w:rsidRDefault="00786AF4" w:rsidP="00A55339">
            <w:r>
              <w:t>Age</w:t>
            </w:r>
          </w:p>
        </w:tc>
        <w:tc>
          <w:tcPr>
            <w:tcW w:w="543" w:type="dxa"/>
            <w:tcBorders>
              <w:top w:val="nil"/>
              <w:left w:val="nil"/>
              <w:bottom w:val="nil"/>
              <w:right w:val="nil"/>
            </w:tcBorders>
            <w:shd w:val="clear" w:color="auto" w:fill="auto"/>
            <w:noWrap/>
            <w:vAlign w:val="bottom"/>
            <w:hideMark/>
          </w:tcPr>
          <w:p w:rsidR="00786AF4" w:rsidRDefault="00786AF4" w:rsidP="00A55339"/>
        </w:tc>
        <w:tc>
          <w:tcPr>
            <w:tcW w:w="1720" w:type="dxa"/>
            <w:tcBorders>
              <w:top w:val="nil"/>
              <w:left w:val="nil"/>
              <w:bottom w:val="nil"/>
              <w:right w:val="nil"/>
            </w:tcBorders>
            <w:shd w:val="clear" w:color="auto" w:fill="auto"/>
            <w:noWrap/>
            <w:vAlign w:val="bottom"/>
            <w:hideMark/>
          </w:tcPr>
          <w:p w:rsidR="00786AF4" w:rsidRDefault="00786AF4" w:rsidP="00A55339">
            <w:pPr>
              <w:jc w:val="center"/>
              <w:rPr>
                <w:sz w:val="20"/>
                <w:szCs w:val="20"/>
              </w:rPr>
            </w:pPr>
          </w:p>
        </w:tc>
      </w:tr>
      <w:tr w:rsidR="00786AF4" w:rsidTr="00A55339">
        <w:trPr>
          <w:trHeight w:val="320"/>
        </w:trPr>
        <w:tc>
          <w:tcPr>
            <w:tcW w:w="4157" w:type="dxa"/>
            <w:tcBorders>
              <w:top w:val="nil"/>
              <w:left w:val="nil"/>
              <w:bottom w:val="nil"/>
              <w:right w:val="nil"/>
            </w:tcBorders>
            <w:shd w:val="clear" w:color="auto" w:fill="auto"/>
            <w:noWrap/>
            <w:vAlign w:val="bottom"/>
            <w:hideMark/>
          </w:tcPr>
          <w:p w:rsidR="00786AF4" w:rsidRDefault="00786AF4" w:rsidP="00A55339">
            <w:pPr>
              <w:ind w:firstLineChars="100" w:firstLine="240"/>
            </w:pPr>
            <w:r>
              <w:t>18-29</w:t>
            </w:r>
          </w:p>
        </w:tc>
        <w:tc>
          <w:tcPr>
            <w:tcW w:w="543" w:type="dxa"/>
            <w:tcBorders>
              <w:top w:val="nil"/>
              <w:left w:val="nil"/>
              <w:bottom w:val="nil"/>
              <w:right w:val="nil"/>
            </w:tcBorders>
            <w:shd w:val="clear" w:color="auto" w:fill="auto"/>
            <w:noWrap/>
            <w:vAlign w:val="bottom"/>
            <w:hideMark/>
          </w:tcPr>
          <w:p w:rsidR="00786AF4" w:rsidRDefault="00786AF4" w:rsidP="00A55339">
            <w:pPr>
              <w:jc w:val="center"/>
            </w:pPr>
            <w:r>
              <w:t>37</w:t>
            </w:r>
          </w:p>
        </w:tc>
        <w:tc>
          <w:tcPr>
            <w:tcW w:w="1720" w:type="dxa"/>
            <w:tcBorders>
              <w:top w:val="nil"/>
              <w:left w:val="nil"/>
              <w:bottom w:val="nil"/>
              <w:right w:val="nil"/>
            </w:tcBorders>
            <w:shd w:val="clear" w:color="auto" w:fill="auto"/>
            <w:noWrap/>
            <w:vAlign w:val="bottom"/>
            <w:hideMark/>
          </w:tcPr>
          <w:p w:rsidR="00786AF4" w:rsidRDefault="00786AF4" w:rsidP="00A55339">
            <w:pPr>
              <w:jc w:val="center"/>
              <w:rPr>
                <w:rFonts w:ascii="Calibri" w:hAnsi="Calibri" w:cs="Calibri"/>
                <w:color w:val="000000"/>
              </w:rPr>
            </w:pPr>
            <w:r>
              <w:rPr>
                <w:rFonts w:ascii="Calibri" w:hAnsi="Calibri" w:cs="Calibri"/>
                <w:color w:val="000000"/>
              </w:rPr>
              <w:t>8.6</w:t>
            </w:r>
          </w:p>
        </w:tc>
      </w:tr>
      <w:tr w:rsidR="00786AF4" w:rsidTr="00A55339">
        <w:trPr>
          <w:trHeight w:val="320"/>
        </w:trPr>
        <w:tc>
          <w:tcPr>
            <w:tcW w:w="4157" w:type="dxa"/>
            <w:tcBorders>
              <w:top w:val="nil"/>
              <w:left w:val="nil"/>
              <w:bottom w:val="nil"/>
              <w:right w:val="nil"/>
            </w:tcBorders>
            <w:shd w:val="clear" w:color="auto" w:fill="auto"/>
            <w:noWrap/>
            <w:vAlign w:val="bottom"/>
            <w:hideMark/>
          </w:tcPr>
          <w:p w:rsidR="00786AF4" w:rsidRDefault="00786AF4" w:rsidP="00A55339">
            <w:pPr>
              <w:ind w:firstLineChars="100" w:firstLine="240"/>
            </w:pPr>
            <w:r>
              <w:t>30-44</w:t>
            </w:r>
          </w:p>
        </w:tc>
        <w:tc>
          <w:tcPr>
            <w:tcW w:w="543" w:type="dxa"/>
            <w:tcBorders>
              <w:top w:val="nil"/>
              <w:left w:val="nil"/>
              <w:bottom w:val="nil"/>
              <w:right w:val="nil"/>
            </w:tcBorders>
            <w:shd w:val="clear" w:color="auto" w:fill="auto"/>
            <w:noWrap/>
            <w:vAlign w:val="bottom"/>
            <w:hideMark/>
          </w:tcPr>
          <w:p w:rsidR="00786AF4" w:rsidRDefault="00786AF4" w:rsidP="00A55339">
            <w:pPr>
              <w:jc w:val="center"/>
            </w:pPr>
            <w:r>
              <w:t>145</w:t>
            </w:r>
          </w:p>
        </w:tc>
        <w:tc>
          <w:tcPr>
            <w:tcW w:w="1720" w:type="dxa"/>
            <w:tcBorders>
              <w:top w:val="nil"/>
              <w:left w:val="nil"/>
              <w:bottom w:val="nil"/>
              <w:right w:val="nil"/>
            </w:tcBorders>
            <w:shd w:val="clear" w:color="auto" w:fill="auto"/>
            <w:noWrap/>
            <w:vAlign w:val="bottom"/>
            <w:hideMark/>
          </w:tcPr>
          <w:p w:rsidR="00786AF4" w:rsidRDefault="00786AF4" w:rsidP="00A55339">
            <w:pPr>
              <w:jc w:val="center"/>
            </w:pPr>
            <w:r>
              <w:t>33.8</w:t>
            </w:r>
          </w:p>
        </w:tc>
      </w:tr>
      <w:tr w:rsidR="00786AF4" w:rsidTr="00A55339">
        <w:trPr>
          <w:trHeight w:val="320"/>
        </w:trPr>
        <w:tc>
          <w:tcPr>
            <w:tcW w:w="4157" w:type="dxa"/>
            <w:tcBorders>
              <w:top w:val="nil"/>
              <w:left w:val="nil"/>
              <w:bottom w:val="nil"/>
              <w:right w:val="nil"/>
            </w:tcBorders>
            <w:shd w:val="clear" w:color="auto" w:fill="auto"/>
            <w:noWrap/>
            <w:vAlign w:val="bottom"/>
            <w:hideMark/>
          </w:tcPr>
          <w:p w:rsidR="00786AF4" w:rsidRDefault="00786AF4" w:rsidP="00A55339">
            <w:pPr>
              <w:ind w:firstLineChars="100" w:firstLine="240"/>
            </w:pPr>
            <w:r>
              <w:t>45-59</w:t>
            </w:r>
          </w:p>
        </w:tc>
        <w:tc>
          <w:tcPr>
            <w:tcW w:w="543" w:type="dxa"/>
            <w:tcBorders>
              <w:top w:val="nil"/>
              <w:left w:val="nil"/>
              <w:bottom w:val="nil"/>
              <w:right w:val="nil"/>
            </w:tcBorders>
            <w:shd w:val="clear" w:color="auto" w:fill="auto"/>
            <w:noWrap/>
            <w:vAlign w:val="bottom"/>
            <w:hideMark/>
          </w:tcPr>
          <w:p w:rsidR="00786AF4" w:rsidRDefault="00786AF4" w:rsidP="00A55339">
            <w:pPr>
              <w:jc w:val="center"/>
            </w:pPr>
            <w:r>
              <w:t>125</w:t>
            </w:r>
          </w:p>
        </w:tc>
        <w:tc>
          <w:tcPr>
            <w:tcW w:w="1720" w:type="dxa"/>
            <w:tcBorders>
              <w:top w:val="nil"/>
              <w:left w:val="nil"/>
              <w:bottom w:val="nil"/>
              <w:right w:val="nil"/>
            </w:tcBorders>
            <w:shd w:val="clear" w:color="auto" w:fill="auto"/>
            <w:noWrap/>
            <w:vAlign w:val="bottom"/>
            <w:hideMark/>
          </w:tcPr>
          <w:p w:rsidR="00786AF4" w:rsidRDefault="00786AF4" w:rsidP="00A55339">
            <w:pPr>
              <w:jc w:val="center"/>
            </w:pPr>
            <w:r>
              <w:t>29.1</w:t>
            </w:r>
          </w:p>
        </w:tc>
      </w:tr>
      <w:tr w:rsidR="00786AF4" w:rsidTr="00A55339">
        <w:trPr>
          <w:trHeight w:val="320"/>
        </w:trPr>
        <w:tc>
          <w:tcPr>
            <w:tcW w:w="4157" w:type="dxa"/>
            <w:tcBorders>
              <w:top w:val="nil"/>
              <w:left w:val="nil"/>
              <w:bottom w:val="nil"/>
              <w:right w:val="nil"/>
            </w:tcBorders>
            <w:shd w:val="clear" w:color="auto" w:fill="auto"/>
            <w:noWrap/>
            <w:vAlign w:val="bottom"/>
            <w:hideMark/>
          </w:tcPr>
          <w:p w:rsidR="00786AF4" w:rsidRDefault="00786AF4" w:rsidP="00A55339">
            <w:pPr>
              <w:ind w:firstLineChars="100" w:firstLine="240"/>
            </w:pPr>
            <w:r>
              <w:t>60-74</w:t>
            </w:r>
          </w:p>
        </w:tc>
        <w:tc>
          <w:tcPr>
            <w:tcW w:w="543" w:type="dxa"/>
            <w:tcBorders>
              <w:top w:val="nil"/>
              <w:left w:val="nil"/>
              <w:bottom w:val="nil"/>
              <w:right w:val="nil"/>
            </w:tcBorders>
            <w:shd w:val="clear" w:color="auto" w:fill="auto"/>
            <w:noWrap/>
            <w:vAlign w:val="bottom"/>
            <w:hideMark/>
          </w:tcPr>
          <w:p w:rsidR="00786AF4" w:rsidRDefault="00786AF4" w:rsidP="00A55339">
            <w:pPr>
              <w:jc w:val="center"/>
            </w:pPr>
            <w:r>
              <w:t>107</w:t>
            </w:r>
          </w:p>
        </w:tc>
        <w:tc>
          <w:tcPr>
            <w:tcW w:w="1720" w:type="dxa"/>
            <w:tcBorders>
              <w:top w:val="nil"/>
              <w:left w:val="nil"/>
              <w:bottom w:val="nil"/>
              <w:right w:val="nil"/>
            </w:tcBorders>
            <w:shd w:val="clear" w:color="auto" w:fill="auto"/>
            <w:noWrap/>
            <w:vAlign w:val="bottom"/>
            <w:hideMark/>
          </w:tcPr>
          <w:p w:rsidR="00786AF4" w:rsidRDefault="00786AF4" w:rsidP="00A55339">
            <w:pPr>
              <w:jc w:val="center"/>
            </w:pPr>
            <w:r>
              <w:t>25</w:t>
            </w:r>
          </w:p>
        </w:tc>
      </w:tr>
      <w:tr w:rsidR="00786AF4" w:rsidTr="00A55339">
        <w:trPr>
          <w:trHeight w:val="320"/>
        </w:trPr>
        <w:tc>
          <w:tcPr>
            <w:tcW w:w="4157" w:type="dxa"/>
            <w:tcBorders>
              <w:top w:val="nil"/>
              <w:left w:val="nil"/>
              <w:bottom w:val="nil"/>
              <w:right w:val="nil"/>
            </w:tcBorders>
            <w:shd w:val="clear" w:color="auto" w:fill="auto"/>
            <w:noWrap/>
            <w:vAlign w:val="bottom"/>
            <w:hideMark/>
          </w:tcPr>
          <w:p w:rsidR="00786AF4" w:rsidRDefault="00786AF4" w:rsidP="00A55339">
            <w:pPr>
              <w:ind w:firstLineChars="100" w:firstLine="240"/>
            </w:pPr>
            <w:r>
              <w:t xml:space="preserve">75+ </w:t>
            </w:r>
          </w:p>
        </w:tc>
        <w:tc>
          <w:tcPr>
            <w:tcW w:w="543" w:type="dxa"/>
            <w:tcBorders>
              <w:top w:val="nil"/>
              <w:left w:val="nil"/>
              <w:bottom w:val="nil"/>
              <w:right w:val="nil"/>
            </w:tcBorders>
            <w:shd w:val="clear" w:color="auto" w:fill="auto"/>
            <w:noWrap/>
            <w:vAlign w:val="bottom"/>
            <w:hideMark/>
          </w:tcPr>
          <w:p w:rsidR="00786AF4" w:rsidRDefault="00786AF4" w:rsidP="00A55339">
            <w:pPr>
              <w:jc w:val="center"/>
            </w:pPr>
            <w:r>
              <w:t>15</w:t>
            </w:r>
          </w:p>
        </w:tc>
        <w:tc>
          <w:tcPr>
            <w:tcW w:w="1720" w:type="dxa"/>
            <w:tcBorders>
              <w:top w:val="nil"/>
              <w:left w:val="nil"/>
              <w:bottom w:val="nil"/>
              <w:right w:val="nil"/>
            </w:tcBorders>
            <w:shd w:val="clear" w:color="auto" w:fill="auto"/>
            <w:noWrap/>
            <w:vAlign w:val="bottom"/>
            <w:hideMark/>
          </w:tcPr>
          <w:p w:rsidR="00786AF4" w:rsidRDefault="00786AF4" w:rsidP="00A55339">
            <w:pPr>
              <w:jc w:val="center"/>
            </w:pPr>
            <w:r>
              <w:t>3.5</w:t>
            </w:r>
          </w:p>
        </w:tc>
      </w:tr>
      <w:tr w:rsidR="00786AF4" w:rsidTr="00A55339">
        <w:trPr>
          <w:trHeight w:val="320"/>
        </w:trPr>
        <w:tc>
          <w:tcPr>
            <w:tcW w:w="4157" w:type="dxa"/>
            <w:tcBorders>
              <w:top w:val="nil"/>
              <w:left w:val="nil"/>
              <w:bottom w:val="nil"/>
              <w:right w:val="nil"/>
            </w:tcBorders>
            <w:shd w:val="clear" w:color="auto" w:fill="auto"/>
            <w:noWrap/>
            <w:vAlign w:val="bottom"/>
            <w:hideMark/>
          </w:tcPr>
          <w:p w:rsidR="00786AF4" w:rsidRDefault="00786AF4" w:rsidP="00A55339">
            <w:pPr>
              <w:ind w:firstLineChars="100" w:firstLine="240"/>
            </w:pPr>
            <w:r>
              <w:t>Total</w:t>
            </w:r>
          </w:p>
        </w:tc>
        <w:tc>
          <w:tcPr>
            <w:tcW w:w="543" w:type="dxa"/>
            <w:tcBorders>
              <w:top w:val="nil"/>
              <w:left w:val="nil"/>
              <w:bottom w:val="nil"/>
              <w:right w:val="nil"/>
            </w:tcBorders>
            <w:shd w:val="clear" w:color="auto" w:fill="auto"/>
            <w:noWrap/>
            <w:vAlign w:val="bottom"/>
            <w:hideMark/>
          </w:tcPr>
          <w:p w:rsidR="00786AF4" w:rsidRDefault="00786AF4" w:rsidP="00A55339">
            <w:pPr>
              <w:jc w:val="center"/>
            </w:pPr>
            <w:r>
              <w:t>429</w:t>
            </w:r>
          </w:p>
        </w:tc>
        <w:tc>
          <w:tcPr>
            <w:tcW w:w="1720" w:type="dxa"/>
            <w:tcBorders>
              <w:top w:val="nil"/>
              <w:left w:val="nil"/>
              <w:bottom w:val="nil"/>
              <w:right w:val="nil"/>
            </w:tcBorders>
            <w:shd w:val="clear" w:color="auto" w:fill="auto"/>
            <w:noWrap/>
            <w:vAlign w:val="bottom"/>
            <w:hideMark/>
          </w:tcPr>
          <w:p w:rsidR="00786AF4" w:rsidRDefault="00786AF4" w:rsidP="00A55339">
            <w:pPr>
              <w:jc w:val="center"/>
            </w:pPr>
            <w:r>
              <w:t>100</w:t>
            </w:r>
          </w:p>
        </w:tc>
      </w:tr>
      <w:tr w:rsidR="00786AF4" w:rsidTr="00A55339">
        <w:trPr>
          <w:trHeight w:val="320"/>
        </w:trPr>
        <w:tc>
          <w:tcPr>
            <w:tcW w:w="4157" w:type="dxa"/>
            <w:tcBorders>
              <w:top w:val="nil"/>
              <w:left w:val="nil"/>
              <w:bottom w:val="nil"/>
              <w:right w:val="nil"/>
            </w:tcBorders>
            <w:shd w:val="clear" w:color="auto" w:fill="auto"/>
            <w:noWrap/>
            <w:vAlign w:val="bottom"/>
            <w:hideMark/>
          </w:tcPr>
          <w:p w:rsidR="00786AF4" w:rsidRDefault="00786AF4" w:rsidP="00A55339">
            <w:pPr>
              <w:jc w:val="center"/>
            </w:pPr>
          </w:p>
        </w:tc>
        <w:tc>
          <w:tcPr>
            <w:tcW w:w="543" w:type="dxa"/>
            <w:tcBorders>
              <w:top w:val="nil"/>
              <w:left w:val="nil"/>
              <w:bottom w:val="nil"/>
              <w:right w:val="nil"/>
            </w:tcBorders>
            <w:shd w:val="clear" w:color="auto" w:fill="auto"/>
            <w:noWrap/>
            <w:vAlign w:val="bottom"/>
            <w:hideMark/>
          </w:tcPr>
          <w:p w:rsidR="00786AF4" w:rsidRDefault="00786AF4" w:rsidP="00A55339">
            <w:pPr>
              <w:ind w:firstLineChars="100" w:firstLine="200"/>
              <w:rPr>
                <w:sz w:val="20"/>
                <w:szCs w:val="20"/>
              </w:rPr>
            </w:pPr>
          </w:p>
        </w:tc>
        <w:tc>
          <w:tcPr>
            <w:tcW w:w="1720" w:type="dxa"/>
            <w:tcBorders>
              <w:top w:val="nil"/>
              <w:left w:val="nil"/>
              <w:bottom w:val="nil"/>
              <w:right w:val="nil"/>
            </w:tcBorders>
            <w:shd w:val="clear" w:color="auto" w:fill="auto"/>
            <w:noWrap/>
            <w:vAlign w:val="bottom"/>
            <w:hideMark/>
          </w:tcPr>
          <w:p w:rsidR="00786AF4" w:rsidRDefault="00786AF4" w:rsidP="00A55339">
            <w:pPr>
              <w:jc w:val="center"/>
              <w:rPr>
                <w:sz w:val="20"/>
                <w:szCs w:val="20"/>
              </w:rPr>
            </w:pPr>
          </w:p>
        </w:tc>
      </w:tr>
      <w:tr w:rsidR="00786AF4" w:rsidTr="00A55339">
        <w:trPr>
          <w:trHeight w:val="320"/>
        </w:trPr>
        <w:tc>
          <w:tcPr>
            <w:tcW w:w="4157" w:type="dxa"/>
            <w:tcBorders>
              <w:top w:val="nil"/>
              <w:left w:val="nil"/>
              <w:bottom w:val="nil"/>
              <w:right w:val="nil"/>
            </w:tcBorders>
            <w:shd w:val="clear" w:color="auto" w:fill="auto"/>
            <w:noWrap/>
            <w:vAlign w:val="bottom"/>
            <w:hideMark/>
          </w:tcPr>
          <w:p w:rsidR="00786AF4" w:rsidRDefault="00786AF4" w:rsidP="00A55339">
            <w:r>
              <w:t>Gender</w:t>
            </w:r>
          </w:p>
        </w:tc>
        <w:tc>
          <w:tcPr>
            <w:tcW w:w="543" w:type="dxa"/>
            <w:tcBorders>
              <w:top w:val="nil"/>
              <w:left w:val="nil"/>
              <w:bottom w:val="nil"/>
              <w:right w:val="nil"/>
            </w:tcBorders>
            <w:shd w:val="clear" w:color="auto" w:fill="auto"/>
            <w:noWrap/>
            <w:vAlign w:val="bottom"/>
            <w:hideMark/>
          </w:tcPr>
          <w:p w:rsidR="00786AF4" w:rsidRDefault="00786AF4" w:rsidP="00A55339"/>
        </w:tc>
        <w:tc>
          <w:tcPr>
            <w:tcW w:w="1720" w:type="dxa"/>
            <w:tcBorders>
              <w:top w:val="nil"/>
              <w:left w:val="nil"/>
              <w:bottom w:val="nil"/>
              <w:right w:val="nil"/>
            </w:tcBorders>
            <w:shd w:val="clear" w:color="auto" w:fill="auto"/>
            <w:noWrap/>
            <w:vAlign w:val="bottom"/>
            <w:hideMark/>
          </w:tcPr>
          <w:p w:rsidR="00786AF4" w:rsidRDefault="00786AF4" w:rsidP="00A55339">
            <w:pPr>
              <w:jc w:val="center"/>
              <w:rPr>
                <w:sz w:val="20"/>
                <w:szCs w:val="20"/>
              </w:rPr>
            </w:pPr>
          </w:p>
        </w:tc>
      </w:tr>
      <w:tr w:rsidR="00786AF4" w:rsidTr="00A55339">
        <w:trPr>
          <w:trHeight w:val="320"/>
        </w:trPr>
        <w:tc>
          <w:tcPr>
            <w:tcW w:w="4157" w:type="dxa"/>
            <w:tcBorders>
              <w:top w:val="nil"/>
              <w:left w:val="nil"/>
              <w:bottom w:val="nil"/>
              <w:right w:val="nil"/>
            </w:tcBorders>
            <w:shd w:val="clear" w:color="auto" w:fill="auto"/>
            <w:noWrap/>
            <w:vAlign w:val="bottom"/>
            <w:hideMark/>
          </w:tcPr>
          <w:p w:rsidR="00786AF4" w:rsidRDefault="00786AF4" w:rsidP="00A55339">
            <w:pPr>
              <w:ind w:firstLineChars="100" w:firstLine="240"/>
            </w:pPr>
            <w:r>
              <w:t>Female</w:t>
            </w:r>
          </w:p>
        </w:tc>
        <w:tc>
          <w:tcPr>
            <w:tcW w:w="543" w:type="dxa"/>
            <w:tcBorders>
              <w:top w:val="nil"/>
              <w:left w:val="nil"/>
              <w:bottom w:val="nil"/>
              <w:right w:val="nil"/>
            </w:tcBorders>
            <w:shd w:val="clear" w:color="auto" w:fill="auto"/>
            <w:noWrap/>
            <w:vAlign w:val="bottom"/>
            <w:hideMark/>
          </w:tcPr>
          <w:p w:rsidR="00786AF4" w:rsidRDefault="00786AF4" w:rsidP="00A55339">
            <w:pPr>
              <w:jc w:val="center"/>
            </w:pPr>
            <w:r>
              <w:t>282</w:t>
            </w:r>
          </w:p>
        </w:tc>
        <w:tc>
          <w:tcPr>
            <w:tcW w:w="1720" w:type="dxa"/>
            <w:tcBorders>
              <w:top w:val="nil"/>
              <w:left w:val="nil"/>
              <w:bottom w:val="nil"/>
              <w:right w:val="nil"/>
            </w:tcBorders>
            <w:shd w:val="clear" w:color="auto" w:fill="auto"/>
            <w:noWrap/>
            <w:vAlign w:val="bottom"/>
            <w:hideMark/>
          </w:tcPr>
          <w:p w:rsidR="00786AF4" w:rsidRDefault="00786AF4" w:rsidP="00A55339">
            <w:pPr>
              <w:jc w:val="center"/>
            </w:pPr>
            <w:r>
              <w:t>65.8</w:t>
            </w:r>
          </w:p>
        </w:tc>
      </w:tr>
      <w:tr w:rsidR="00786AF4" w:rsidTr="00A55339">
        <w:trPr>
          <w:trHeight w:val="320"/>
        </w:trPr>
        <w:tc>
          <w:tcPr>
            <w:tcW w:w="4157" w:type="dxa"/>
            <w:tcBorders>
              <w:top w:val="nil"/>
              <w:left w:val="nil"/>
              <w:bottom w:val="nil"/>
              <w:right w:val="nil"/>
            </w:tcBorders>
            <w:shd w:val="clear" w:color="auto" w:fill="auto"/>
            <w:noWrap/>
            <w:vAlign w:val="bottom"/>
            <w:hideMark/>
          </w:tcPr>
          <w:p w:rsidR="00786AF4" w:rsidRDefault="00786AF4" w:rsidP="00A55339">
            <w:pPr>
              <w:ind w:firstLineChars="100" w:firstLine="240"/>
            </w:pPr>
            <w:r>
              <w:t>Male</w:t>
            </w:r>
          </w:p>
        </w:tc>
        <w:tc>
          <w:tcPr>
            <w:tcW w:w="543" w:type="dxa"/>
            <w:tcBorders>
              <w:top w:val="nil"/>
              <w:left w:val="nil"/>
              <w:bottom w:val="nil"/>
              <w:right w:val="nil"/>
            </w:tcBorders>
            <w:shd w:val="clear" w:color="auto" w:fill="auto"/>
            <w:noWrap/>
            <w:vAlign w:val="bottom"/>
            <w:hideMark/>
          </w:tcPr>
          <w:p w:rsidR="00786AF4" w:rsidRDefault="00786AF4" w:rsidP="00A55339">
            <w:pPr>
              <w:jc w:val="center"/>
            </w:pPr>
            <w:r>
              <w:t>146</w:t>
            </w:r>
          </w:p>
        </w:tc>
        <w:tc>
          <w:tcPr>
            <w:tcW w:w="1720" w:type="dxa"/>
            <w:tcBorders>
              <w:top w:val="nil"/>
              <w:left w:val="nil"/>
              <w:bottom w:val="nil"/>
              <w:right w:val="nil"/>
            </w:tcBorders>
            <w:shd w:val="clear" w:color="auto" w:fill="auto"/>
            <w:noWrap/>
            <w:vAlign w:val="bottom"/>
            <w:hideMark/>
          </w:tcPr>
          <w:p w:rsidR="00786AF4" w:rsidRDefault="00786AF4" w:rsidP="00A55339">
            <w:pPr>
              <w:jc w:val="center"/>
            </w:pPr>
            <w:r>
              <w:t>34</w:t>
            </w:r>
          </w:p>
        </w:tc>
      </w:tr>
      <w:tr w:rsidR="00786AF4" w:rsidTr="00A55339">
        <w:trPr>
          <w:trHeight w:val="320"/>
        </w:trPr>
        <w:tc>
          <w:tcPr>
            <w:tcW w:w="4157" w:type="dxa"/>
            <w:tcBorders>
              <w:top w:val="nil"/>
              <w:left w:val="nil"/>
              <w:bottom w:val="nil"/>
              <w:right w:val="nil"/>
            </w:tcBorders>
            <w:shd w:val="clear" w:color="auto" w:fill="auto"/>
            <w:noWrap/>
            <w:vAlign w:val="bottom"/>
            <w:hideMark/>
          </w:tcPr>
          <w:p w:rsidR="00786AF4" w:rsidRDefault="00786AF4" w:rsidP="00A55339">
            <w:pPr>
              <w:ind w:firstLineChars="100" w:firstLine="240"/>
            </w:pPr>
            <w:r>
              <w:t>Other</w:t>
            </w:r>
          </w:p>
        </w:tc>
        <w:tc>
          <w:tcPr>
            <w:tcW w:w="543" w:type="dxa"/>
            <w:tcBorders>
              <w:top w:val="nil"/>
              <w:left w:val="nil"/>
              <w:bottom w:val="nil"/>
              <w:right w:val="nil"/>
            </w:tcBorders>
            <w:shd w:val="clear" w:color="auto" w:fill="auto"/>
            <w:noWrap/>
            <w:vAlign w:val="bottom"/>
            <w:hideMark/>
          </w:tcPr>
          <w:p w:rsidR="00786AF4" w:rsidRDefault="00786AF4" w:rsidP="00A55339">
            <w:pPr>
              <w:jc w:val="center"/>
            </w:pPr>
            <w:r>
              <w:t>1</w:t>
            </w:r>
          </w:p>
        </w:tc>
        <w:tc>
          <w:tcPr>
            <w:tcW w:w="1720" w:type="dxa"/>
            <w:tcBorders>
              <w:top w:val="nil"/>
              <w:left w:val="nil"/>
              <w:bottom w:val="nil"/>
              <w:right w:val="nil"/>
            </w:tcBorders>
            <w:shd w:val="clear" w:color="auto" w:fill="auto"/>
            <w:noWrap/>
            <w:vAlign w:val="bottom"/>
            <w:hideMark/>
          </w:tcPr>
          <w:p w:rsidR="00786AF4" w:rsidRDefault="00786AF4" w:rsidP="00A55339">
            <w:pPr>
              <w:jc w:val="center"/>
            </w:pPr>
            <w:r>
              <w:t>0.2</w:t>
            </w:r>
          </w:p>
        </w:tc>
      </w:tr>
      <w:tr w:rsidR="00786AF4" w:rsidTr="00A55339">
        <w:trPr>
          <w:trHeight w:val="320"/>
        </w:trPr>
        <w:tc>
          <w:tcPr>
            <w:tcW w:w="4157" w:type="dxa"/>
            <w:tcBorders>
              <w:top w:val="nil"/>
              <w:left w:val="nil"/>
              <w:bottom w:val="nil"/>
              <w:right w:val="nil"/>
            </w:tcBorders>
            <w:shd w:val="clear" w:color="auto" w:fill="auto"/>
            <w:noWrap/>
            <w:vAlign w:val="bottom"/>
            <w:hideMark/>
          </w:tcPr>
          <w:p w:rsidR="00786AF4" w:rsidRDefault="00786AF4" w:rsidP="00A55339">
            <w:pPr>
              <w:ind w:firstLineChars="100" w:firstLine="240"/>
            </w:pPr>
            <w:r>
              <w:t>Total</w:t>
            </w:r>
          </w:p>
        </w:tc>
        <w:tc>
          <w:tcPr>
            <w:tcW w:w="543" w:type="dxa"/>
            <w:tcBorders>
              <w:top w:val="nil"/>
              <w:left w:val="nil"/>
              <w:bottom w:val="nil"/>
              <w:right w:val="nil"/>
            </w:tcBorders>
            <w:shd w:val="clear" w:color="auto" w:fill="auto"/>
            <w:noWrap/>
            <w:vAlign w:val="bottom"/>
            <w:hideMark/>
          </w:tcPr>
          <w:p w:rsidR="00786AF4" w:rsidRDefault="00786AF4" w:rsidP="00A55339">
            <w:pPr>
              <w:jc w:val="center"/>
            </w:pPr>
            <w:r>
              <w:t>429</w:t>
            </w:r>
          </w:p>
        </w:tc>
        <w:tc>
          <w:tcPr>
            <w:tcW w:w="1720" w:type="dxa"/>
            <w:tcBorders>
              <w:top w:val="nil"/>
              <w:left w:val="nil"/>
              <w:bottom w:val="nil"/>
              <w:right w:val="nil"/>
            </w:tcBorders>
            <w:shd w:val="clear" w:color="auto" w:fill="auto"/>
            <w:noWrap/>
            <w:vAlign w:val="bottom"/>
            <w:hideMark/>
          </w:tcPr>
          <w:p w:rsidR="00786AF4" w:rsidRDefault="00786AF4" w:rsidP="00A55339">
            <w:pPr>
              <w:jc w:val="center"/>
            </w:pPr>
            <w:r>
              <w:t>100</w:t>
            </w:r>
          </w:p>
        </w:tc>
      </w:tr>
      <w:tr w:rsidR="00786AF4" w:rsidTr="00A55339">
        <w:trPr>
          <w:trHeight w:val="320"/>
        </w:trPr>
        <w:tc>
          <w:tcPr>
            <w:tcW w:w="4157" w:type="dxa"/>
            <w:tcBorders>
              <w:top w:val="nil"/>
              <w:left w:val="nil"/>
              <w:bottom w:val="nil"/>
              <w:right w:val="nil"/>
            </w:tcBorders>
            <w:shd w:val="clear" w:color="auto" w:fill="auto"/>
            <w:noWrap/>
            <w:vAlign w:val="bottom"/>
            <w:hideMark/>
          </w:tcPr>
          <w:p w:rsidR="00786AF4" w:rsidRDefault="00786AF4" w:rsidP="00A55339">
            <w:pPr>
              <w:jc w:val="center"/>
            </w:pPr>
          </w:p>
        </w:tc>
        <w:tc>
          <w:tcPr>
            <w:tcW w:w="543" w:type="dxa"/>
            <w:tcBorders>
              <w:top w:val="nil"/>
              <w:left w:val="nil"/>
              <w:bottom w:val="nil"/>
              <w:right w:val="nil"/>
            </w:tcBorders>
            <w:shd w:val="clear" w:color="auto" w:fill="auto"/>
            <w:noWrap/>
            <w:vAlign w:val="bottom"/>
            <w:hideMark/>
          </w:tcPr>
          <w:p w:rsidR="00786AF4" w:rsidRDefault="00786AF4" w:rsidP="00A55339">
            <w:pPr>
              <w:ind w:firstLineChars="100" w:firstLine="200"/>
              <w:rPr>
                <w:sz w:val="20"/>
                <w:szCs w:val="20"/>
              </w:rPr>
            </w:pPr>
          </w:p>
        </w:tc>
        <w:tc>
          <w:tcPr>
            <w:tcW w:w="1720" w:type="dxa"/>
            <w:tcBorders>
              <w:top w:val="nil"/>
              <w:left w:val="nil"/>
              <w:bottom w:val="nil"/>
              <w:right w:val="nil"/>
            </w:tcBorders>
            <w:shd w:val="clear" w:color="auto" w:fill="auto"/>
            <w:noWrap/>
            <w:vAlign w:val="bottom"/>
            <w:hideMark/>
          </w:tcPr>
          <w:p w:rsidR="00786AF4" w:rsidRDefault="00786AF4" w:rsidP="00A55339">
            <w:pPr>
              <w:jc w:val="center"/>
              <w:rPr>
                <w:sz w:val="20"/>
                <w:szCs w:val="20"/>
              </w:rPr>
            </w:pPr>
          </w:p>
        </w:tc>
      </w:tr>
      <w:tr w:rsidR="00786AF4" w:rsidTr="00A55339">
        <w:trPr>
          <w:trHeight w:val="320"/>
        </w:trPr>
        <w:tc>
          <w:tcPr>
            <w:tcW w:w="4157" w:type="dxa"/>
            <w:tcBorders>
              <w:top w:val="nil"/>
              <w:left w:val="nil"/>
              <w:bottom w:val="nil"/>
              <w:right w:val="nil"/>
            </w:tcBorders>
            <w:shd w:val="clear" w:color="auto" w:fill="auto"/>
            <w:noWrap/>
            <w:vAlign w:val="bottom"/>
            <w:hideMark/>
          </w:tcPr>
          <w:p w:rsidR="00786AF4" w:rsidRDefault="00786AF4" w:rsidP="00A55339">
            <w:r>
              <w:t>Race/Ethnicity</w:t>
            </w:r>
          </w:p>
        </w:tc>
        <w:tc>
          <w:tcPr>
            <w:tcW w:w="543" w:type="dxa"/>
            <w:tcBorders>
              <w:top w:val="nil"/>
              <w:left w:val="nil"/>
              <w:bottom w:val="nil"/>
              <w:right w:val="nil"/>
            </w:tcBorders>
            <w:shd w:val="clear" w:color="auto" w:fill="auto"/>
            <w:noWrap/>
            <w:vAlign w:val="bottom"/>
            <w:hideMark/>
          </w:tcPr>
          <w:p w:rsidR="00786AF4" w:rsidRDefault="00786AF4" w:rsidP="00A55339"/>
        </w:tc>
        <w:tc>
          <w:tcPr>
            <w:tcW w:w="1720" w:type="dxa"/>
            <w:tcBorders>
              <w:top w:val="nil"/>
              <w:left w:val="nil"/>
              <w:bottom w:val="nil"/>
              <w:right w:val="nil"/>
            </w:tcBorders>
            <w:shd w:val="clear" w:color="auto" w:fill="auto"/>
            <w:noWrap/>
            <w:vAlign w:val="bottom"/>
            <w:hideMark/>
          </w:tcPr>
          <w:p w:rsidR="00786AF4" w:rsidRDefault="00786AF4" w:rsidP="00A55339">
            <w:pPr>
              <w:jc w:val="center"/>
              <w:rPr>
                <w:sz w:val="20"/>
                <w:szCs w:val="20"/>
              </w:rPr>
            </w:pPr>
          </w:p>
        </w:tc>
      </w:tr>
      <w:tr w:rsidR="00786AF4" w:rsidTr="00A55339">
        <w:trPr>
          <w:trHeight w:val="320"/>
        </w:trPr>
        <w:tc>
          <w:tcPr>
            <w:tcW w:w="4157" w:type="dxa"/>
            <w:tcBorders>
              <w:top w:val="nil"/>
              <w:left w:val="nil"/>
              <w:bottom w:val="nil"/>
              <w:right w:val="nil"/>
            </w:tcBorders>
            <w:shd w:val="clear" w:color="auto" w:fill="auto"/>
            <w:noWrap/>
            <w:vAlign w:val="bottom"/>
            <w:hideMark/>
          </w:tcPr>
          <w:p w:rsidR="00786AF4" w:rsidRDefault="00786AF4" w:rsidP="00A55339">
            <w:pPr>
              <w:ind w:firstLineChars="100" w:firstLine="240"/>
            </w:pPr>
            <w:r>
              <w:t>Native</w:t>
            </w:r>
          </w:p>
        </w:tc>
        <w:tc>
          <w:tcPr>
            <w:tcW w:w="543" w:type="dxa"/>
            <w:tcBorders>
              <w:top w:val="nil"/>
              <w:left w:val="nil"/>
              <w:bottom w:val="nil"/>
              <w:right w:val="nil"/>
            </w:tcBorders>
            <w:shd w:val="clear" w:color="auto" w:fill="auto"/>
            <w:noWrap/>
            <w:vAlign w:val="bottom"/>
            <w:hideMark/>
          </w:tcPr>
          <w:p w:rsidR="00786AF4" w:rsidRDefault="00786AF4" w:rsidP="00A55339">
            <w:pPr>
              <w:jc w:val="center"/>
            </w:pPr>
            <w:r>
              <w:t>2</w:t>
            </w:r>
          </w:p>
        </w:tc>
        <w:tc>
          <w:tcPr>
            <w:tcW w:w="1720" w:type="dxa"/>
            <w:tcBorders>
              <w:top w:val="nil"/>
              <w:left w:val="nil"/>
              <w:bottom w:val="nil"/>
              <w:right w:val="nil"/>
            </w:tcBorders>
            <w:shd w:val="clear" w:color="auto" w:fill="auto"/>
            <w:noWrap/>
            <w:vAlign w:val="bottom"/>
            <w:hideMark/>
          </w:tcPr>
          <w:p w:rsidR="00786AF4" w:rsidRDefault="00786AF4" w:rsidP="00A55339">
            <w:pPr>
              <w:jc w:val="center"/>
            </w:pPr>
            <w:r>
              <w:t>0.5</w:t>
            </w:r>
          </w:p>
        </w:tc>
      </w:tr>
      <w:tr w:rsidR="00786AF4" w:rsidTr="00A55339">
        <w:trPr>
          <w:trHeight w:val="320"/>
        </w:trPr>
        <w:tc>
          <w:tcPr>
            <w:tcW w:w="4157" w:type="dxa"/>
            <w:tcBorders>
              <w:top w:val="nil"/>
              <w:left w:val="nil"/>
              <w:bottom w:val="nil"/>
              <w:right w:val="nil"/>
            </w:tcBorders>
            <w:shd w:val="clear" w:color="auto" w:fill="auto"/>
            <w:noWrap/>
            <w:vAlign w:val="bottom"/>
            <w:hideMark/>
          </w:tcPr>
          <w:p w:rsidR="00786AF4" w:rsidRDefault="00786AF4" w:rsidP="00A55339">
            <w:pPr>
              <w:ind w:firstLineChars="100" w:firstLine="240"/>
            </w:pPr>
            <w:r>
              <w:t>Asian</w:t>
            </w:r>
          </w:p>
        </w:tc>
        <w:tc>
          <w:tcPr>
            <w:tcW w:w="543" w:type="dxa"/>
            <w:tcBorders>
              <w:top w:val="nil"/>
              <w:left w:val="nil"/>
              <w:bottom w:val="nil"/>
              <w:right w:val="nil"/>
            </w:tcBorders>
            <w:shd w:val="clear" w:color="auto" w:fill="auto"/>
            <w:noWrap/>
            <w:vAlign w:val="bottom"/>
            <w:hideMark/>
          </w:tcPr>
          <w:p w:rsidR="00786AF4" w:rsidRDefault="00786AF4" w:rsidP="00A55339">
            <w:pPr>
              <w:jc w:val="center"/>
            </w:pPr>
            <w:r>
              <w:t>14</w:t>
            </w:r>
          </w:p>
        </w:tc>
        <w:tc>
          <w:tcPr>
            <w:tcW w:w="1720" w:type="dxa"/>
            <w:tcBorders>
              <w:top w:val="nil"/>
              <w:left w:val="nil"/>
              <w:bottom w:val="nil"/>
              <w:right w:val="nil"/>
            </w:tcBorders>
            <w:shd w:val="clear" w:color="auto" w:fill="auto"/>
            <w:noWrap/>
            <w:vAlign w:val="bottom"/>
            <w:hideMark/>
          </w:tcPr>
          <w:p w:rsidR="00786AF4" w:rsidRDefault="00786AF4" w:rsidP="00A55339">
            <w:pPr>
              <w:jc w:val="center"/>
            </w:pPr>
            <w:r>
              <w:t>3.3</w:t>
            </w:r>
          </w:p>
        </w:tc>
      </w:tr>
      <w:tr w:rsidR="00786AF4" w:rsidTr="00A55339">
        <w:trPr>
          <w:trHeight w:val="320"/>
        </w:trPr>
        <w:tc>
          <w:tcPr>
            <w:tcW w:w="4157" w:type="dxa"/>
            <w:tcBorders>
              <w:top w:val="nil"/>
              <w:left w:val="nil"/>
              <w:bottom w:val="nil"/>
              <w:right w:val="nil"/>
            </w:tcBorders>
            <w:shd w:val="clear" w:color="auto" w:fill="auto"/>
            <w:noWrap/>
            <w:vAlign w:val="bottom"/>
            <w:hideMark/>
          </w:tcPr>
          <w:p w:rsidR="00786AF4" w:rsidRDefault="00786AF4" w:rsidP="00A55339">
            <w:pPr>
              <w:ind w:firstLineChars="100" w:firstLine="240"/>
            </w:pPr>
            <w:r>
              <w:t>Black</w:t>
            </w:r>
          </w:p>
        </w:tc>
        <w:tc>
          <w:tcPr>
            <w:tcW w:w="543" w:type="dxa"/>
            <w:tcBorders>
              <w:top w:val="nil"/>
              <w:left w:val="nil"/>
              <w:bottom w:val="nil"/>
              <w:right w:val="nil"/>
            </w:tcBorders>
            <w:shd w:val="clear" w:color="auto" w:fill="auto"/>
            <w:noWrap/>
            <w:vAlign w:val="bottom"/>
            <w:hideMark/>
          </w:tcPr>
          <w:p w:rsidR="00786AF4" w:rsidRDefault="00786AF4" w:rsidP="00A55339">
            <w:pPr>
              <w:jc w:val="center"/>
            </w:pPr>
            <w:r>
              <w:t>172</w:t>
            </w:r>
          </w:p>
        </w:tc>
        <w:tc>
          <w:tcPr>
            <w:tcW w:w="1720" w:type="dxa"/>
            <w:tcBorders>
              <w:top w:val="nil"/>
              <w:left w:val="nil"/>
              <w:bottom w:val="nil"/>
              <w:right w:val="nil"/>
            </w:tcBorders>
            <w:shd w:val="clear" w:color="auto" w:fill="auto"/>
            <w:noWrap/>
            <w:vAlign w:val="bottom"/>
            <w:hideMark/>
          </w:tcPr>
          <w:p w:rsidR="00786AF4" w:rsidRDefault="00786AF4" w:rsidP="00A55339">
            <w:pPr>
              <w:jc w:val="center"/>
            </w:pPr>
            <w:r>
              <w:t>40.1</w:t>
            </w:r>
          </w:p>
        </w:tc>
      </w:tr>
      <w:tr w:rsidR="00786AF4" w:rsidTr="00A55339">
        <w:trPr>
          <w:trHeight w:val="320"/>
        </w:trPr>
        <w:tc>
          <w:tcPr>
            <w:tcW w:w="4157" w:type="dxa"/>
            <w:tcBorders>
              <w:top w:val="nil"/>
              <w:left w:val="nil"/>
              <w:bottom w:val="nil"/>
              <w:right w:val="nil"/>
            </w:tcBorders>
            <w:shd w:val="clear" w:color="auto" w:fill="auto"/>
            <w:noWrap/>
            <w:vAlign w:val="bottom"/>
            <w:hideMark/>
          </w:tcPr>
          <w:p w:rsidR="00786AF4" w:rsidRDefault="00786AF4" w:rsidP="00A55339">
            <w:pPr>
              <w:ind w:firstLineChars="100" w:firstLine="240"/>
            </w:pPr>
            <w:r>
              <w:t>Hispanic</w:t>
            </w:r>
          </w:p>
        </w:tc>
        <w:tc>
          <w:tcPr>
            <w:tcW w:w="543" w:type="dxa"/>
            <w:tcBorders>
              <w:top w:val="nil"/>
              <w:left w:val="nil"/>
              <w:bottom w:val="nil"/>
              <w:right w:val="nil"/>
            </w:tcBorders>
            <w:shd w:val="clear" w:color="auto" w:fill="auto"/>
            <w:noWrap/>
            <w:vAlign w:val="bottom"/>
            <w:hideMark/>
          </w:tcPr>
          <w:p w:rsidR="00786AF4" w:rsidRDefault="00786AF4" w:rsidP="00A55339">
            <w:pPr>
              <w:jc w:val="center"/>
            </w:pPr>
            <w:r>
              <w:t>20</w:t>
            </w:r>
          </w:p>
        </w:tc>
        <w:tc>
          <w:tcPr>
            <w:tcW w:w="1720" w:type="dxa"/>
            <w:tcBorders>
              <w:top w:val="nil"/>
              <w:left w:val="nil"/>
              <w:bottom w:val="nil"/>
              <w:right w:val="nil"/>
            </w:tcBorders>
            <w:shd w:val="clear" w:color="auto" w:fill="auto"/>
            <w:noWrap/>
            <w:vAlign w:val="bottom"/>
            <w:hideMark/>
          </w:tcPr>
          <w:p w:rsidR="00786AF4" w:rsidRDefault="00786AF4" w:rsidP="00A55339">
            <w:pPr>
              <w:jc w:val="center"/>
            </w:pPr>
            <w:r>
              <w:t>4.6</w:t>
            </w:r>
          </w:p>
        </w:tc>
      </w:tr>
      <w:tr w:rsidR="00786AF4" w:rsidTr="00A55339">
        <w:trPr>
          <w:trHeight w:val="320"/>
        </w:trPr>
        <w:tc>
          <w:tcPr>
            <w:tcW w:w="4157" w:type="dxa"/>
            <w:tcBorders>
              <w:top w:val="nil"/>
              <w:left w:val="nil"/>
              <w:bottom w:val="nil"/>
              <w:right w:val="nil"/>
            </w:tcBorders>
            <w:shd w:val="clear" w:color="auto" w:fill="auto"/>
            <w:noWrap/>
            <w:vAlign w:val="bottom"/>
            <w:hideMark/>
          </w:tcPr>
          <w:p w:rsidR="00786AF4" w:rsidRDefault="00786AF4" w:rsidP="00A55339">
            <w:pPr>
              <w:ind w:firstLineChars="100" w:firstLine="240"/>
            </w:pPr>
            <w:r>
              <w:t>Islander</w:t>
            </w:r>
          </w:p>
        </w:tc>
        <w:tc>
          <w:tcPr>
            <w:tcW w:w="543" w:type="dxa"/>
            <w:tcBorders>
              <w:top w:val="nil"/>
              <w:left w:val="nil"/>
              <w:bottom w:val="nil"/>
              <w:right w:val="nil"/>
            </w:tcBorders>
            <w:shd w:val="clear" w:color="auto" w:fill="auto"/>
            <w:noWrap/>
            <w:vAlign w:val="bottom"/>
            <w:hideMark/>
          </w:tcPr>
          <w:p w:rsidR="00786AF4" w:rsidRDefault="00786AF4" w:rsidP="00A55339">
            <w:pPr>
              <w:jc w:val="center"/>
            </w:pPr>
            <w:r>
              <w:t>0</w:t>
            </w:r>
          </w:p>
        </w:tc>
        <w:tc>
          <w:tcPr>
            <w:tcW w:w="1720" w:type="dxa"/>
            <w:tcBorders>
              <w:top w:val="nil"/>
              <w:left w:val="nil"/>
              <w:bottom w:val="nil"/>
              <w:right w:val="nil"/>
            </w:tcBorders>
            <w:shd w:val="clear" w:color="auto" w:fill="auto"/>
            <w:noWrap/>
            <w:vAlign w:val="bottom"/>
            <w:hideMark/>
          </w:tcPr>
          <w:p w:rsidR="00786AF4" w:rsidRDefault="00786AF4" w:rsidP="00A55339">
            <w:pPr>
              <w:jc w:val="center"/>
            </w:pPr>
            <w:r>
              <w:t>0</w:t>
            </w:r>
          </w:p>
        </w:tc>
      </w:tr>
      <w:tr w:rsidR="00786AF4" w:rsidTr="00A55339">
        <w:trPr>
          <w:trHeight w:val="320"/>
        </w:trPr>
        <w:tc>
          <w:tcPr>
            <w:tcW w:w="4157" w:type="dxa"/>
            <w:tcBorders>
              <w:top w:val="nil"/>
              <w:left w:val="nil"/>
              <w:bottom w:val="nil"/>
              <w:right w:val="nil"/>
            </w:tcBorders>
            <w:shd w:val="clear" w:color="auto" w:fill="auto"/>
            <w:noWrap/>
            <w:vAlign w:val="bottom"/>
            <w:hideMark/>
          </w:tcPr>
          <w:p w:rsidR="00786AF4" w:rsidRDefault="00786AF4" w:rsidP="00A55339">
            <w:pPr>
              <w:ind w:firstLineChars="100" w:firstLine="240"/>
            </w:pPr>
            <w:r>
              <w:t>White</w:t>
            </w:r>
          </w:p>
        </w:tc>
        <w:tc>
          <w:tcPr>
            <w:tcW w:w="543" w:type="dxa"/>
            <w:tcBorders>
              <w:top w:val="nil"/>
              <w:left w:val="nil"/>
              <w:bottom w:val="nil"/>
              <w:right w:val="nil"/>
            </w:tcBorders>
            <w:shd w:val="clear" w:color="auto" w:fill="auto"/>
            <w:noWrap/>
            <w:vAlign w:val="bottom"/>
            <w:hideMark/>
          </w:tcPr>
          <w:p w:rsidR="00786AF4" w:rsidRDefault="00786AF4" w:rsidP="00A55339">
            <w:pPr>
              <w:jc w:val="center"/>
            </w:pPr>
            <w:r>
              <w:t>205</w:t>
            </w:r>
          </w:p>
        </w:tc>
        <w:tc>
          <w:tcPr>
            <w:tcW w:w="1720" w:type="dxa"/>
            <w:tcBorders>
              <w:top w:val="nil"/>
              <w:left w:val="nil"/>
              <w:bottom w:val="nil"/>
              <w:right w:val="nil"/>
            </w:tcBorders>
            <w:shd w:val="clear" w:color="auto" w:fill="auto"/>
            <w:noWrap/>
            <w:vAlign w:val="bottom"/>
            <w:hideMark/>
          </w:tcPr>
          <w:p w:rsidR="00786AF4" w:rsidRDefault="00786AF4" w:rsidP="00A55339">
            <w:pPr>
              <w:jc w:val="center"/>
            </w:pPr>
            <w:r>
              <w:t>47.8</w:t>
            </w:r>
          </w:p>
        </w:tc>
      </w:tr>
      <w:tr w:rsidR="00786AF4" w:rsidTr="00A55339">
        <w:trPr>
          <w:trHeight w:val="320"/>
        </w:trPr>
        <w:tc>
          <w:tcPr>
            <w:tcW w:w="4157" w:type="dxa"/>
            <w:tcBorders>
              <w:top w:val="nil"/>
              <w:left w:val="nil"/>
              <w:bottom w:val="nil"/>
              <w:right w:val="nil"/>
            </w:tcBorders>
            <w:shd w:val="clear" w:color="auto" w:fill="auto"/>
            <w:noWrap/>
            <w:vAlign w:val="bottom"/>
            <w:hideMark/>
          </w:tcPr>
          <w:p w:rsidR="00786AF4" w:rsidRDefault="00786AF4" w:rsidP="00A55339">
            <w:pPr>
              <w:ind w:firstLineChars="100" w:firstLine="240"/>
            </w:pPr>
            <w:r>
              <w:t>Multi &amp; Other</w:t>
            </w:r>
          </w:p>
        </w:tc>
        <w:tc>
          <w:tcPr>
            <w:tcW w:w="543" w:type="dxa"/>
            <w:tcBorders>
              <w:top w:val="nil"/>
              <w:left w:val="nil"/>
              <w:bottom w:val="nil"/>
              <w:right w:val="nil"/>
            </w:tcBorders>
            <w:shd w:val="clear" w:color="auto" w:fill="auto"/>
            <w:noWrap/>
            <w:vAlign w:val="bottom"/>
            <w:hideMark/>
          </w:tcPr>
          <w:p w:rsidR="00786AF4" w:rsidRDefault="00786AF4" w:rsidP="00A55339">
            <w:pPr>
              <w:jc w:val="center"/>
            </w:pPr>
            <w:r>
              <w:t>16</w:t>
            </w:r>
          </w:p>
        </w:tc>
        <w:tc>
          <w:tcPr>
            <w:tcW w:w="1720" w:type="dxa"/>
            <w:tcBorders>
              <w:top w:val="nil"/>
              <w:left w:val="nil"/>
              <w:bottom w:val="nil"/>
              <w:right w:val="nil"/>
            </w:tcBorders>
            <w:shd w:val="clear" w:color="auto" w:fill="auto"/>
            <w:noWrap/>
            <w:vAlign w:val="bottom"/>
            <w:hideMark/>
          </w:tcPr>
          <w:p w:rsidR="00786AF4" w:rsidRDefault="00786AF4" w:rsidP="00A55339">
            <w:pPr>
              <w:jc w:val="center"/>
            </w:pPr>
            <w:r>
              <w:t>3.7</w:t>
            </w:r>
          </w:p>
        </w:tc>
      </w:tr>
      <w:tr w:rsidR="00786AF4" w:rsidTr="00A55339">
        <w:trPr>
          <w:trHeight w:val="320"/>
        </w:trPr>
        <w:tc>
          <w:tcPr>
            <w:tcW w:w="4157" w:type="dxa"/>
            <w:tcBorders>
              <w:top w:val="nil"/>
              <w:left w:val="nil"/>
              <w:bottom w:val="nil"/>
              <w:right w:val="nil"/>
            </w:tcBorders>
            <w:shd w:val="clear" w:color="auto" w:fill="auto"/>
            <w:noWrap/>
            <w:vAlign w:val="bottom"/>
            <w:hideMark/>
          </w:tcPr>
          <w:p w:rsidR="00786AF4" w:rsidRDefault="00786AF4" w:rsidP="00A55339">
            <w:pPr>
              <w:ind w:firstLineChars="100" w:firstLine="240"/>
            </w:pPr>
            <w:r>
              <w:t>Total</w:t>
            </w:r>
          </w:p>
        </w:tc>
        <w:tc>
          <w:tcPr>
            <w:tcW w:w="543" w:type="dxa"/>
            <w:tcBorders>
              <w:top w:val="nil"/>
              <w:left w:val="nil"/>
              <w:bottom w:val="nil"/>
              <w:right w:val="nil"/>
            </w:tcBorders>
            <w:shd w:val="clear" w:color="auto" w:fill="auto"/>
            <w:noWrap/>
            <w:vAlign w:val="bottom"/>
            <w:hideMark/>
          </w:tcPr>
          <w:p w:rsidR="00786AF4" w:rsidRDefault="00786AF4" w:rsidP="00A55339">
            <w:pPr>
              <w:jc w:val="center"/>
            </w:pPr>
            <w:r>
              <w:t>429</w:t>
            </w:r>
          </w:p>
        </w:tc>
        <w:tc>
          <w:tcPr>
            <w:tcW w:w="1720" w:type="dxa"/>
            <w:tcBorders>
              <w:top w:val="nil"/>
              <w:left w:val="nil"/>
              <w:bottom w:val="nil"/>
              <w:right w:val="nil"/>
            </w:tcBorders>
            <w:shd w:val="clear" w:color="auto" w:fill="auto"/>
            <w:noWrap/>
            <w:vAlign w:val="bottom"/>
            <w:hideMark/>
          </w:tcPr>
          <w:p w:rsidR="00786AF4" w:rsidRDefault="00786AF4" w:rsidP="00A55339">
            <w:pPr>
              <w:jc w:val="center"/>
            </w:pPr>
            <w:r>
              <w:t>100</w:t>
            </w:r>
          </w:p>
        </w:tc>
      </w:tr>
      <w:tr w:rsidR="00786AF4" w:rsidTr="00A55339">
        <w:trPr>
          <w:trHeight w:val="320"/>
        </w:trPr>
        <w:tc>
          <w:tcPr>
            <w:tcW w:w="4157" w:type="dxa"/>
            <w:tcBorders>
              <w:top w:val="nil"/>
              <w:left w:val="nil"/>
              <w:bottom w:val="nil"/>
              <w:right w:val="nil"/>
            </w:tcBorders>
            <w:shd w:val="clear" w:color="auto" w:fill="auto"/>
            <w:noWrap/>
            <w:vAlign w:val="bottom"/>
            <w:hideMark/>
          </w:tcPr>
          <w:p w:rsidR="00786AF4" w:rsidRDefault="00786AF4" w:rsidP="00A55339">
            <w:pPr>
              <w:jc w:val="center"/>
            </w:pPr>
          </w:p>
        </w:tc>
        <w:tc>
          <w:tcPr>
            <w:tcW w:w="543" w:type="dxa"/>
            <w:tcBorders>
              <w:top w:val="nil"/>
              <w:left w:val="nil"/>
              <w:bottom w:val="nil"/>
              <w:right w:val="nil"/>
            </w:tcBorders>
            <w:shd w:val="clear" w:color="auto" w:fill="auto"/>
            <w:noWrap/>
            <w:vAlign w:val="bottom"/>
            <w:hideMark/>
          </w:tcPr>
          <w:p w:rsidR="00786AF4" w:rsidRDefault="00786AF4" w:rsidP="00A55339">
            <w:pPr>
              <w:ind w:firstLineChars="100" w:firstLine="200"/>
              <w:rPr>
                <w:sz w:val="20"/>
                <w:szCs w:val="20"/>
              </w:rPr>
            </w:pPr>
          </w:p>
        </w:tc>
        <w:tc>
          <w:tcPr>
            <w:tcW w:w="1720" w:type="dxa"/>
            <w:tcBorders>
              <w:top w:val="nil"/>
              <w:left w:val="nil"/>
              <w:bottom w:val="nil"/>
              <w:right w:val="nil"/>
            </w:tcBorders>
            <w:shd w:val="clear" w:color="auto" w:fill="auto"/>
            <w:noWrap/>
            <w:vAlign w:val="bottom"/>
            <w:hideMark/>
          </w:tcPr>
          <w:p w:rsidR="00786AF4" w:rsidRDefault="00786AF4" w:rsidP="00A55339">
            <w:pPr>
              <w:jc w:val="center"/>
              <w:rPr>
                <w:sz w:val="20"/>
                <w:szCs w:val="20"/>
              </w:rPr>
            </w:pPr>
          </w:p>
        </w:tc>
      </w:tr>
      <w:tr w:rsidR="00786AF4" w:rsidTr="00A55339">
        <w:trPr>
          <w:trHeight w:val="320"/>
        </w:trPr>
        <w:tc>
          <w:tcPr>
            <w:tcW w:w="4157" w:type="dxa"/>
            <w:tcBorders>
              <w:top w:val="nil"/>
              <w:left w:val="nil"/>
              <w:bottom w:val="nil"/>
              <w:right w:val="nil"/>
            </w:tcBorders>
            <w:shd w:val="clear" w:color="auto" w:fill="auto"/>
            <w:noWrap/>
            <w:vAlign w:val="bottom"/>
            <w:hideMark/>
          </w:tcPr>
          <w:p w:rsidR="00786AF4" w:rsidRDefault="00786AF4" w:rsidP="00A55339">
            <w:r>
              <w:t>Education Level</w:t>
            </w:r>
          </w:p>
        </w:tc>
        <w:tc>
          <w:tcPr>
            <w:tcW w:w="543" w:type="dxa"/>
            <w:tcBorders>
              <w:top w:val="nil"/>
              <w:left w:val="nil"/>
              <w:bottom w:val="nil"/>
              <w:right w:val="nil"/>
            </w:tcBorders>
            <w:shd w:val="clear" w:color="auto" w:fill="auto"/>
            <w:noWrap/>
            <w:vAlign w:val="bottom"/>
            <w:hideMark/>
          </w:tcPr>
          <w:p w:rsidR="00786AF4" w:rsidRDefault="00786AF4" w:rsidP="00A55339"/>
        </w:tc>
        <w:tc>
          <w:tcPr>
            <w:tcW w:w="1720" w:type="dxa"/>
            <w:tcBorders>
              <w:top w:val="nil"/>
              <w:left w:val="nil"/>
              <w:bottom w:val="nil"/>
              <w:right w:val="nil"/>
            </w:tcBorders>
            <w:shd w:val="clear" w:color="auto" w:fill="auto"/>
            <w:noWrap/>
            <w:vAlign w:val="bottom"/>
            <w:hideMark/>
          </w:tcPr>
          <w:p w:rsidR="00786AF4" w:rsidRDefault="00786AF4" w:rsidP="00A55339">
            <w:pPr>
              <w:jc w:val="center"/>
              <w:rPr>
                <w:sz w:val="20"/>
                <w:szCs w:val="20"/>
              </w:rPr>
            </w:pPr>
          </w:p>
        </w:tc>
      </w:tr>
      <w:tr w:rsidR="00786AF4" w:rsidTr="00A55339">
        <w:trPr>
          <w:trHeight w:val="320"/>
        </w:trPr>
        <w:tc>
          <w:tcPr>
            <w:tcW w:w="4157" w:type="dxa"/>
            <w:tcBorders>
              <w:top w:val="nil"/>
              <w:left w:val="nil"/>
              <w:bottom w:val="nil"/>
              <w:right w:val="nil"/>
            </w:tcBorders>
            <w:shd w:val="clear" w:color="auto" w:fill="auto"/>
            <w:noWrap/>
            <w:vAlign w:val="bottom"/>
            <w:hideMark/>
          </w:tcPr>
          <w:p w:rsidR="00786AF4" w:rsidRDefault="00786AF4" w:rsidP="00A55339">
            <w:pPr>
              <w:ind w:firstLineChars="100" w:firstLine="240"/>
            </w:pPr>
            <w:r>
              <w:t>Not Finished High School</w:t>
            </w:r>
          </w:p>
        </w:tc>
        <w:tc>
          <w:tcPr>
            <w:tcW w:w="543" w:type="dxa"/>
            <w:tcBorders>
              <w:top w:val="nil"/>
              <w:left w:val="nil"/>
              <w:bottom w:val="nil"/>
              <w:right w:val="nil"/>
            </w:tcBorders>
            <w:shd w:val="clear" w:color="auto" w:fill="auto"/>
            <w:noWrap/>
            <w:vAlign w:val="bottom"/>
            <w:hideMark/>
          </w:tcPr>
          <w:p w:rsidR="00786AF4" w:rsidRDefault="00786AF4" w:rsidP="00A55339">
            <w:pPr>
              <w:jc w:val="center"/>
            </w:pPr>
            <w:r>
              <w:t>1</w:t>
            </w:r>
          </w:p>
        </w:tc>
        <w:tc>
          <w:tcPr>
            <w:tcW w:w="1720" w:type="dxa"/>
            <w:tcBorders>
              <w:top w:val="nil"/>
              <w:left w:val="nil"/>
              <w:bottom w:val="nil"/>
              <w:right w:val="nil"/>
            </w:tcBorders>
            <w:shd w:val="clear" w:color="auto" w:fill="auto"/>
            <w:noWrap/>
            <w:vAlign w:val="bottom"/>
            <w:hideMark/>
          </w:tcPr>
          <w:p w:rsidR="00786AF4" w:rsidRDefault="00786AF4" w:rsidP="00A55339">
            <w:pPr>
              <w:jc w:val="center"/>
            </w:pPr>
            <w:r>
              <w:t>0.2</w:t>
            </w:r>
          </w:p>
        </w:tc>
      </w:tr>
      <w:tr w:rsidR="00786AF4" w:rsidTr="00A55339">
        <w:trPr>
          <w:trHeight w:val="320"/>
        </w:trPr>
        <w:tc>
          <w:tcPr>
            <w:tcW w:w="4157" w:type="dxa"/>
            <w:tcBorders>
              <w:top w:val="nil"/>
              <w:left w:val="nil"/>
              <w:bottom w:val="nil"/>
              <w:right w:val="nil"/>
            </w:tcBorders>
            <w:shd w:val="clear" w:color="auto" w:fill="auto"/>
            <w:noWrap/>
            <w:vAlign w:val="bottom"/>
            <w:hideMark/>
          </w:tcPr>
          <w:p w:rsidR="00786AF4" w:rsidRDefault="00786AF4" w:rsidP="00A55339">
            <w:pPr>
              <w:ind w:firstLineChars="100" w:firstLine="240"/>
            </w:pPr>
            <w:r>
              <w:t xml:space="preserve">High School or </w:t>
            </w:r>
            <w:r w:rsidR="00463FC9">
              <w:t>Equivalent</w:t>
            </w:r>
          </w:p>
        </w:tc>
        <w:tc>
          <w:tcPr>
            <w:tcW w:w="543" w:type="dxa"/>
            <w:tcBorders>
              <w:top w:val="nil"/>
              <w:left w:val="nil"/>
              <w:bottom w:val="nil"/>
              <w:right w:val="nil"/>
            </w:tcBorders>
            <w:shd w:val="clear" w:color="auto" w:fill="auto"/>
            <w:noWrap/>
            <w:vAlign w:val="bottom"/>
            <w:hideMark/>
          </w:tcPr>
          <w:p w:rsidR="00786AF4" w:rsidRDefault="00786AF4" w:rsidP="00A55339">
            <w:pPr>
              <w:jc w:val="center"/>
            </w:pPr>
            <w:r>
              <w:t>36</w:t>
            </w:r>
          </w:p>
        </w:tc>
        <w:tc>
          <w:tcPr>
            <w:tcW w:w="1720" w:type="dxa"/>
            <w:tcBorders>
              <w:top w:val="nil"/>
              <w:left w:val="nil"/>
              <w:bottom w:val="nil"/>
              <w:right w:val="nil"/>
            </w:tcBorders>
            <w:shd w:val="clear" w:color="auto" w:fill="auto"/>
            <w:noWrap/>
            <w:vAlign w:val="bottom"/>
            <w:hideMark/>
          </w:tcPr>
          <w:p w:rsidR="00786AF4" w:rsidRDefault="00786AF4" w:rsidP="00A55339">
            <w:pPr>
              <w:jc w:val="center"/>
            </w:pPr>
            <w:r>
              <w:t>8.4</w:t>
            </w:r>
          </w:p>
        </w:tc>
      </w:tr>
      <w:tr w:rsidR="00786AF4" w:rsidTr="00A55339">
        <w:trPr>
          <w:trHeight w:val="320"/>
        </w:trPr>
        <w:tc>
          <w:tcPr>
            <w:tcW w:w="4157" w:type="dxa"/>
            <w:tcBorders>
              <w:top w:val="nil"/>
              <w:left w:val="nil"/>
              <w:bottom w:val="nil"/>
              <w:right w:val="nil"/>
            </w:tcBorders>
            <w:shd w:val="clear" w:color="auto" w:fill="auto"/>
            <w:noWrap/>
            <w:vAlign w:val="bottom"/>
            <w:hideMark/>
          </w:tcPr>
          <w:p w:rsidR="00786AF4" w:rsidRDefault="00786AF4" w:rsidP="00A55339">
            <w:pPr>
              <w:ind w:firstLineChars="100" w:firstLine="240"/>
            </w:pPr>
            <w:r>
              <w:t>Associates or Trade School</w:t>
            </w:r>
          </w:p>
        </w:tc>
        <w:tc>
          <w:tcPr>
            <w:tcW w:w="543" w:type="dxa"/>
            <w:tcBorders>
              <w:top w:val="nil"/>
              <w:left w:val="nil"/>
              <w:bottom w:val="nil"/>
              <w:right w:val="nil"/>
            </w:tcBorders>
            <w:shd w:val="clear" w:color="auto" w:fill="auto"/>
            <w:noWrap/>
            <w:vAlign w:val="bottom"/>
            <w:hideMark/>
          </w:tcPr>
          <w:p w:rsidR="00786AF4" w:rsidRDefault="00786AF4" w:rsidP="00A55339">
            <w:pPr>
              <w:jc w:val="center"/>
            </w:pPr>
            <w:r>
              <w:t>48</w:t>
            </w:r>
          </w:p>
        </w:tc>
        <w:tc>
          <w:tcPr>
            <w:tcW w:w="1720" w:type="dxa"/>
            <w:tcBorders>
              <w:top w:val="nil"/>
              <w:left w:val="nil"/>
              <w:bottom w:val="nil"/>
              <w:right w:val="nil"/>
            </w:tcBorders>
            <w:shd w:val="clear" w:color="auto" w:fill="auto"/>
            <w:noWrap/>
            <w:vAlign w:val="bottom"/>
            <w:hideMark/>
          </w:tcPr>
          <w:p w:rsidR="00786AF4" w:rsidRDefault="00786AF4" w:rsidP="00A55339">
            <w:pPr>
              <w:jc w:val="center"/>
            </w:pPr>
            <w:r>
              <w:t>11.2</w:t>
            </w:r>
          </w:p>
        </w:tc>
      </w:tr>
      <w:tr w:rsidR="00786AF4" w:rsidTr="00A55339">
        <w:trPr>
          <w:trHeight w:val="320"/>
        </w:trPr>
        <w:tc>
          <w:tcPr>
            <w:tcW w:w="4157" w:type="dxa"/>
            <w:tcBorders>
              <w:top w:val="nil"/>
              <w:left w:val="nil"/>
              <w:bottom w:val="nil"/>
              <w:right w:val="nil"/>
            </w:tcBorders>
            <w:shd w:val="clear" w:color="auto" w:fill="auto"/>
            <w:noWrap/>
            <w:vAlign w:val="bottom"/>
            <w:hideMark/>
          </w:tcPr>
          <w:p w:rsidR="00786AF4" w:rsidRDefault="00786AF4" w:rsidP="00A55339">
            <w:pPr>
              <w:ind w:firstLineChars="100" w:firstLine="240"/>
            </w:pPr>
            <w:r>
              <w:t>College Degree</w:t>
            </w:r>
          </w:p>
        </w:tc>
        <w:tc>
          <w:tcPr>
            <w:tcW w:w="543" w:type="dxa"/>
            <w:tcBorders>
              <w:top w:val="nil"/>
              <w:left w:val="nil"/>
              <w:bottom w:val="nil"/>
              <w:right w:val="nil"/>
            </w:tcBorders>
            <w:shd w:val="clear" w:color="auto" w:fill="auto"/>
            <w:noWrap/>
            <w:vAlign w:val="bottom"/>
            <w:hideMark/>
          </w:tcPr>
          <w:p w:rsidR="00786AF4" w:rsidRDefault="00786AF4" w:rsidP="00A55339">
            <w:pPr>
              <w:jc w:val="center"/>
            </w:pPr>
            <w:r>
              <w:t>141</w:t>
            </w:r>
          </w:p>
        </w:tc>
        <w:tc>
          <w:tcPr>
            <w:tcW w:w="1720" w:type="dxa"/>
            <w:tcBorders>
              <w:top w:val="nil"/>
              <w:left w:val="nil"/>
              <w:bottom w:val="nil"/>
              <w:right w:val="nil"/>
            </w:tcBorders>
            <w:shd w:val="clear" w:color="auto" w:fill="auto"/>
            <w:noWrap/>
            <w:vAlign w:val="bottom"/>
            <w:hideMark/>
          </w:tcPr>
          <w:p w:rsidR="00786AF4" w:rsidRDefault="00786AF4" w:rsidP="00A55339">
            <w:pPr>
              <w:jc w:val="center"/>
            </w:pPr>
            <w:r>
              <w:t>32.9</w:t>
            </w:r>
          </w:p>
        </w:tc>
      </w:tr>
      <w:tr w:rsidR="00786AF4" w:rsidTr="00A55339">
        <w:trPr>
          <w:trHeight w:val="320"/>
        </w:trPr>
        <w:tc>
          <w:tcPr>
            <w:tcW w:w="4157" w:type="dxa"/>
            <w:tcBorders>
              <w:top w:val="nil"/>
              <w:left w:val="nil"/>
              <w:bottom w:val="nil"/>
              <w:right w:val="nil"/>
            </w:tcBorders>
            <w:shd w:val="clear" w:color="auto" w:fill="auto"/>
            <w:noWrap/>
            <w:vAlign w:val="bottom"/>
            <w:hideMark/>
          </w:tcPr>
          <w:p w:rsidR="00786AF4" w:rsidRDefault="00786AF4" w:rsidP="00A55339">
            <w:pPr>
              <w:ind w:firstLineChars="100" w:firstLine="240"/>
            </w:pPr>
            <w:r>
              <w:t xml:space="preserve">Masters or </w:t>
            </w:r>
            <w:r w:rsidR="001D49A7">
              <w:t>Equivalent</w:t>
            </w:r>
          </w:p>
        </w:tc>
        <w:tc>
          <w:tcPr>
            <w:tcW w:w="543" w:type="dxa"/>
            <w:tcBorders>
              <w:top w:val="nil"/>
              <w:left w:val="nil"/>
              <w:bottom w:val="nil"/>
              <w:right w:val="nil"/>
            </w:tcBorders>
            <w:shd w:val="clear" w:color="auto" w:fill="auto"/>
            <w:noWrap/>
            <w:vAlign w:val="bottom"/>
            <w:hideMark/>
          </w:tcPr>
          <w:p w:rsidR="00786AF4" w:rsidRDefault="00786AF4" w:rsidP="00A55339">
            <w:pPr>
              <w:jc w:val="center"/>
            </w:pPr>
            <w:r>
              <w:t>157</w:t>
            </w:r>
          </w:p>
        </w:tc>
        <w:tc>
          <w:tcPr>
            <w:tcW w:w="1720" w:type="dxa"/>
            <w:tcBorders>
              <w:top w:val="nil"/>
              <w:left w:val="nil"/>
              <w:bottom w:val="nil"/>
              <w:right w:val="nil"/>
            </w:tcBorders>
            <w:shd w:val="clear" w:color="auto" w:fill="auto"/>
            <w:noWrap/>
            <w:vAlign w:val="bottom"/>
            <w:hideMark/>
          </w:tcPr>
          <w:p w:rsidR="00786AF4" w:rsidRDefault="00786AF4" w:rsidP="00A55339">
            <w:pPr>
              <w:jc w:val="center"/>
            </w:pPr>
            <w:r>
              <w:t>36.6</w:t>
            </w:r>
          </w:p>
        </w:tc>
      </w:tr>
      <w:tr w:rsidR="00786AF4" w:rsidTr="00A55339">
        <w:trPr>
          <w:trHeight w:val="320"/>
        </w:trPr>
        <w:tc>
          <w:tcPr>
            <w:tcW w:w="4157" w:type="dxa"/>
            <w:tcBorders>
              <w:top w:val="nil"/>
              <w:left w:val="nil"/>
              <w:bottom w:val="nil"/>
              <w:right w:val="nil"/>
            </w:tcBorders>
            <w:shd w:val="clear" w:color="auto" w:fill="auto"/>
            <w:noWrap/>
            <w:vAlign w:val="bottom"/>
            <w:hideMark/>
          </w:tcPr>
          <w:p w:rsidR="00786AF4" w:rsidRDefault="00463FC9" w:rsidP="00A55339">
            <w:pPr>
              <w:ind w:firstLineChars="100" w:firstLine="240"/>
            </w:pPr>
            <w:r>
              <w:t>Ph.D.</w:t>
            </w:r>
            <w:r w:rsidR="00786AF4">
              <w:t>, MD, or Terminal</w:t>
            </w:r>
          </w:p>
        </w:tc>
        <w:tc>
          <w:tcPr>
            <w:tcW w:w="543" w:type="dxa"/>
            <w:tcBorders>
              <w:top w:val="nil"/>
              <w:left w:val="nil"/>
              <w:bottom w:val="nil"/>
              <w:right w:val="nil"/>
            </w:tcBorders>
            <w:shd w:val="clear" w:color="auto" w:fill="auto"/>
            <w:noWrap/>
            <w:vAlign w:val="bottom"/>
            <w:hideMark/>
          </w:tcPr>
          <w:p w:rsidR="00786AF4" w:rsidRDefault="00786AF4" w:rsidP="00A55339">
            <w:pPr>
              <w:jc w:val="center"/>
            </w:pPr>
            <w:r>
              <w:t>46</w:t>
            </w:r>
          </w:p>
        </w:tc>
        <w:tc>
          <w:tcPr>
            <w:tcW w:w="1720" w:type="dxa"/>
            <w:tcBorders>
              <w:top w:val="nil"/>
              <w:left w:val="nil"/>
              <w:bottom w:val="nil"/>
              <w:right w:val="nil"/>
            </w:tcBorders>
            <w:shd w:val="clear" w:color="auto" w:fill="auto"/>
            <w:noWrap/>
            <w:vAlign w:val="bottom"/>
            <w:hideMark/>
          </w:tcPr>
          <w:p w:rsidR="00786AF4" w:rsidRDefault="00786AF4" w:rsidP="00A55339">
            <w:pPr>
              <w:jc w:val="center"/>
            </w:pPr>
            <w:r>
              <w:t>10.7</w:t>
            </w:r>
          </w:p>
        </w:tc>
      </w:tr>
      <w:tr w:rsidR="00786AF4" w:rsidTr="00A55339">
        <w:trPr>
          <w:trHeight w:val="320"/>
        </w:trPr>
        <w:tc>
          <w:tcPr>
            <w:tcW w:w="4157" w:type="dxa"/>
            <w:tcBorders>
              <w:top w:val="nil"/>
              <w:left w:val="nil"/>
              <w:bottom w:val="single" w:sz="4" w:space="0" w:color="auto"/>
              <w:right w:val="nil"/>
            </w:tcBorders>
            <w:shd w:val="clear" w:color="auto" w:fill="auto"/>
            <w:noWrap/>
            <w:vAlign w:val="bottom"/>
            <w:hideMark/>
          </w:tcPr>
          <w:p w:rsidR="00786AF4" w:rsidRDefault="00786AF4" w:rsidP="00A55339">
            <w:pPr>
              <w:ind w:firstLineChars="100" w:firstLine="240"/>
            </w:pPr>
            <w:r>
              <w:t>Total</w:t>
            </w:r>
          </w:p>
        </w:tc>
        <w:tc>
          <w:tcPr>
            <w:tcW w:w="543" w:type="dxa"/>
            <w:tcBorders>
              <w:top w:val="nil"/>
              <w:left w:val="nil"/>
              <w:bottom w:val="single" w:sz="4" w:space="0" w:color="auto"/>
              <w:right w:val="nil"/>
            </w:tcBorders>
            <w:shd w:val="clear" w:color="auto" w:fill="auto"/>
            <w:noWrap/>
            <w:vAlign w:val="bottom"/>
            <w:hideMark/>
          </w:tcPr>
          <w:p w:rsidR="00786AF4" w:rsidRPr="00BF7A8B" w:rsidRDefault="00786AF4" w:rsidP="00A55339">
            <w:pPr>
              <w:jc w:val="center"/>
              <w:rPr>
                <w:color w:val="000000"/>
              </w:rPr>
            </w:pPr>
            <w:r w:rsidRPr="00BF7A8B">
              <w:rPr>
                <w:color w:val="000000"/>
              </w:rPr>
              <w:t>429</w:t>
            </w:r>
          </w:p>
        </w:tc>
        <w:tc>
          <w:tcPr>
            <w:tcW w:w="1720" w:type="dxa"/>
            <w:tcBorders>
              <w:top w:val="nil"/>
              <w:left w:val="nil"/>
              <w:bottom w:val="single" w:sz="4" w:space="0" w:color="auto"/>
              <w:right w:val="nil"/>
            </w:tcBorders>
            <w:shd w:val="clear" w:color="auto" w:fill="auto"/>
            <w:noWrap/>
            <w:vAlign w:val="bottom"/>
            <w:hideMark/>
          </w:tcPr>
          <w:p w:rsidR="00786AF4" w:rsidRDefault="00786AF4" w:rsidP="00A55339">
            <w:pPr>
              <w:jc w:val="center"/>
            </w:pPr>
            <w:r>
              <w:t>100</w:t>
            </w:r>
          </w:p>
        </w:tc>
      </w:tr>
    </w:tbl>
    <w:p w:rsidR="00786AF4" w:rsidRPr="00991CBB" w:rsidRDefault="00786AF4" w:rsidP="00786AF4">
      <w:pPr>
        <w:spacing w:line="480" w:lineRule="auto"/>
        <w:rPr>
          <w:b/>
          <w:bCs/>
        </w:rPr>
      </w:pPr>
    </w:p>
    <w:p w:rsidR="00786AF4" w:rsidRDefault="00786AF4" w:rsidP="00786AF4">
      <w:pPr>
        <w:pStyle w:val="APALevel2"/>
      </w:pPr>
      <w:r w:rsidRPr="00400465">
        <w:lastRenderedPageBreak/>
        <w:t>Tests of the Hypothes</w:t>
      </w:r>
      <w:r>
        <w:t>i</w:t>
      </w:r>
      <w:r w:rsidRPr="00400465">
        <w:t>s</w:t>
      </w:r>
      <w:bookmarkEnd w:id="4"/>
    </w:p>
    <w:p w:rsidR="00786AF4" w:rsidRPr="00E2655A" w:rsidRDefault="00786AF4" w:rsidP="00786AF4">
      <w:pPr>
        <w:pStyle w:val="APALevel2"/>
        <w:ind w:firstLine="720"/>
        <w:rPr>
          <w:b w:val="0"/>
        </w:rPr>
      </w:pPr>
      <w:r w:rsidRPr="00D0172A">
        <w:rPr>
          <w:b w:val="0"/>
        </w:rPr>
        <w:t xml:space="preserve">This section addresses testing the </w:t>
      </w:r>
      <w:r w:rsidR="000136DF">
        <w:rPr>
          <w:b w:val="0"/>
        </w:rPr>
        <w:t>study’s</w:t>
      </w:r>
      <w:r w:rsidRPr="00D0172A">
        <w:rPr>
          <w:b w:val="0"/>
        </w:rPr>
        <w:t xml:space="preserve"> </w:t>
      </w:r>
      <w:r>
        <w:rPr>
          <w:b w:val="0"/>
        </w:rPr>
        <w:t xml:space="preserve">main </w:t>
      </w:r>
      <w:r w:rsidRPr="00D0172A">
        <w:rPr>
          <w:b w:val="0"/>
        </w:rPr>
        <w:t>hypothes</w:t>
      </w:r>
      <w:r>
        <w:rPr>
          <w:b w:val="0"/>
        </w:rPr>
        <w:t>i</w:t>
      </w:r>
      <w:r w:rsidRPr="00D0172A">
        <w:rPr>
          <w:b w:val="0"/>
        </w:rPr>
        <w:t>s</w:t>
      </w:r>
      <w:r>
        <w:rPr>
          <w:b w:val="0"/>
        </w:rPr>
        <w:t xml:space="preserve"> and nine corollaries</w:t>
      </w:r>
      <w:r w:rsidRPr="00D0172A">
        <w:rPr>
          <w:b w:val="0"/>
        </w:rPr>
        <w:t xml:space="preserve">. </w:t>
      </w:r>
      <w:r w:rsidR="00463FC9">
        <w:rPr>
          <w:b w:val="0"/>
        </w:rPr>
        <w:t xml:space="preserve">The researcher used </w:t>
      </w:r>
      <w:r w:rsidRPr="00D0172A">
        <w:rPr>
          <w:b w:val="0"/>
        </w:rPr>
        <w:t>W</w:t>
      </w:r>
      <w:r>
        <w:rPr>
          <w:b w:val="0"/>
        </w:rPr>
        <w:t>INKS</w:t>
      </w:r>
      <w:r w:rsidRPr="00D0172A">
        <w:rPr>
          <w:b w:val="0"/>
        </w:rPr>
        <w:t xml:space="preserve"> SDA software to test each hypothesis based on the data collected </w:t>
      </w:r>
      <w:r w:rsidR="009C4294">
        <w:rPr>
          <w:b w:val="0"/>
        </w:rPr>
        <w:t>through</w:t>
      </w:r>
      <w:r w:rsidRPr="00D0172A">
        <w:rPr>
          <w:b w:val="0"/>
        </w:rPr>
        <w:t xml:space="preserve"> the </w:t>
      </w:r>
      <w:r w:rsidR="009C4294">
        <w:rPr>
          <w:b w:val="0"/>
        </w:rPr>
        <w:t>survey</w:t>
      </w:r>
      <w:r w:rsidRPr="00D0172A">
        <w:rPr>
          <w:b w:val="0"/>
        </w:rPr>
        <w:t xml:space="preserve">. </w:t>
      </w:r>
      <w:r w:rsidR="000136DF">
        <w:rPr>
          <w:b w:val="0"/>
        </w:rPr>
        <w:t>Spearman’s</w:t>
      </w:r>
      <w:r w:rsidRPr="00D0172A">
        <w:rPr>
          <w:b w:val="0"/>
        </w:rPr>
        <w:t xml:space="preserve"> statistical test was used for the testing of the hypotheses</w:t>
      </w:r>
      <w:r>
        <w:rPr>
          <w:b w:val="0"/>
        </w:rPr>
        <w:t xml:space="preserve">. </w:t>
      </w:r>
      <w:r w:rsidR="000136DF">
        <w:rPr>
          <w:b w:val="0"/>
        </w:rPr>
        <w:t>Spearman’s</w:t>
      </w:r>
      <w:r>
        <w:rPr>
          <w:b w:val="0"/>
        </w:rPr>
        <w:t xml:space="preserve"> </w:t>
      </w:r>
      <w:r w:rsidR="00E75A0C">
        <w:rPr>
          <w:b w:val="0"/>
        </w:rPr>
        <w:t>correlation test</w:t>
      </w:r>
      <w:r w:rsidRPr="002C419B">
        <w:rPr>
          <w:b w:val="0"/>
        </w:rPr>
        <w:t xml:space="preserve"> was used to </w:t>
      </w:r>
      <w:r>
        <w:rPr>
          <w:b w:val="0"/>
        </w:rPr>
        <w:t>see if there is a relationship</w:t>
      </w:r>
      <w:r w:rsidRPr="002C419B">
        <w:rPr>
          <w:b w:val="0"/>
        </w:rPr>
        <w:t xml:space="preserve"> between two ordinal Likert scale variables</w:t>
      </w:r>
      <w:r>
        <w:rPr>
          <w:b w:val="0"/>
        </w:rPr>
        <w:t xml:space="preserve"> from</w:t>
      </w:r>
      <w:r w:rsidRPr="002C419B">
        <w:rPr>
          <w:b w:val="0"/>
        </w:rPr>
        <w:t xml:space="preserve"> a single sample. This non-parametric statistical test does not require the data to follow normal probability distribution. </w:t>
      </w:r>
      <w:r w:rsidR="00B010FF">
        <w:rPr>
          <w:b w:val="0"/>
        </w:rPr>
        <w:t xml:space="preserve">The researcher used </w:t>
      </w:r>
      <w:r w:rsidR="000136DF">
        <w:rPr>
          <w:b w:val="0"/>
        </w:rPr>
        <w:t>Spearman’s</w:t>
      </w:r>
      <w:r>
        <w:rPr>
          <w:b w:val="0"/>
        </w:rPr>
        <w:t xml:space="preserve"> </w:t>
      </w:r>
      <w:r w:rsidR="000D0506">
        <w:rPr>
          <w:b w:val="0"/>
        </w:rPr>
        <w:t xml:space="preserve">correlational test </w:t>
      </w:r>
      <w:r>
        <w:rPr>
          <w:b w:val="0"/>
        </w:rPr>
        <w:t xml:space="preserve">instead of </w:t>
      </w:r>
      <w:r w:rsidR="000136DF">
        <w:rPr>
          <w:b w:val="0"/>
        </w:rPr>
        <w:t>Pearson’s</w:t>
      </w:r>
      <w:r w:rsidR="00AB2D7D">
        <w:rPr>
          <w:b w:val="0"/>
        </w:rPr>
        <w:t>,</w:t>
      </w:r>
      <w:r>
        <w:rPr>
          <w:b w:val="0"/>
        </w:rPr>
        <w:t xml:space="preserve"> as was described in chapter three because the data was found to be non-parametric. </w:t>
      </w:r>
      <w:r w:rsidRPr="002C419B">
        <w:rPr>
          <w:b w:val="0"/>
        </w:rPr>
        <w:t xml:space="preserve">This </w:t>
      </w:r>
      <w:r>
        <w:rPr>
          <w:b w:val="0"/>
        </w:rPr>
        <w:t>non-</w:t>
      </w:r>
      <w:r w:rsidRPr="002C419B">
        <w:rPr>
          <w:b w:val="0"/>
        </w:rPr>
        <w:t xml:space="preserve">parametric statistical test calculated </w:t>
      </w:r>
      <w:r>
        <w:rPr>
          <w:b w:val="0"/>
        </w:rPr>
        <w:t xml:space="preserve">if there was a significant relationship between </w:t>
      </w:r>
      <w:r w:rsidR="000136DF">
        <w:rPr>
          <w:b w:val="0"/>
        </w:rPr>
        <w:t>participants’</w:t>
      </w:r>
      <w:r>
        <w:rPr>
          <w:b w:val="0"/>
        </w:rPr>
        <w:t xml:space="preserve"> responses to the Anti-Racism Behavioral Inventory and the Short-Form Cultural Intelligence Scale</w:t>
      </w:r>
      <w:r w:rsidRPr="002C419B">
        <w:rPr>
          <w:b w:val="0"/>
        </w:rPr>
        <w:t>.</w:t>
      </w:r>
    </w:p>
    <w:p w:rsidR="00786AF4" w:rsidRDefault="00786AF4" w:rsidP="00786AF4">
      <w:pPr>
        <w:pStyle w:val="APALevel3"/>
      </w:pPr>
      <w:bookmarkStart w:id="5" w:name="_Toc120824772"/>
      <w:r w:rsidRPr="00D618DC">
        <w:t xml:space="preserve">Tests and Results of </w:t>
      </w:r>
      <w:r>
        <w:t xml:space="preserve">the </w:t>
      </w:r>
      <w:r w:rsidRPr="00D618DC">
        <w:t>Hypothesi</w:t>
      </w:r>
      <w:bookmarkEnd w:id="5"/>
      <w:r>
        <w:t>s</w:t>
      </w:r>
    </w:p>
    <w:p w:rsidR="00786AF4" w:rsidRDefault="00786AF4" w:rsidP="00786AF4">
      <w:pPr>
        <w:pStyle w:val="BodyText"/>
      </w:pPr>
      <w:r>
        <w:t xml:space="preserve">To evaluate the potential relationship between multicultural church </w:t>
      </w:r>
      <w:r w:rsidR="000136DF">
        <w:t>attendees’</w:t>
      </w:r>
      <w:r>
        <w:t xml:space="preserve"> Cultural Intelligence and response to racism</w:t>
      </w:r>
      <w:r w:rsidR="00AB2D7D">
        <w:t>,</w:t>
      </w:r>
      <w:r>
        <w:t xml:space="preserve"> the following </w:t>
      </w:r>
      <w:r w:rsidR="00AB2D7D">
        <w:t>hypotheses</w:t>
      </w:r>
      <w:r>
        <w:t xml:space="preserve"> were used</w:t>
      </w:r>
      <w:r w:rsidR="005A5737">
        <w:t>:</w:t>
      </w:r>
    </w:p>
    <w:p w:rsidR="00786AF4" w:rsidRDefault="00786AF4" w:rsidP="00786AF4">
      <w:pPr>
        <w:pStyle w:val="BodyText"/>
      </w:pPr>
      <w:r>
        <w:t>H</w:t>
      </w:r>
      <w:r w:rsidRPr="00671D3E">
        <w:rPr>
          <w:vertAlign w:val="subscript"/>
        </w:rPr>
        <w:t>o</w:t>
      </w:r>
      <w:r>
        <w:t xml:space="preserve">: </w:t>
      </w:r>
      <w:r w:rsidRPr="002D536C">
        <w:t xml:space="preserve">There is no statistically significant relationship between multicultural church </w:t>
      </w:r>
      <w:r w:rsidR="000136DF">
        <w:t>attendees’</w:t>
      </w:r>
      <w:r w:rsidRPr="002D536C">
        <w:t xml:space="preserve"> Cultural Intelligence and response to racism.</w:t>
      </w:r>
    </w:p>
    <w:p w:rsidR="00786AF4" w:rsidRDefault="00786AF4" w:rsidP="00786AF4">
      <w:pPr>
        <w:pStyle w:val="BodyText"/>
      </w:pPr>
      <w:r>
        <w:t>H</w:t>
      </w:r>
      <w:r w:rsidRPr="00671D3E">
        <w:rPr>
          <w:vertAlign w:val="subscript"/>
        </w:rPr>
        <w:t>a</w:t>
      </w:r>
      <w:r>
        <w:t xml:space="preserve">: A statistically significant relationship exists between multicultural church </w:t>
      </w:r>
      <w:r w:rsidR="000136DF">
        <w:t>attendees’</w:t>
      </w:r>
      <w:r>
        <w:t xml:space="preserve"> Cultural Intelligence and response to racism. </w:t>
      </w:r>
    </w:p>
    <w:p w:rsidR="00786AF4" w:rsidRDefault="00AB2D7D" w:rsidP="00786AF4">
      <w:pPr>
        <w:pStyle w:val="BodyText"/>
      </w:pPr>
      <w:r>
        <w:t xml:space="preserve">The researcher </w:t>
      </w:r>
      <w:r w:rsidR="00C20C2A">
        <w:t>performed</w:t>
      </w:r>
      <w:r>
        <w:t xml:space="preserve"> </w:t>
      </w:r>
      <w:r w:rsidR="00786AF4">
        <w:t>Anderson-Darling</w:t>
      </w:r>
      <w:r w:rsidR="00786AF4" w:rsidRPr="00010847">
        <w:t xml:space="preserve"> and </w:t>
      </w:r>
      <w:proofErr w:type="spellStart"/>
      <w:r w:rsidR="00786AF4">
        <w:t>Liliefors</w:t>
      </w:r>
      <w:proofErr w:type="spellEnd"/>
      <w:r w:rsidR="00786AF4">
        <w:t>/Kolmogorov-Smirnov</w:t>
      </w:r>
      <w:r w:rsidR="00786AF4" w:rsidRPr="00010847">
        <w:t xml:space="preserve"> tests on </w:t>
      </w:r>
      <w:r w:rsidR="00786AF4">
        <w:t>the SF-CQS</w:t>
      </w:r>
      <w:r w:rsidR="00786AF4" w:rsidRPr="00010847">
        <w:t xml:space="preserve"> composite scores. The </w:t>
      </w:r>
      <w:r w:rsidR="00786AF4">
        <w:t>Anderson-Darling</w:t>
      </w:r>
      <w:r w:rsidR="00786AF4" w:rsidRPr="00010847">
        <w:t xml:space="preserve"> test for normal distribution </w:t>
      </w:r>
      <w:r w:rsidR="00786AF4">
        <w:t xml:space="preserve">was used </w:t>
      </w:r>
      <w:r w:rsidR="00786AF4" w:rsidRPr="00010847">
        <w:t xml:space="preserve">on the </w:t>
      </w:r>
      <w:r w:rsidR="00786AF4">
        <w:t>SF-CQS</w:t>
      </w:r>
      <w:r w:rsidR="00786AF4" w:rsidRPr="00010847">
        <w:t xml:space="preserve"> composite scores </w:t>
      </w:r>
      <w:r w:rsidR="00786AF4">
        <w:t xml:space="preserve">and </w:t>
      </w:r>
      <w:r w:rsidR="00786AF4" w:rsidRPr="00010847">
        <w:t xml:space="preserve">displayed an alpha value </w:t>
      </w:r>
      <w:r w:rsidR="00786AF4">
        <w:t>less</w:t>
      </w:r>
      <w:r w:rsidR="00786AF4" w:rsidRPr="00010847">
        <w:t xml:space="preserve"> than .05 (</w:t>
      </w:r>
      <w:r w:rsidR="00786AF4" w:rsidRPr="00010847">
        <w:rPr>
          <w:i/>
          <w:iCs/>
        </w:rPr>
        <w:t xml:space="preserve">p </w:t>
      </w:r>
      <w:r w:rsidR="00786AF4" w:rsidRPr="00010847">
        <w:t>&gt; .05) and signified the d</w:t>
      </w:r>
      <w:r w:rsidR="00786AF4">
        <w:t>ata</w:t>
      </w:r>
      <w:r w:rsidR="00786AF4" w:rsidRPr="00010847">
        <w:t xml:space="preserve"> was </w:t>
      </w:r>
      <w:r w:rsidR="00786AF4">
        <w:t xml:space="preserve">not </w:t>
      </w:r>
      <w:r w:rsidR="00786AF4" w:rsidRPr="00010847">
        <w:t xml:space="preserve">normally distributed (see Table </w:t>
      </w:r>
      <w:r w:rsidR="00786AF4">
        <w:t>2</w:t>
      </w:r>
      <w:r w:rsidR="00786AF4" w:rsidRPr="00010847">
        <w:t xml:space="preserve">). The </w:t>
      </w:r>
      <w:r w:rsidR="00786AF4">
        <w:t>Lilliefors/Kolmogorov-Smirnov</w:t>
      </w:r>
      <w:r w:rsidR="00786AF4" w:rsidRPr="00010847">
        <w:t xml:space="preserve"> test for </w:t>
      </w:r>
      <w:r w:rsidR="00786AF4" w:rsidRPr="00010847">
        <w:lastRenderedPageBreak/>
        <w:t xml:space="preserve">normal distribution </w:t>
      </w:r>
      <w:r w:rsidR="00C20C2A">
        <w:t xml:space="preserve">was </w:t>
      </w:r>
      <w:r w:rsidR="00786AF4">
        <w:t xml:space="preserve">used </w:t>
      </w:r>
      <w:r w:rsidR="00786AF4" w:rsidRPr="00010847">
        <w:t>on the S</w:t>
      </w:r>
      <w:r w:rsidR="00786AF4">
        <w:t>F-CQS</w:t>
      </w:r>
      <w:r w:rsidR="00786AF4" w:rsidRPr="00010847">
        <w:t xml:space="preserve"> composite scores </w:t>
      </w:r>
      <w:r w:rsidR="00786AF4">
        <w:t xml:space="preserve">and </w:t>
      </w:r>
      <w:r w:rsidR="00786AF4" w:rsidRPr="00010847">
        <w:t>indicated an alpha value greater than .05 (</w:t>
      </w:r>
      <w:r w:rsidR="00786AF4" w:rsidRPr="00010847">
        <w:rPr>
          <w:i/>
          <w:iCs/>
        </w:rPr>
        <w:t xml:space="preserve">p </w:t>
      </w:r>
      <w:r w:rsidR="00786AF4" w:rsidRPr="00010847">
        <w:t xml:space="preserve">&gt; .05) and signified the distribution was normally distributed (see Table </w:t>
      </w:r>
      <w:r w:rsidR="00786AF4">
        <w:t>2</w:t>
      </w:r>
      <w:r w:rsidR="00786AF4" w:rsidRPr="00010847">
        <w:t>).</w:t>
      </w:r>
    </w:p>
    <w:p w:rsidR="00786AF4" w:rsidRDefault="00786AF4" w:rsidP="00786AF4">
      <w:pPr>
        <w:pStyle w:val="BodyText"/>
        <w:rPr>
          <w:b/>
          <w:bCs/>
        </w:rPr>
      </w:pPr>
      <w:r>
        <w:rPr>
          <w:b/>
          <w:bCs/>
        </w:rPr>
        <w:t>Table 2</w:t>
      </w:r>
    </w:p>
    <w:tbl>
      <w:tblPr>
        <w:tblW w:w="8240" w:type="dxa"/>
        <w:tblLook w:val="04A0" w:firstRow="1" w:lastRow="0" w:firstColumn="1" w:lastColumn="0" w:noHBand="0" w:noVBand="1"/>
      </w:tblPr>
      <w:tblGrid>
        <w:gridCol w:w="2945"/>
        <w:gridCol w:w="990"/>
        <w:gridCol w:w="576"/>
        <w:gridCol w:w="756"/>
        <w:gridCol w:w="990"/>
        <w:gridCol w:w="960"/>
        <w:gridCol w:w="1240"/>
      </w:tblGrid>
      <w:tr w:rsidR="00786AF4" w:rsidTr="00A55339">
        <w:trPr>
          <w:trHeight w:val="320"/>
        </w:trPr>
        <w:tc>
          <w:tcPr>
            <w:tcW w:w="6040" w:type="dxa"/>
            <w:gridSpan w:val="5"/>
            <w:tcBorders>
              <w:top w:val="nil"/>
              <w:left w:val="nil"/>
              <w:bottom w:val="nil"/>
              <w:right w:val="nil"/>
            </w:tcBorders>
            <w:shd w:val="clear" w:color="auto" w:fill="auto"/>
            <w:noWrap/>
            <w:vAlign w:val="bottom"/>
            <w:hideMark/>
          </w:tcPr>
          <w:p w:rsidR="00786AF4" w:rsidRDefault="00786AF4" w:rsidP="00A55339">
            <w:pPr>
              <w:rPr>
                <w:i/>
                <w:iCs/>
                <w:color w:val="000000"/>
              </w:rPr>
            </w:pPr>
            <w:r>
              <w:rPr>
                <w:i/>
                <w:iCs/>
                <w:color w:val="000000"/>
              </w:rPr>
              <w:t xml:space="preserve">Tests of Normality for the SF-CQS Composite Scores </w:t>
            </w:r>
          </w:p>
        </w:tc>
        <w:tc>
          <w:tcPr>
            <w:tcW w:w="960" w:type="dxa"/>
            <w:tcBorders>
              <w:top w:val="nil"/>
              <w:left w:val="nil"/>
              <w:bottom w:val="nil"/>
              <w:right w:val="nil"/>
            </w:tcBorders>
            <w:shd w:val="clear" w:color="auto" w:fill="auto"/>
            <w:noWrap/>
            <w:vAlign w:val="bottom"/>
            <w:hideMark/>
          </w:tcPr>
          <w:p w:rsidR="00786AF4" w:rsidRDefault="00786AF4" w:rsidP="00A55339">
            <w:pPr>
              <w:rPr>
                <w:i/>
                <w:iCs/>
                <w:color w:val="000000"/>
              </w:rPr>
            </w:pPr>
          </w:p>
        </w:tc>
        <w:tc>
          <w:tcPr>
            <w:tcW w:w="1240" w:type="dxa"/>
            <w:tcBorders>
              <w:top w:val="nil"/>
              <w:left w:val="nil"/>
              <w:bottom w:val="nil"/>
              <w:right w:val="nil"/>
            </w:tcBorders>
            <w:shd w:val="clear" w:color="auto" w:fill="auto"/>
            <w:noWrap/>
            <w:vAlign w:val="bottom"/>
            <w:hideMark/>
          </w:tcPr>
          <w:p w:rsidR="00786AF4" w:rsidRDefault="00786AF4" w:rsidP="00A55339">
            <w:pPr>
              <w:rPr>
                <w:sz w:val="20"/>
                <w:szCs w:val="20"/>
              </w:rPr>
            </w:pPr>
          </w:p>
        </w:tc>
      </w:tr>
      <w:tr w:rsidR="00786AF4" w:rsidTr="00A55339">
        <w:trPr>
          <w:trHeight w:val="320"/>
        </w:trPr>
        <w:tc>
          <w:tcPr>
            <w:tcW w:w="2945" w:type="dxa"/>
            <w:tcBorders>
              <w:top w:val="single" w:sz="4" w:space="0" w:color="auto"/>
              <w:left w:val="nil"/>
              <w:bottom w:val="nil"/>
              <w:right w:val="nil"/>
            </w:tcBorders>
            <w:shd w:val="clear" w:color="auto" w:fill="auto"/>
            <w:noWrap/>
            <w:vAlign w:val="bottom"/>
            <w:hideMark/>
          </w:tcPr>
          <w:p w:rsidR="00786AF4" w:rsidRDefault="00786AF4" w:rsidP="00A55339">
            <w:pPr>
              <w:rPr>
                <w:color w:val="000000"/>
              </w:rPr>
            </w:pPr>
            <w:r>
              <w:rPr>
                <w:color w:val="000000"/>
              </w:rPr>
              <w:t> </w:t>
            </w:r>
          </w:p>
        </w:tc>
        <w:tc>
          <w:tcPr>
            <w:tcW w:w="2126" w:type="dxa"/>
            <w:gridSpan w:val="3"/>
            <w:tcBorders>
              <w:top w:val="single" w:sz="4" w:space="0" w:color="auto"/>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Anderson-Darling</w:t>
            </w:r>
          </w:p>
        </w:tc>
        <w:tc>
          <w:tcPr>
            <w:tcW w:w="3169" w:type="dxa"/>
            <w:gridSpan w:val="3"/>
            <w:tcBorders>
              <w:top w:val="single" w:sz="4" w:space="0" w:color="auto"/>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Lilliefors/Kolmogorov-Smirnov</w:t>
            </w:r>
          </w:p>
        </w:tc>
      </w:tr>
      <w:tr w:rsidR="00786AF4" w:rsidTr="00A55339">
        <w:trPr>
          <w:trHeight w:val="320"/>
        </w:trPr>
        <w:tc>
          <w:tcPr>
            <w:tcW w:w="2945" w:type="dxa"/>
            <w:tcBorders>
              <w:top w:val="nil"/>
              <w:left w:val="nil"/>
              <w:bottom w:val="nil"/>
              <w:right w:val="nil"/>
            </w:tcBorders>
            <w:shd w:val="clear" w:color="auto" w:fill="auto"/>
            <w:noWrap/>
            <w:vAlign w:val="bottom"/>
            <w:hideMark/>
          </w:tcPr>
          <w:p w:rsidR="00786AF4" w:rsidRDefault="00C20C2A" w:rsidP="00A55339">
            <w:pPr>
              <w:jc w:val="center"/>
              <w:rPr>
                <w:color w:val="000000"/>
              </w:rPr>
            </w:pPr>
            <w:r>
              <w:rPr>
                <w:color w:val="000000"/>
              </w:rPr>
              <w:t>Composite</w:t>
            </w:r>
            <w:r w:rsidR="00786AF4">
              <w:rPr>
                <w:color w:val="000000"/>
              </w:rPr>
              <w:t xml:space="preserve"> scores</w:t>
            </w:r>
          </w:p>
        </w:tc>
        <w:tc>
          <w:tcPr>
            <w:tcW w:w="969"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Statistic</w:t>
            </w:r>
          </w:p>
        </w:tc>
        <w:tc>
          <w:tcPr>
            <w:tcW w:w="470" w:type="dxa"/>
            <w:tcBorders>
              <w:top w:val="nil"/>
              <w:left w:val="nil"/>
              <w:bottom w:val="nil"/>
              <w:right w:val="nil"/>
            </w:tcBorders>
            <w:shd w:val="clear" w:color="auto" w:fill="auto"/>
            <w:noWrap/>
            <w:vAlign w:val="bottom"/>
            <w:hideMark/>
          </w:tcPr>
          <w:p w:rsidR="00786AF4" w:rsidRDefault="00786AF4" w:rsidP="00A55339">
            <w:pPr>
              <w:jc w:val="center"/>
              <w:rPr>
                <w:i/>
                <w:iCs/>
                <w:color w:val="000000"/>
              </w:rPr>
            </w:pPr>
            <w:proofErr w:type="spellStart"/>
            <w:r>
              <w:rPr>
                <w:i/>
                <w:iCs/>
                <w:color w:val="000000"/>
              </w:rPr>
              <w:t>df</w:t>
            </w:r>
            <w:proofErr w:type="spellEnd"/>
          </w:p>
        </w:tc>
        <w:tc>
          <w:tcPr>
            <w:tcW w:w="687"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Sig.</w:t>
            </w:r>
          </w:p>
        </w:tc>
        <w:tc>
          <w:tcPr>
            <w:tcW w:w="969"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Statistic</w:t>
            </w:r>
          </w:p>
        </w:tc>
        <w:tc>
          <w:tcPr>
            <w:tcW w:w="960" w:type="dxa"/>
            <w:tcBorders>
              <w:top w:val="nil"/>
              <w:left w:val="nil"/>
              <w:bottom w:val="nil"/>
              <w:right w:val="nil"/>
            </w:tcBorders>
            <w:shd w:val="clear" w:color="auto" w:fill="auto"/>
            <w:noWrap/>
            <w:vAlign w:val="bottom"/>
            <w:hideMark/>
          </w:tcPr>
          <w:p w:rsidR="00786AF4" w:rsidRDefault="00786AF4" w:rsidP="00A55339">
            <w:pPr>
              <w:jc w:val="center"/>
              <w:rPr>
                <w:i/>
                <w:iCs/>
                <w:color w:val="000000"/>
              </w:rPr>
            </w:pPr>
            <w:proofErr w:type="spellStart"/>
            <w:r>
              <w:rPr>
                <w:i/>
                <w:iCs/>
                <w:color w:val="000000"/>
              </w:rPr>
              <w:t>df</w:t>
            </w:r>
            <w:proofErr w:type="spellEnd"/>
          </w:p>
        </w:tc>
        <w:tc>
          <w:tcPr>
            <w:tcW w:w="1240"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Sig.</w:t>
            </w:r>
          </w:p>
        </w:tc>
      </w:tr>
      <w:tr w:rsidR="00786AF4" w:rsidTr="00A55339">
        <w:trPr>
          <w:trHeight w:val="320"/>
        </w:trPr>
        <w:tc>
          <w:tcPr>
            <w:tcW w:w="2945" w:type="dxa"/>
            <w:tcBorders>
              <w:top w:val="single" w:sz="4" w:space="0" w:color="auto"/>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 xml:space="preserve">SF-CQS </w:t>
            </w:r>
            <w:r w:rsidR="00C20C2A">
              <w:rPr>
                <w:color w:val="000000"/>
              </w:rPr>
              <w:t>composite</w:t>
            </w:r>
            <w:r>
              <w:rPr>
                <w:color w:val="000000"/>
              </w:rPr>
              <w:t xml:space="preserve"> scores</w:t>
            </w:r>
          </w:p>
        </w:tc>
        <w:tc>
          <w:tcPr>
            <w:tcW w:w="969" w:type="dxa"/>
            <w:tcBorders>
              <w:top w:val="single" w:sz="4" w:space="0" w:color="auto"/>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0.988</w:t>
            </w:r>
          </w:p>
        </w:tc>
        <w:tc>
          <w:tcPr>
            <w:tcW w:w="470" w:type="dxa"/>
            <w:tcBorders>
              <w:top w:val="single" w:sz="4" w:space="0" w:color="auto"/>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428</w:t>
            </w:r>
          </w:p>
        </w:tc>
        <w:tc>
          <w:tcPr>
            <w:tcW w:w="687" w:type="dxa"/>
            <w:tcBorders>
              <w:top w:val="single" w:sz="4" w:space="0" w:color="auto"/>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0.013</w:t>
            </w:r>
          </w:p>
        </w:tc>
        <w:tc>
          <w:tcPr>
            <w:tcW w:w="969" w:type="dxa"/>
            <w:tcBorders>
              <w:top w:val="single" w:sz="4" w:space="0" w:color="auto"/>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0.04</w:t>
            </w:r>
          </w:p>
        </w:tc>
        <w:tc>
          <w:tcPr>
            <w:tcW w:w="960" w:type="dxa"/>
            <w:tcBorders>
              <w:top w:val="single" w:sz="4" w:space="0" w:color="auto"/>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428</w:t>
            </w:r>
          </w:p>
        </w:tc>
        <w:tc>
          <w:tcPr>
            <w:tcW w:w="1240" w:type="dxa"/>
            <w:tcBorders>
              <w:top w:val="single" w:sz="4" w:space="0" w:color="auto"/>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p&gt;= 0.15</w:t>
            </w:r>
          </w:p>
        </w:tc>
      </w:tr>
      <w:tr w:rsidR="00786AF4" w:rsidTr="005A5737">
        <w:trPr>
          <w:trHeight w:val="386"/>
        </w:trPr>
        <w:tc>
          <w:tcPr>
            <w:tcW w:w="7000" w:type="dxa"/>
            <w:gridSpan w:val="6"/>
            <w:tcBorders>
              <w:top w:val="nil"/>
              <w:left w:val="nil"/>
              <w:bottom w:val="nil"/>
              <w:right w:val="nil"/>
            </w:tcBorders>
            <w:shd w:val="clear" w:color="auto" w:fill="auto"/>
            <w:noWrap/>
            <w:vAlign w:val="bottom"/>
            <w:hideMark/>
          </w:tcPr>
          <w:p w:rsidR="00786AF4" w:rsidRDefault="00786AF4" w:rsidP="00A55339">
            <w:pPr>
              <w:rPr>
                <w:i/>
                <w:iCs/>
                <w:color w:val="000000"/>
              </w:rPr>
            </w:pPr>
            <w:r>
              <w:rPr>
                <w:i/>
                <w:iCs/>
                <w:color w:val="000000"/>
              </w:rPr>
              <w:t xml:space="preserve">Note: An alpha level </w:t>
            </w:r>
            <w:r w:rsidR="005A5737">
              <w:rPr>
                <w:i/>
                <w:iCs/>
                <w:color w:val="000000"/>
              </w:rPr>
              <w:t>greater</w:t>
            </w:r>
            <w:r>
              <w:rPr>
                <w:i/>
                <w:iCs/>
                <w:color w:val="000000"/>
              </w:rPr>
              <w:t xml:space="preserve"> than .05 indicates normal distribution. </w:t>
            </w:r>
          </w:p>
        </w:tc>
        <w:tc>
          <w:tcPr>
            <w:tcW w:w="1240" w:type="dxa"/>
            <w:tcBorders>
              <w:top w:val="nil"/>
              <w:left w:val="nil"/>
              <w:bottom w:val="nil"/>
              <w:right w:val="nil"/>
            </w:tcBorders>
            <w:shd w:val="clear" w:color="auto" w:fill="auto"/>
            <w:noWrap/>
            <w:vAlign w:val="bottom"/>
            <w:hideMark/>
          </w:tcPr>
          <w:p w:rsidR="00786AF4" w:rsidRDefault="00786AF4" w:rsidP="00A55339">
            <w:pPr>
              <w:rPr>
                <w:i/>
                <w:iCs/>
                <w:color w:val="000000"/>
              </w:rPr>
            </w:pPr>
          </w:p>
        </w:tc>
      </w:tr>
    </w:tbl>
    <w:p w:rsidR="00786AF4" w:rsidRDefault="00786AF4" w:rsidP="00786AF4">
      <w:pPr>
        <w:pStyle w:val="BodyText"/>
        <w:ind w:firstLine="0"/>
      </w:pPr>
    </w:p>
    <w:p w:rsidR="00786AF4" w:rsidRPr="00010847" w:rsidRDefault="00C20C2A" w:rsidP="00786AF4">
      <w:pPr>
        <w:pStyle w:val="BodyText"/>
      </w:pPr>
      <w:r>
        <w:t xml:space="preserve">The researcher performed </w:t>
      </w:r>
      <w:r w:rsidR="00786AF4">
        <w:t>Anderson-Darling</w:t>
      </w:r>
      <w:r w:rsidR="00786AF4" w:rsidRPr="00010847">
        <w:t xml:space="preserve"> and </w:t>
      </w:r>
      <w:proofErr w:type="spellStart"/>
      <w:r w:rsidR="00786AF4">
        <w:t>Liliefors</w:t>
      </w:r>
      <w:proofErr w:type="spellEnd"/>
      <w:r w:rsidR="00786AF4">
        <w:t>/Kolmogorov-Smirnov</w:t>
      </w:r>
      <w:r w:rsidR="00786AF4" w:rsidRPr="00010847">
        <w:t xml:space="preserve"> tests on </w:t>
      </w:r>
      <w:r w:rsidR="00786AF4">
        <w:t>the ARBI</w:t>
      </w:r>
      <w:r w:rsidR="00786AF4" w:rsidRPr="00010847">
        <w:t xml:space="preserve"> composite scores. The </w:t>
      </w:r>
      <w:r w:rsidR="00786AF4">
        <w:t>Anderson-Darling</w:t>
      </w:r>
      <w:r w:rsidR="00786AF4" w:rsidRPr="00010847">
        <w:t xml:space="preserve"> test for normality </w:t>
      </w:r>
      <w:r w:rsidR="004636FF">
        <w:t>conducted</w:t>
      </w:r>
      <w:r w:rsidR="00786AF4" w:rsidRPr="00010847">
        <w:t xml:space="preserve"> on the </w:t>
      </w:r>
      <w:r w:rsidR="00786AF4">
        <w:t>ARBI</w:t>
      </w:r>
      <w:r w:rsidR="00786AF4" w:rsidRPr="00010847">
        <w:t xml:space="preserve"> composite scores displayed an alpha value </w:t>
      </w:r>
      <w:r w:rsidR="00786AF4">
        <w:t>less</w:t>
      </w:r>
      <w:r w:rsidR="00786AF4" w:rsidRPr="00010847">
        <w:t xml:space="preserve"> than .05 (</w:t>
      </w:r>
      <w:r w:rsidR="00786AF4" w:rsidRPr="00010847">
        <w:rPr>
          <w:i/>
          <w:iCs/>
        </w:rPr>
        <w:t xml:space="preserve">p </w:t>
      </w:r>
      <w:r w:rsidR="00786AF4" w:rsidRPr="00010847">
        <w:t xml:space="preserve">&gt; .05) and signified the distribution was </w:t>
      </w:r>
      <w:r w:rsidR="00786AF4">
        <w:t xml:space="preserve">not </w:t>
      </w:r>
      <w:r w:rsidR="00786AF4" w:rsidRPr="00010847">
        <w:t xml:space="preserve">normally distributed (see Table </w:t>
      </w:r>
      <w:r w:rsidR="00786AF4">
        <w:t>3</w:t>
      </w:r>
      <w:r w:rsidR="00786AF4" w:rsidRPr="00010847">
        <w:t xml:space="preserve">). The </w:t>
      </w:r>
      <w:r w:rsidR="00786AF4">
        <w:t>Lilliefors/Kolmogorov-Smirnov</w:t>
      </w:r>
      <w:r w:rsidR="00786AF4" w:rsidRPr="00010847">
        <w:t xml:space="preserve"> test for normal distribution </w:t>
      </w:r>
      <w:r w:rsidR="000D0506">
        <w:t xml:space="preserve">conducted </w:t>
      </w:r>
      <w:r w:rsidR="00786AF4" w:rsidRPr="00010847">
        <w:t xml:space="preserve">on the </w:t>
      </w:r>
      <w:r w:rsidR="00786AF4">
        <w:t>ARBI</w:t>
      </w:r>
      <w:r w:rsidR="00786AF4" w:rsidRPr="00010847">
        <w:t xml:space="preserve"> composite scores indicated an alpha value </w:t>
      </w:r>
      <w:r w:rsidR="00786AF4">
        <w:t>less</w:t>
      </w:r>
      <w:r w:rsidR="00786AF4" w:rsidRPr="00010847">
        <w:t xml:space="preserve"> than .05 (</w:t>
      </w:r>
      <w:r w:rsidR="00786AF4" w:rsidRPr="00010847">
        <w:rPr>
          <w:i/>
          <w:iCs/>
        </w:rPr>
        <w:t xml:space="preserve">p </w:t>
      </w:r>
      <w:r w:rsidR="00786AF4" w:rsidRPr="00010847">
        <w:t>&gt; .05)</w:t>
      </w:r>
      <w:r w:rsidR="000136DF">
        <w:t>. It signified</w:t>
      </w:r>
      <w:r w:rsidR="00786AF4" w:rsidRPr="00010847">
        <w:t xml:space="preserve"> the distribution was </w:t>
      </w:r>
      <w:r w:rsidR="00786AF4">
        <w:t xml:space="preserve">not </w:t>
      </w:r>
      <w:r w:rsidR="00786AF4" w:rsidRPr="00010847">
        <w:t xml:space="preserve">normally distributed (see Table </w:t>
      </w:r>
      <w:r w:rsidR="00786AF4">
        <w:t>3</w:t>
      </w:r>
      <w:r w:rsidR="00786AF4" w:rsidRPr="00010847">
        <w:t>).</w:t>
      </w:r>
    </w:p>
    <w:p w:rsidR="00786AF4" w:rsidRDefault="00786AF4" w:rsidP="00786AF4">
      <w:pPr>
        <w:pStyle w:val="BodyText"/>
        <w:rPr>
          <w:b/>
          <w:bCs/>
        </w:rPr>
      </w:pPr>
      <w:r>
        <w:rPr>
          <w:b/>
          <w:bCs/>
        </w:rPr>
        <w:t xml:space="preserve">Table </w:t>
      </w:r>
      <w:bookmarkStart w:id="6" w:name="_Toc120824773"/>
      <w:r>
        <w:rPr>
          <w:b/>
          <w:bCs/>
        </w:rPr>
        <w:t>3</w:t>
      </w:r>
    </w:p>
    <w:tbl>
      <w:tblPr>
        <w:tblW w:w="8282" w:type="dxa"/>
        <w:tblLook w:val="04A0" w:firstRow="1" w:lastRow="0" w:firstColumn="1" w:lastColumn="0" w:noHBand="0" w:noVBand="1"/>
      </w:tblPr>
      <w:tblGrid>
        <w:gridCol w:w="2433"/>
        <w:gridCol w:w="990"/>
        <w:gridCol w:w="576"/>
        <w:gridCol w:w="1127"/>
        <w:gridCol w:w="990"/>
        <w:gridCol w:w="872"/>
        <w:gridCol w:w="1307"/>
      </w:tblGrid>
      <w:tr w:rsidR="00786AF4" w:rsidTr="005A5737">
        <w:trPr>
          <w:trHeight w:val="366"/>
        </w:trPr>
        <w:tc>
          <w:tcPr>
            <w:tcW w:w="6103" w:type="dxa"/>
            <w:gridSpan w:val="5"/>
            <w:tcBorders>
              <w:top w:val="nil"/>
              <w:left w:val="nil"/>
              <w:bottom w:val="nil"/>
              <w:right w:val="nil"/>
            </w:tcBorders>
            <w:shd w:val="clear" w:color="auto" w:fill="auto"/>
            <w:noWrap/>
            <w:vAlign w:val="bottom"/>
            <w:hideMark/>
          </w:tcPr>
          <w:p w:rsidR="00786AF4" w:rsidRDefault="00786AF4" w:rsidP="00A55339">
            <w:pPr>
              <w:rPr>
                <w:i/>
                <w:iCs/>
                <w:color w:val="000000"/>
              </w:rPr>
            </w:pPr>
            <w:r>
              <w:rPr>
                <w:i/>
                <w:iCs/>
                <w:color w:val="000000"/>
              </w:rPr>
              <w:t xml:space="preserve">Tests of Normality for the ARBI Composite Scores </w:t>
            </w:r>
          </w:p>
        </w:tc>
        <w:tc>
          <w:tcPr>
            <w:tcW w:w="872" w:type="dxa"/>
            <w:tcBorders>
              <w:top w:val="nil"/>
              <w:left w:val="nil"/>
              <w:bottom w:val="nil"/>
              <w:right w:val="nil"/>
            </w:tcBorders>
            <w:shd w:val="clear" w:color="auto" w:fill="auto"/>
            <w:noWrap/>
            <w:vAlign w:val="bottom"/>
            <w:hideMark/>
          </w:tcPr>
          <w:p w:rsidR="00786AF4" w:rsidRDefault="00786AF4" w:rsidP="00A55339">
            <w:pPr>
              <w:rPr>
                <w:i/>
                <w:iCs/>
                <w:color w:val="000000"/>
              </w:rPr>
            </w:pPr>
          </w:p>
        </w:tc>
        <w:tc>
          <w:tcPr>
            <w:tcW w:w="1307" w:type="dxa"/>
            <w:tcBorders>
              <w:top w:val="nil"/>
              <w:left w:val="nil"/>
              <w:bottom w:val="nil"/>
              <w:right w:val="nil"/>
            </w:tcBorders>
            <w:shd w:val="clear" w:color="auto" w:fill="auto"/>
            <w:noWrap/>
            <w:vAlign w:val="bottom"/>
            <w:hideMark/>
          </w:tcPr>
          <w:p w:rsidR="00786AF4" w:rsidRDefault="00786AF4" w:rsidP="00A55339">
            <w:pPr>
              <w:rPr>
                <w:sz w:val="20"/>
                <w:szCs w:val="20"/>
              </w:rPr>
            </w:pPr>
          </w:p>
        </w:tc>
      </w:tr>
      <w:tr w:rsidR="00786AF4" w:rsidTr="005A5737">
        <w:trPr>
          <w:trHeight w:val="366"/>
        </w:trPr>
        <w:tc>
          <w:tcPr>
            <w:tcW w:w="2433" w:type="dxa"/>
            <w:tcBorders>
              <w:top w:val="single" w:sz="4" w:space="0" w:color="auto"/>
              <w:left w:val="nil"/>
              <w:bottom w:val="nil"/>
              <w:right w:val="nil"/>
            </w:tcBorders>
            <w:shd w:val="clear" w:color="auto" w:fill="auto"/>
            <w:noWrap/>
            <w:vAlign w:val="bottom"/>
            <w:hideMark/>
          </w:tcPr>
          <w:p w:rsidR="00786AF4" w:rsidRDefault="00786AF4" w:rsidP="00A55339">
            <w:pPr>
              <w:rPr>
                <w:color w:val="000000"/>
              </w:rPr>
            </w:pPr>
            <w:r>
              <w:rPr>
                <w:color w:val="000000"/>
              </w:rPr>
              <w:t> </w:t>
            </w:r>
          </w:p>
        </w:tc>
        <w:tc>
          <w:tcPr>
            <w:tcW w:w="2685" w:type="dxa"/>
            <w:gridSpan w:val="3"/>
            <w:tcBorders>
              <w:top w:val="single" w:sz="4" w:space="0" w:color="auto"/>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Anderson-Darling</w:t>
            </w:r>
          </w:p>
        </w:tc>
        <w:tc>
          <w:tcPr>
            <w:tcW w:w="3164" w:type="dxa"/>
            <w:gridSpan w:val="3"/>
            <w:tcBorders>
              <w:top w:val="single" w:sz="4" w:space="0" w:color="auto"/>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Lilliefors/Kolmogorov-Smirnov</w:t>
            </w:r>
          </w:p>
        </w:tc>
      </w:tr>
      <w:tr w:rsidR="00786AF4" w:rsidTr="005A5737">
        <w:trPr>
          <w:trHeight w:val="366"/>
        </w:trPr>
        <w:tc>
          <w:tcPr>
            <w:tcW w:w="2433" w:type="dxa"/>
            <w:tcBorders>
              <w:top w:val="nil"/>
              <w:left w:val="nil"/>
              <w:bottom w:val="nil"/>
              <w:right w:val="nil"/>
            </w:tcBorders>
            <w:shd w:val="clear" w:color="auto" w:fill="auto"/>
            <w:noWrap/>
            <w:vAlign w:val="bottom"/>
            <w:hideMark/>
          </w:tcPr>
          <w:p w:rsidR="00786AF4" w:rsidRDefault="004636FF" w:rsidP="00A55339">
            <w:pPr>
              <w:jc w:val="center"/>
              <w:rPr>
                <w:color w:val="000000"/>
              </w:rPr>
            </w:pPr>
            <w:r>
              <w:rPr>
                <w:color w:val="000000"/>
              </w:rPr>
              <w:t>Composite</w:t>
            </w:r>
            <w:r w:rsidR="00786AF4">
              <w:rPr>
                <w:color w:val="000000"/>
              </w:rPr>
              <w:t xml:space="preserve"> scores</w:t>
            </w:r>
          </w:p>
        </w:tc>
        <w:tc>
          <w:tcPr>
            <w:tcW w:w="984"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Statistic</w:t>
            </w:r>
          </w:p>
        </w:tc>
        <w:tc>
          <w:tcPr>
            <w:tcW w:w="572" w:type="dxa"/>
            <w:tcBorders>
              <w:top w:val="nil"/>
              <w:left w:val="nil"/>
              <w:bottom w:val="nil"/>
              <w:right w:val="nil"/>
            </w:tcBorders>
            <w:shd w:val="clear" w:color="auto" w:fill="auto"/>
            <w:noWrap/>
            <w:vAlign w:val="bottom"/>
            <w:hideMark/>
          </w:tcPr>
          <w:p w:rsidR="00786AF4" w:rsidRDefault="00786AF4" w:rsidP="00A55339">
            <w:pPr>
              <w:jc w:val="center"/>
              <w:rPr>
                <w:i/>
                <w:iCs/>
                <w:color w:val="000000"/>
              </w:rPr>
            </w:pPr>
            <w:proofErr w:type="spellStart"/>
            <w:r>
              <w:rPr>
                <w:i/>
                <w:iCs/>
                <w:color w:val="000000"/>
              </w:rPr>
              <w:t>df</w:t>
            </w:r>
            <w:proofErr w:type="spellEnd"/>
          </w:p>
        </w:tc>
        <w:tc>
          <w:tcPr>
            <w:tcW w:w="1127"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Sig.</w:t>
            </w:r>
          </w:p>
        </w:tc>
        <w:tc>
          <w:tcPr>
            <w:tcW w:w="984"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Statistic</w:t>
            </w:r>
          </w:p>
        </w:tc>
        <w:tc>
          <w:tcPr>
            <w:tcW w:w="872" w:type="dxa"/>
            <w:tcBorders>
              <w:top w:val="nil"/>
              <w:left w:val="nil"/>
              <w:bottom w:val="nil"/>
              <w:right w:val="nil"/>
            </w:tcBorders>
            <w:shd w:val="clear" w:color="auto" w:fill="auto"/>
            <w:noWrap/>
            <w:vAlign w:val="bottom"/>
            <w:hideMark/>
          </w:tcPr>
          <w:p w:rsidR="00786AF4" w:rsidRDefault="00786AF4" w:rsidP="00A55339">
            <w:pPr>
              <w:jc w:val="center"/>
              <w:rPr>
                <w:i/>
                <w:iCs/>
                <w:color w:val="000000"/>
              </w:rPr>
            </w:pPr>
            <w:proofErr w:type="spellStart"/>
            <w:r>
              <w:rPr>
                <w:i/>
                <w:iCs/>
                <w:color w:val="000000"/>
              </w:rPr>
              <w:t>df</w:t>
            </w:r>
            <w:proofErr w:type="spellEnd"/>
          </w:p>
        </w:tc>
        <w:tc>
          <w:tcPr>
            <w:tcW w:w="1307"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Sig.</w:t>
            </w:r>
          </w:p>
        </w:tc>
      </w:tr>
      <w:tr w:rsidR="00786AF4" w:rsidTr="005A5737">
        <w:trPr>
          <w:trHeight w:val="366"/>
        </w:trPr>
        <w:tc>
          <w:tcPr>
            <w:tcW w:w="2433" w:type="dxa"/>
            <w:tcBorders>
              <w:top w:val="single" w:sz="4" w:space="0" w:color="auto"/>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 xml:space="preserve">ARBI </w:t>
            </w:r>
            <w:r w:rsidR="004636FF">
              <w:rPr>
                <w:color w:val="000000"/>
              </w:rPr>
              <w:t>composite</w:t>
            </w:r>
            <w:r>
              <w:rPr>
                <w:color w:val="000000"/>
              </w:rPr>
              <w:t xml:space="preserve"> scores</w:t>
            </w:r>
          </w:p>
        </w:tc>
        <w:tc>
          <w:tcPr>
            <w:tcW w:w="984" w:type="dxa"/>
            <w:tcBorders>
              <w:top w:val="single" w:sz="4" w:space="0" w:color="auto"/>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1.758</w:t>
            </w:r>
          </w:p>
        </w:tc>
        <w:tc>
          <w:tcPr>
            <w:tcW w:w="572" w:type="dxa"/>
            <w:tcBorders>
              <w:top w:val="single" w:sz="4" w:space="0" w:color="auto"/>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428</w:t>
            </w:r>
          </w:p>
        </w:tc>
        <w:tc>
          <w:tcPr>
            <w:tcW w:w="1127" w:type="dxa"/>
            <w:tcBorders>
              <w:top w:val="single" w:sz="4" w:space="0" w:color="auto"/>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p&lt;= 0.001</w:t>
            </w:r>
          </w:p>
        </w:tc>
        <w:tc>
          <w:tcPr>
            <w:tcW w:w="984" w:type="dxa"/>
            <w:tcBorders>
              <w:top w:val="single" w:sz="4" w:space="0" w:color="auto"/>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0.052</w:t>
            </w:r>
          </w:p>
        </w:tc>
        <w:tc>
          <w:tcPr>
            <w:tcW w:w="872" w:type="dxa"/>
            <w:tcBorders>
              <w:top w:val="single" w:sz="4" w:space="0" w:color="auto"/>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428</w:t>
            </w:r>
          </w:p>
        </w:tc>
        <w:tc>
          <w:tcPr>
            <w:tcW w:w="1307" w:type="dxa"/>
            <w:tcBorders>
              <w:top w:val="single" w:sz="4" w:space="0" w:color="auto"/>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p&lt;= 0.001</w:t>
            </w:r>
          </w:p>
        </w:tc>
      </w:tr>
      <w:tr w:rsidR="00786AF4" w:rsidTr="005A5737">
        <w:trPr>
          <w:trHeight w:val="421"/>
        </w:trPr>
        <w:tc>
          <w:tcPr>
            <w:tcW w:w="6975" w:type="dxa"/>
            <w:gridSpan w:val="6"/>
            <w:tcBorders>
              <w:top w:val="nil"/>
              <w:left w:val="nil"/>
              <w:bottom w:val="nil"/>
              <w:right w:val="nil"/>
            </w:tcBorders>
            <w:shd w:val="clear" w:color="auto" w:fill="auto"/>
            <w:noWrap/>
            <w:vAlign w:val="bottom"/>
            <w:hideMark/>
          </w:tcPr>
          <w:p w:rsidR="00786AF4" w:rsidRDefault="00786AF4" w:rsidP="00A55339">
            <w:pPr>
              <w:rPr>
                <w:i/>
                <w:iCs/>
                <w:color w:val="000000"/>
              </w:rPr>
            </w:pPr>
            <w:r>
              <w:rPr>
                <w:i/>
                <w:iCs/>
                <w:color w:val="000000"/>
              </w:rPr>
              <w:t>Note: An alpha level great</w:t>
            </w:r>
            <w:r w:rsidR="005A5737">
              <w:rPr>
                <w:i/>
                <w:iCs/>
                <w:color w:val="000000"/>
              </w:rPr>
              <w:t>er</w:t>
            </w:r>
            <w:r>
              <w:rPr>
                <w:i/>
                <w:iCs/>
                <w:color w:val="000000"/>
              </w:rPr>
              <w:t xml:space="preserve"> than .05 indicates normal distribution. </w:t>
            </w:r>
          </w:p>
        </w:tc>
        <w:tc>
          <w:tcPr>
            <w:tcW w:w="1307" w:type="dxa"/>
            <w:tcBorders>
              <w:top w:val="nil"/>
              <w:left w:val="nil"/>
              <w:bottom w:val="nil"/>
              <w:right w:val="nil"/>
            </w:tcBorders>
            <w:shd w:val="clear" w:color="auto" w:fill="auto"/>
            <w:noWrap/>
            <w:vAlign w:val="bottom"/>
            <w:hideMark/>
          </w:tcPr>
          <w:p w:rsidR="00786AF4" w:rsidRDefault="00786AF4" w:rsidP="00A55339">
            <w:pPr>
              <w:rPr>
                <w:i/>
                <w:iCs/>
                <w:color w:val="000000"/>
              </w:rPr>
            </w:pPr>
          </w:p>
        </w:tc>
      </w:tr>
    </w:tbl>
    <w:p w:rsidR="00786AF4" w:rsidRPr="00C071ED" w:rsidRDefault="00786AF4" w:rsidP="00786AF4">
      <w:pPr>
        <w:pStyle w:val="BodyText"/>
        <w:ind w:firstLine="0"/>
      </w:pPr>
    </w:p>
    <w:p w:rsidR="00786AF4" w:rsidRDefault="004636FF" w:rsidP="00786AF4">
      <w:pPr>
        <w:pStyle w:val="BodyText"/>
        <w:rPr>
          <w:bCs/>
        </w:rPr>
      </w:pPr>
      <w:r>
        <w:rPr>
          <w:bCs/>
        </w:rPr>
        <w:t xml:space="preserve">The researcher </w:t>
      </w:r>
      <w:r w:rsidR="00786AF4" w:rsidRPr="00F71745">
        <w:rPr>
          <w:bCs/>
        </w:rPr>
        <w:t xml:space="preserve">collected </w:t>
      </w:r>
      <w:r>
        <w:rPr>
          <w:bCs/>
        </w:rPr>
        <w:t>d</w:t>
      </w:r>
      <w:r w:rsidRPr="00F71745">
        <w:rPr>
          <w:bCs/>
        </w:rPr>
        <w:t xml:space="preserve">ata </w:t>
      </w:r>
      <w:r w:rsidR="00786AF4" w:rsidRPr="00F71745">
        <w:rPr>
          <w:bCs/>
        </w:rPr>
        <w:t xml:space="preserve">via the </w:t>
      </w:r>
      <w:r w:rsidR="00786AF4">
        <w:rPr>
          <w:bCs/>
        </w:rPr>
        <w:t xml:space="preserve">SF-CQS </w:t>
      </w:r>
      <w:r w:rsidR="00786AF4" w:rsidRPr="00F71745">
        <w:rPr>
          <w:bCs/>
        </w:rPr>
        <w:t xml:space="preserve">online survey </w:t>
      </w:r>
      <w:r>
        <w:rPr>
          <w:bCs/>
        </w:rPr>
        <w:t>and imported that data into</w:t>
      </w:r>
      <w:r w:rsidR="00786AF4" w:rsidRPr="00F71745">
        <w:rPr>
          <w:bCs/>
        </w:rPr>
        <w:t xml:space="preserve"> an Excel spreadsheet containing scores for each of the </w:t>
      </w:r>
      <w:r w:rsidR="00786AF4">
        <w:rPr>
          <w:bCs/>
        </w:rPr>
        <w:t>three</w:t>
      </w:r>
      <w:r w:rsidR="00786AF4" w:rsidRPr="00F71745">
        <w:rPr>
          <w:bCs/>
        </w:rPr>
        <w:t xml:space="preserve"> </w:t>
      </w:r>
      <w:r w:rsidR="00786AF4">
        <w:rPr>
          <w:bCs/>
        </w:rPr>
        <w:t>SF-CQS</w:t>
      </w:r>
      <w:r w:rsidR="00786AF4" w:rsidRPr="00F71745">
        <w:rPr>
          <w:bCs/>
        </w:rPr>
        <w:t xml:space="preserve"> domains:</w:t>
      </w:r>
      <w:r w:rsidR="00786AF4">
        <w:rPr>
          <w:bCs/>
        </w:rPr>
        <w:t xml:space="preserve"> knowledge, skill, and metacognition</w:t>
      </w:r>
      <w:r w:rsidR="00786AF4" w:rsidRPr="00F71745">
        <w:rPr>
          <w:bCs/>
        </w:rPr>
        <w:t xml:space="preserve">. The domain scores were imported into </w:t>
      </w:r>
      <w:r w:rsidR="00786AF4">
        <w:rPr>
          <w:bCs/>
        </w:rPr>
        <w:t>WINKS SDA</w:t>
      </w:r>
      <w:r w:rsidR="00786AF4" w:rsidRPr="00F71745">
        <w:rPr>
          <w:bCs/>
        </w:rPr>
        <w:t xml:space="preserve">. The composite (mean) </w:t>
      </w:r>
      <w:r w:rsidR="00786AF4" w:rsidRPr="00F71745">
        <w:rPr>
          <w:bCs/>
        </w:rPr>
        <w:lastRenderedPageBreak/>
        <w:t xml:space="preserve">scores </w:t>
      </w:r>
      <w:r w:rsidR="00786AF4">
        <w:rPr>
          <w:bCs/>
        </w:rPr>
        <w:t>for the Cultural Intelligence variable were calculated</w:t>
      </w:r>
      <w:r w:rsidR="00786AF4" w:rsidRPr="00F71745">
        <w:rPr>
          <w:bCs/>
        </w:rPr>
        <w:t xml:space="preserve">. Descriptive statistical computations were performed for the </w:t>
      </w:r>
      <w:r w:rsidR="00786AF4">
        <w:rPr>
          <w:bCs/>
        </w:rPr>
        <w:t>SF-CQS</w:t>
      </w:r>
      <w:r w:rsidR="00786AF4" w:rsidRPr="00F71745">
        <w:rPr>
          <w:bCs/>
        </w:rPr>
        <w:t xml:space="preserve"> to include the mean and standard deviation (see Table </w:t>
      </w:r>
      <w:r w:rsidR="00786AF4">
        <w:rPr>
          <w:bCs/>
        </w:rPr>
        <w:t>4</w:t>
      </w:r>
      <w:r w:rsidR="00786AF4" w:rsidRPr="00F71745">
        <w:rPr>
          <w:bCs/>
        </w:rPr>
        <w:t>).</w:t>
      </w:r>
    </w:p>
    <w:p w:rsidR="00786AF4" w:rsidRDefault="00786AF4" w:rsidP="00786AF4">
      <w:pPr>
        <w:pStyle w:val="BodyText"/>
        <w:ind w:firstLine="0"/>
        <w:rPr>
          <w:b/>
          <w:bCs/>
        </w:rPr>
      </w:pPr>
      <w:r>
        <w:rPr>
          <w:b/>
          <w:bCs/>
        </w:rPr>
        <w:t>Table 4</w:t>
      </w:r>
    </w:p>
    <w:tbl>
      <w:tblPr>
        <w:tblW w:w="6100" w:type="dxa"/>
        <w:tblLook w:val="04A0" w:firstRow="1" w:lastRow="0" w:firstColumn="1" w:lastColumn="0" w:noHBand="0" w:noVBand="1"/>
      </w:tblPr>
      <w:tblGrid>
        <w:gridCol w:w="2609"/>
        <w:gridCol w:w="1218"/>
        <w:gridCol w:w="1218"/>
        <w:gridCol w:w="1055"/>
      </w:tblGrid>
      <w:tr w:rsidR="00786AF4" w:rsidTr="00A55339">
        <w:trPr>
          <w:trHeight w:val="320"/>
        </w:trPr>
        <w:tc>
          <w:tcPr>
            <w:tcW w:w="6100" w:type="dxa"/>
            <w:gridSpan w:val="4"/>
            <w:tcBorders>
              <w:top w:val="nil"/>
              <w:left w:val="nil"/>
              <w:bottom w:val="nil"/>
              <w:right w:val="nil"/>
            </w:tcBorders>
            <w:shd w:val="clear" w:color="auto" w:fill="auto"/>
            <w:noWrap/>
            <w:vAlign w:val="bottom"/>
            <w:hideMark/>
          </w:tcPr>
          <w:p w:rsidR="00786AF4" w:rsidRDefault="00786AF4" w:rsidP="00A55339">
            <w:pPr>
              <w:rPr>
                <w:i/>
                <w:iCs/>
                <w:color w:val="000000"/>
              </w:rPr>
            </w:pPr>
            <w:r>
              <w:rPr>
                <w:i/>
                <w:iCs/>
                <w:color w:val="000000"/>
              </w:rPr>
              <w:t>Descriptive Statistics of the SF-CQS and ARBI Composite Scores</w:t>
            </w:r>
          </w:p>
        </w:tc>
      </w:tr>
      <w:tr w:rsidR="00786AF4" w:rsidTr="00A55339">
        <w:trPr>
          <w:trHeight w:val="320"/>
        </w:trPr>
        <w:tc>
          <w:tcPr>
            <w:tcW w:w="2609" w:type="dxa"/>
            <w:tcBorders>
              <w:top w:val="single" w:sz="4" w:space="0" w:color="auto"/>
              <w:left w:val="nil"/>
              <w:bottom w:val="single" w:sz="4" w:space="0" w:color="auto"/>
              <w:right w:val="nil"/>
            </w:tcBorders>
            <w:shd w:val="clear" w:color="auto" w:fill="auto"/>
            <w:noWrap/>
            <w:vAlign w:val="bottom"/>
            <w:hideMark/>
          </w:tcPr>
          <w:p w:rsidR="00786AF4" w:rsidRDefault="00722E21" w:rsidP="00A55339">
            <w:pPr>
              <w:jc w:val="center"/>
              <w:rPr>
                <w:color w:val="000000"/>
              </w:rPr>
            </w:pPr>
            <w:r>
              <w:rPr>
                <w:color w:val="000000"/>
              </w:rPr>
              <w:t>Composite</w:t>
            </w:r>
          </w:p>
        </w:tc>
        <w:tc>
          <w:tcPr>
            <w:tcW w:w="1218" w:type="dxa"/>
            <w:tcBorders>
              <w:top w:val="single" w:sz="4" w:space="0" w:color="auto"/>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M</w:t>
            </w:r>
          </w:p>
        </w:tc>
        <w:tc>
          <w:tcPr>
            <w:tcW w:w="1218" w:type="dxa"/>
            <w:tcBorders>
              <w:top w:val="single" w:sz="4" w:space="0" w:color="auto"/>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SD</w:t>
            </w:r>
          </w:p>
        </w:tc>
        <w:tc>
          <w:tcPr>
            <w:tcW w:w="1055" w:type="dxa"/>
            <w:tcBorders>
              <w:top w:val="single" w:sz="4" w:space="0" w:color="auto"/>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N</w:t>
            </w:r>
          </w:p>
        </w:tc>
      </w:tr>
      <w:tr w:rsidR="00786AF4" w:rsidTr="00A55339">
        <w:trPr>
          <w:trHeight w:val="320"/>
        </w:trPr>
        <w:tc>
          <w:tcPr>
            <w:tcW w:w="2609"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SF-CQS</w:t>
            </w:r>
          </w:p>
        </w:tc>
        <w:tc>
          <w:tcPr>
            <w:tcW w:w="1218"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3.9</w:t>
            </w:r>
          </w:p>
        </w:tc>
        <w:tc>
          <w:tcPr>
            <w:tcW w:w="1218"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0.58</w:t>
            </w:r>
          </w:p>
        </w:tc>
        <w:tc>
          <w:tcPr>
            <w:tcW w:w="1055"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429</w:t>
            </w:r>
          </w:p>
        </w:tc>
      </w:tr>
      <w:tr w:rsidR="00786AF4" w:rsidTr="00A55339">
        <w:trPr>
          <w:trHeight w:val="320"/>
        </w:trPr>
        <w:tc>
          <w:tcPr>
            <w:tcW w:w="2609" w:type="dxa"/>
            <w:tcBorders>
              <w:top w:val="nil"/>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ARBI</w:t>
            </w:r>
          </w:p>
        </w:tc>
        <w:tc>
          <w:tcPr>
            <w:tcW w:w="1218" w:type="dxa"/>
            <w:tcBorders>
              <w:top w:val="nil"/>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3.42</w:t>
            </w:r>
          </w:p>
        </w:tc>
        <w:tc>
          <w:tcPr>
            <w:tcW w:w="1218" w:type="dxa"/>
            <w:tcBorders>
              <w:top w:val="nil"/>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0.61</w:t>
            </w:r>
          </w:p>
        </w:tc>
        <w:tc>
          <w:tcPr>
            <w:tcW w:w="1055" w:type="dxa"/>
            <w:tcBorders>
              <w:top w:val="nil"/>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429</w:t>
            </w:r>
          </w:p>
        </w:tc>
      </w:tr>
    </w:tbl>
    <w:p w:rsidR="00786AF4" w:rsidRDefault="00786AF4" w:rsidP="00786AF4">
      <w:pPr>
        <w:pStyle w:val="BodyText"/>
        <w:ind w:firstLine="0"/>
        <w:rPr>
          <w:bCs/>
        </w:rPr>
      </w:pPr>
    </w:p>
    <w:p w:rsidR="00786AF4" w:rsidRDefault="00786AF4" w:rsidP="00786AF4">
      <w:pPr>
        <w:pStyle w:val="BodyText"/>
        <w:rPr>
          <w:bCs/>
        </w:rPr>
      </w:pPr>
      <w:r w:rsidRPr="00F71745">
        <w:rPr>
          <w:bCs/>
        </w:rPr>
        <w:t xml:space="preserve">Data collected via the </w:t>
      </w:r>
      <w:r>
        <w:rPr>
          <w:bCs/>
        </w:rPr>
        <w:t>ARBI</w:t>
      </w:r>
      <w:r w:rsidRPr="00F71745">
        <w:rPr>
          <w:bCs/>
        </w:rPr>
        <w:t xml:space="preserve"> online survey were utilized to produce an Excel spreadsheet containing scores for each of the </w:t>
      </w:r>
      <w:r>
        <w:rPr>
          <w:bCs/>
        </w:rPr>
        <w:t>three</w:t>
      </w:r>
      <w:r w:rsidRPr="00F71745">
        <w:rPr>
          <w:bCs/>
        </w:rPr>
        <w:t xml:space="preserve"> </w:t>
      </w:r>
      <w:r>
        <w:rPr>
          <w:bCs/>
        </w:rPr>
        <w:t>ARBI</w:t>
      </w:r>
      <w:r w:rsidRPr="00F71745">
        <w:rPr>
          <w:bCs/>
        </w:rPr>
        <w:t xml:space="preserve"> domains: </w:t>
      </w:r>
      <w:r>
        <w:rPr>
          <w:bCs/>
        </w:rPr>
        <w:t xml:space="preserve">awareness of racism, individual advocacy, and institutional advocacy. </w:t>
      </w:r>
      <w:r w:rsidRPr="00F71745">
        <w:rPr>
          <w:bCs/>
        </w:rPr>
        <w:t xml:space="preserve">Descriptive statistics were computed for the </w:t>
      </w:r>
      <w:r>
        <w:rPr>
          <w:bCs/>
        </w:rPr>
        <w:t>ARBI</w:t>
      </w:r>
      <w:r w:rsidRPr="00F71745">
        <w:rPr>
          <w:bCs/>
        </w:rPr>
        <w:t xml:space="preserve"> to include the mean and standard deviation (see Table </w:t>
      </w:r>
      <w:r>
        <w:rPr>
          <w:bCs/>
        </w:rPr>
        <w:t>4</w:t>
      </w:r>
      <w:r w:rsidRPr="00F71745">
        <w:rPr>
          <w:bCs/>
        </w:rPr>
        <w:t>).</w:t>
      </w:r>
      <w:r w:rsidR="00DD26F5">
        <w:rPr>
          <w:bCs/>
        </w:rPr>
        <w:t xml:space="preserve"> The composite (mean) scores were calculated for the anti-racism response variable.</w:t>
      </w:r>
    </w:p>
    <w:p w:rsidR="00786AF4" w:rsidRPr="00A67DCD" w:rsidRDefault="00786AF4" w:rsidP="00786AF4">
      <w:pPr>
        <w:pStyle w:val="BodyText"/>
        <w:ind w:firstLine="0"/>
        <w:rPr>
          <w:b/>
          <w:bCs/>
        </w:rPr>
      </w:pPr>
      <w:r w:rsidRPr="00A67DCD">
        <w:rPr>
          <w:b/>
          <w:bCs/>
        </w:rPr>
        <w:t>Analysis Process</w:t>
      </w:r>
    </w:p>
    <w:p w:rsidR="00786AF4" w:rsidRPr="005F4668" w:rsidRDefault="00786AF4" w:rsidP="00786AF4">
      <w:pPr>
        <w:pStyle w:val="BodyText"/>
      </w:pPr>
      <w:r>
        <w:t xml:space="preserve">An </w:t>
      </w:r>
      <w:r w:rsidRPr="005F4668">
        <w:t xml:space="preserve">Excel spreadsheet containing scores for the </w:t>
      </w:r>
      <w:r>
        <w:t>three SF-CQS</w:t>
      </w:r>
      <w:r w:rsidRPr="005F4668">
        <w:t xml:space="preserve"> and </w:t>
      </w:r>
      <w:r>
        <w:t>three ARBI</w:t>
      </w:r>
      <w:r w:rsidRPr="005F4668">
        <w:t xml:space="preserve"> domains</w:t>
      </w:r>
      <w:r>
        <w:t xml:space="preserve"> </w:t>
      </w:r>
      <w:r w:rsidR="00DD26F5">
        <w:t>was</w:t>
      </w:r>
      <w:r>
        <w:t xml:space="preserve"> imported into WINKS SDA</w:t>
      </w:r>
      <w:r w:rsidRPr="005F4668">
        <w:t xml:space="preserve">. The composite (mean) scores were computed for the </w:t>
      </w:r>
      <w:r>
        <w:t>Cultural Intelligence</w:t>
      </w:r>
      <w:r w:rsidRPr="005F4668">
        <w:t xml:space="preserve"> </w:t>
      </w:r>
      <w:r w:rsidR="00DD26F5">
        <w:t>and anti-racism behavior variables</w:t>
      </w:r>
      <w:r>
        <w:t xml:space="preserve"> </w:t>
      </w:r>
      <w:r w:rsidRPr="005F4668">
        <w:t xml:space="preserve">via </w:t>
      </w:r>
      <w:r>
        <w:t>WINKS SDA</w:t>
      </w:r>
      <w:r w:rsidRPr="005F4668">
        <w:t xml:space="preserve">. Descriptive statistics and correlational analyses were conducted to find </w:t>
      </w:r>
      <w:r w:rsidR="000136DF">
        <w:t>Spearman’s</w:t>
      </w:r>
      <w:r w:rsidRPr="005F4668">
        <w:t xml:space="preserve"> </w:t>
      </w:r>
      <w:r w:rsidRPr="005F4668">
        <w:rPr>
          <w:i/>
          <w:iCs/>
        </w:rPr>
        <w:t xml:space="preserve">r </w:t>
      </w:r>
      <w:proofErr w:type="gramStart"/>
      <w:r w:rsidRPr="005F4668">
        <w:t>through the use of</w:t>
      </w:r>
      <w:proofErr w:type="gramEnd"/>
      <w:r w:rsidRPr="005F4668">
        <w:t xml:space="preserve"> </w:t>
      </w:r>
      <w:r>
        <w:t>WINKS SDA</w:t>
      </w:r>
      <w:r w:rsidRPr="005F4668">
        <w:t xml:space="preserve"> for the </w:t>
      </w:r>
      <w:r>
        <w:t>SF-CQS</w:t>
      </w:r>
      <w:r w:rsidRPr="005F4668">
        <w:t xml:space="preserve"> and </w:t>
      </w:r>
      <w:r>
        <w:t>ARBI</w:t>
      </w:r>
      <w:r w:rsidRPr="005F4668">
        <w:t xml:space="preserve">. </w:t>
      </w:r>
      <w:r w:rsidR="000136DF">
        <w:t>Spearman’s</w:t>
      </w:r>
      <w:r w:rsidRPr="005F4668">
        <w:t xml:space="preserve"> </w:t>
      </w:r>
      <w:r w:rsidRPr="005F4668">
        <w:rPr>
          <w:i/>
          <w:iCs/>
        </w:rPr>
        <w:t xml:space="preserve">r </w:t>
      </w:r>
      <w:r w:rsidRPr="005F4668">
        <w:t xml:space="preserve">correlation analyses </w:t>
      </w:r>
      <w:r w:rsidR="00216A47">
        <w:t>significance test</w:t>
      </w:r>
      <w:r w:rsidRPr="005F4668">
        <w:t xml:space="preserve"> </w:t>
      </w:r>
      <w:r w:rsidR="00DD26F5">
        <w:t>was</w:t>
      </w:r>
      <w:r w:rsidRPr="005F4668">
        <w:t xml:space="preserve"> conducted</w:t>
      </w:r>
      <w:r w:rsidR="00DD26F5">
        <w:t xml:space="preserve"> to address the hypotheses</w:t>
      </w:r>
      <w:r w:rsidRPr="005F4668">
        <w:t xml:space="preserve">. The variables used for analysis were </w:t>
      </w:r>
      <w:r w:rsidR="000136DF">
        <w:t>participants’</w:t>
      </w:r>
      <w:r w:rsidRPr="005F4668">
        <w:t xml:space="preserve"> </w:t>
      </w:r>
      <w:r>
        <w:t>SF-CQS</w:t>
      </w:r>
      <w:r w:rsidRPr="005F4668">
        <w:t xml:space="preserve"> composite scores and </w:t>
      </w:r>
      <w:r>
        <w:t>ARBI</w:t>
      </w:r>
      <w:r w:rsidRPr="005F4668">
        <w:t xml:space="preserve"> composite scores. </w:t>
      </w:r>
    </w:p>
    <w:p w:rsidR="00786AF4" w:rsidRDefault="00786AF4" w:rsidP="00786AF4">
      <w:pPr>
        <w:pStyle w:val="BodyText"/>
      </w:pPr>
      <w:r w:rsidRPr="005F4668">
        <w:t xml:space="preserve">The analyses showed the degree of correlation between </w:t>
      </w:r>
      <w:r w:rsidR="000136DF">
        <w:t>participants’</w:t>
      </w:r>
      <w:r w:rsidRPr="005F4668">
        <w:t xml:space="preserve"> </w:t>
      </w:r>
      <w:r w:rsidR="00DD26F5">
        <w:t>Cultural</w:t>
      </w:r>
      <w:r>
        <w:t xml:space="preserve"> Intelligence</w:t>
      </w:r>
      <w:r w:rsidRPr="005F4668">
        <w:t xml:space="preserve"> and th</w:t>
      </w:r>
      <w:r>
        <w:t>eir anti-racism behaviors</w:t>
      </w:r>
      <w:r w:rsidRPr="005F4668">
        <w:t xml:space="preserve">. Table </w:t>
      </w:r>
      <w:r>
        <w:t>5</w:t>
      </w:r>
      <w:r w:rsidRPr="005F4668">
        <w:t xml:space="preserve"> summarizes the correlational analyses of </w:t>
      </w:r>
      <w:r>
        <w:t>SF-CQS</w:t>
      </w:r>
      <w:r w:rsidRPr="005F4668">
        <w:t xml:space="preserve"> and </w:t>
      </w:r>
      <w:r>
        <w:t>ARBI</w:t>
      </w:r>
      <w:r w:rsidRPr="005F4668">
        <w:t xml:space="preserve"> domains. Table </w:t>
      </w:r>
      <w:r>
        <w:t>6</w:t>
      </w:r>
      <w:r w:rsidRPr="005F4668">
        <w:t xml:space="preserve"> summarizes the correlational analyses of the </w:t>
      </w:r>
      <w:r>
        <w:t>SF-CQS</w:t>
      </w:r>
      <w:r w:rsidRPr="005F4668">
        <w:t xml:space="preserve"> and </w:t>
      </w:r>
      <w:r>
        <w:t>ARBI</w:t>
      </w:r>
      <w:r w:rsidRPr="005F4668">
        <w:t xml:space="preserve"> composite scores.</w:t>
      </w:r>
    </w:p>
    <w:p w:rsidR="00786AF4" w:rsidRDefault="00786AF4" w:rsidP="00786AF4">
      <w:pPr>
        <w:pStyle w:val="BodyText"/>
        <w:ind w:firstLine="0"/>
        <w:rPr>
          <w:b/>
          <w:bCs/>
        </w:rPr>
      </w:pPr>
      <w:r>
        <w:rPr>
          <w:b/>
          <w:bCs/>
        </w:rPr>
        <w:lastRenderedPageBreak/>
        <w:t>Table 5</w:t>
      </w:r>
    </w:p>
    <w:tbl>
      <w:tblPr>
        <w:tblW w:w="8660" w:type="dxa"/>
        <w:tblLook w:val="04A0" w:firstRow="1" w:lastRow="0" w:firstColumn="1" w:lastColumn="0" w:noHBand="0" w:noVBand="1"/>
      </w:tblPr>
      <w:tblGrid>
        <w:gridCol w:w="1616"/>
        <w:gridCol w:w="2420"/>
        <w:gridCol w:w="1012"/>
        <w:gridCol w:w="1269"/>
        <w:gridCol w:w="1228"/>
        <w:gridCol w:w="1376"/>
      </w:tblGrid>
      <w:tr w:rsidR="00786AF4" w:rsidTr="00A55339">
        <w:trPr>
          <w:trHeight w:val="320"/>
        </w:trPr>
        <w:tc>
          <w:tcPr>
            <w:tcW w:w="8660" w:type="dxa"/>
            <w:gridSpan w:val="6"/>
            <w:tcBorders>
              <w:top w:val="nil"/>
              <w:left w:val="nil"/>
              <w:bottom w:val="nil"/>
              <w:right w:val="nil"/>
            </w:tcBorders>
            <w:shd w:val="clear" w:color="auto" w:fill="auto"/>
            <w:noWrap/>
            <w:vAlign w:val="bottom"/>
            <w:hideMark/>
          </w:tcPr>
          <w:p w:rsidR="00786AF4" w:rsidRDefault="00786AF4" w:rsidP="00A55339">
            <w:pPr>
              <w:rPr>
                <w:i/>
                <w:iCs/>
                <w:color w:val="000000"/>
              </w:rPr>
            </w:pPr>
            <w:r>
              <w:rPr>
                <w:i/>
                <w:iCs/>
                <w:color w:val="000000"/>
              </w:rPr>
              <w:t xml:space="preserve">Correlations Between </w:t>
            </w:r>
            <w:r w:rsidR="000136DF">
              <w:rPr>
                <w:i/>
                <w:iCs/>
                <w:color w:val="000000"/>
              </w:rPr>
              <w:t>Participants’</w:t>
            </w:r>
            <w:r>
              <w:rPr>
                <w:i/>
                <w:iCs/>
                <w:color w:val="000000"/>
              </w:rPr>
              <w:t xml:space="preserve"> Three Domains of SF-CQS and ARBI Scores </w:t>
            </w:r>
          </w:p>
        </w:tc>
      </w:tr>
      <w:tr w:rsidR="00786AF4" w:rsidTr="00A55339">
        <w:trPr>
          <w:trHeight w:val="660"/>
        </w:trPr>
        <w:tc>
          <w:tcPr>
            <w:tcW w:w="1547" w:type="dxa"/>
            <w:tcBorders>
              <w:top w:val="single" w:sz="4" w:space="0" w:color="auto"/>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Domain</w:t>
            </w:r>
          </w:p>
        </w:tc>
        <w:tc>
          <w:tcPr>
            <w:tcW w:w="2420" w:type="dxa"/>
            <w:tcBorders>
              <w:top w:val="single" w:sz="4" w:space="0" w:color="auto"/>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 </w:t>
            </w:r>
          </w:p>
        </w:tc>
        <w:tc>
          <w:tcPr>
            <w:tcW w:w="894" w:type="dxa"/>
            <w:tcBorders>
              <w:top w:val="single" w:sz="4" w:space="0" w:color="auto"/>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ARBI</w:t>
            </w:r>
          </w:p>
        </w:tc>
        <w:tc>
          <w:tcPr>
            <w:tcW w:w="1246" w:type="dxa"/>
            <w:tcBorders>
              <w:top w:val="single" w:sz="4" w:space="0" w:color="auto"/>
              <w:left w:val="nil"/>
              <w:bottom w:val="single" w:sz="4" w:space="0" w:color="auto"/>
              <w:right w:val="nil"/>
            </w:tcBorders>
            <w:shd w:val="clear" w:color="auto" w:fill="auto"/>
            <w:vAlign w:val="bottom"/>
            <w:hideMark/>
          </w:tcPr>
          <w:p w:rsidR="00786AF4" w:rsidRDefault="00786AF4" w:rsidP="00A55339">
            <w:pPr>
              <w:jc w:val="center"/>
              <w:rPr>
                <w:color w:val="000000"/>
              </w:rPr>
            </w:pPr>
            <w:r>
              <w:rPr>
                <w:color w:val="000000"/>
              </w:rPr>
              <w:t>Awareness of Racism</w:t>
            </w:r>
          </w:p>
        </w:tc>
        <w:tc>
          <w:tcPr>
            <w:tcW w:w="1228" w:type="dxa"/>
            <w:tcBorders>
              <w:top w:val="single" w:sz="4" w:space="0" w:color="auto"/>
              <w:left w:val="nil"/>
              <w:bottom w:val="single" w:sz="4" w:space="0" w:color="auto"/>
              <w:right w:val="nil"/>
            </w:tcBorders>
            <w:shd w:val="clear" w:color="auto" w:fill="auto"/>
            <w:vAlign w:val="bottom"/>
            <w:hideMark/>
          </w:tcPr>
          <w:p w:rsidR="00786AF4" w:rsidRDefault="00786AF4" w:rsidP="00A55339">
            <w:pPr>
              <w:jc w:val="center"/>
              <w:rPr>
                <w:color w:val="000000"/>
              </w:rPr>
            </w:pPr>
            <w:r>
              <w:rPr>
                <w:color w:val="000000"/>
              </w:rPr>
              <w:t xml:space="preserve">Individual </w:t>
            </w:r>
            <w:r w:rsidR="00DD26F5">
              <w:rPr>
                <w:color w:val="000000"/>
              </w:rPr>
              <w:t>Advocacy</w:t>
            </w:r>
          </w:p>
        </w:tc>
        <w:tc>
          <w:tcPr>
            <w:tcW w:w="1325" w:type="dxa"/>
            <w:tcBorders>
              <w:top w:val="single" w:sz="4" w:space="0" w:color="auto"/>
              <w:left w:val="nil"/>
              <w:bottom w:val="single" w:sz="4" w:space="0" w:color="auto"/>
              <w:right w:val="nil"/>
            </w:tcBorders>
            <w:shd w:val="clear" w:color="auto" w:fill="auto"/>
            <w:vAlign w:val="bottom"/>
            <w:hideMark/>
          </w:tcPr>
          <w:p w:rsidR="00786AF4" w:rsidRDefault="00786AF4" w:rsidP="00A55339">
            <w:pPr>
              <w:jc w:val="center"/>
              <w:rPr>
                <w:color w:val="000000"/>
              </w:rPr>
            </w:pPr>
            <w:r>
              <w:rPr>
                <w:color w:val="000000"/>
              </w:rPr>
              <w:t>Institutional Advocacy</w:t>
            </w:r>
          </w:p>
        </w:tc>
      </w:tr>
      <w:tr w:rsidR="00786AF4" w:rsidTr="00A55339">
        <w:trPr>
          <w:trHeight w:val="320"/>
        </w:trPr>
        <w:tc>
          <w:tcPr>
            <w:tcW w:w="1547"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SF-CQS</w:t>
            </w:r>
          </w:p>
        </w:tc>
        <w:tc>
          <w:tcPr>
            <w:tcW w:w="2420" w:type="dxa"/>
            <w:tcBorders>
              <w:top w:val="nil"/>
              <w:left w:val="nil"/>
              <w:bottom w:val="nil"/>
              <w:right w:val="nil"/>
            </w:tcBorders>
            <w:shd w:val="clear" w:color="auto" w:fill="auto"/>
            <w:noWrap/>
            <w:vAlign w:val="bottom"/>
            <w:hideMark/>
          </w:tcPr>
          <w:p w:rsidR="00786AF4" w:rsidRDefault="000136DF" w:rsidP="00A55339">
            <w:pPr>
              <w:jc w:val="center"/>
              <w:rPr>
                <w:color w:val="000000"/>
              </w:rPr>
            </w:pPr>
            <w:r>
              <w:rPr>
                <w:color w:val="000000"/>
              </w:rPr>
              <w:t>Spearman’s</w:t>
            </w:r>
            <w:r w:rsidR="00786AF4">
              <w:rPr>
                <w:color w:val="000000"/>
              </w:rPr>
              <w:t xml:space="preserve"> Correlation</w:t>
            </w:r>
          </w:p>
        </w:tc>
        <w:tc>
          <w:tcPr>
            <w:tcW w:w="894"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0.375</w:t>
            </w:r>
          </w:p>
        </w:tc>
        <w:tc>
          <w:tcPr>
            <w:tcW w:w="1246" w:type="dxa"/>
            <w:tcBorders>
              <w:top w:val="nil"/>
              <w:left w:val="nil"/>
              <w:bottom w:val="nil"/>
              <w:right w:val="nil"/>
            </w:tcBorders>
            <w:shd w:val="clear" w:color="auto" w:fill="auto"/>
            <w:vAlign w:val="bottom"/>
            <w:hideMark/>
          </w:tcPr>
          <w:p w:rsidR="00786AF4" w:rsidRDefault="00786AF4" w:rsidP="00A55339">
            <w:pPr>
              <w:jc w:val="center"/>
              <w:rPr>
                <w:color w:val="000000"/>
              </w:rPr>
            </w:pPr>
            <w:r>
              <w:rPr>
                <w:color w:val="000000"/>
              </w:rPr>
              <w:t>0.206</w:t>
            </w:r>
          </w:p>
        </w:tc>
        <w:tc>
          <w:tcPr>
            <w:tcW w:w="1228" w:type="dxa"/>
            <w:tcBorders>
              <w:top w:val="nil"/>
              <w:left w:val="nil"/>
              <w:bottom w:val="nil"/>
              <w:right w:val="nil"/>
            </w:tcBorders>
            <w:shd w:val="clear" w:color="auto" w:fill="auto"/>
            <w:vAlign w:val="bottom"/>
            <w:hideMark/>
          </w:tcPr>
          <w:p w:rsidR="00786AF4" w:rsidRDefault="00786AF4" w:rsidP="00A55339">
            <w:pPr>
              <w:jc w:val="center"/>
              <w:rPr>
                <w:color w:val="000000"/>
              </w:rPr>
            </w:pPr>
            <w:r>
              <w:rPr>
                <w:color w:val="000000"/>
              </w:rPr>
              <w:t>0.485</w:t>
            </w:r>
          </w:p>
        </w:tc>
        <w:tc>
          <w:tcPr>
            <w:tcW w:w="1325" w:type="dxa"/>
            <w:tcBorders>
              <w:top w:val="nil"/>
              <w:left w:val="nil"/>
              <w:bottom w:val="nil"/>
              <w:right w:val="nil"/>
            </w:tcBorders>
            <w:shd w:val="clear" w:color="auto" w:fill="auto"/>
            <w:vAlign w:val="bottom"/>
            <w:hideMark/>
          </w:tcPr>
          <w:p w:rsidR="00786AF4" w:rsidRDefault="00786AF4" w:rsidP="00A55339">
            <w:pPr>
              <w:jc w:val="center"/>
              <w:rPr>
                <w:color w:val="000000"/>
              </w:rPr>
            </w:pPr>
            <w:r>
              <w:rPr>
                <w:color w:val="000000"/>
              </w:rPr>
              <w:t>0.24</w:t>
            </w:r>
          </w:p>
        </w:tc>
      </w:tr>
      <w:tr w:rsidR="00786AF4" w:rsidTr="00A55339">
        <w:trPr>
          <w:trHeight w:val="340"/>
        </w:trPr>
        <w:tc>
          <w:tcPr>
            <w:tcW w:w="1547" w:type="dxa"/>
            <w:tcBorders>
              <w:top w:val="nil"/>
              <w:left w:val="nil"/>
              <w:bottom w:val="nil"/>
              <w:right w:val="nil"/>
            </w:tcBorders>
            <w:shd w:val="clear" w:color="auto" w:fill="auto"/>
            <w:noWrap/>
            <w:vAlign w:val="bottom"/>
            <w:hideMark/>
          </w:tcPr>
          <w:p w:rsidR="00786AF4" w:rsidRDefault="00786AF4" w:rsidP="00A55339">
            <w:pPr>
              <w:jc w:val="center"/>
              <w:rPr>
                <w:color w:val="000000"/>
              </w:rPr>
            </w:pPr>
          </w:p>
        </w:tc>
        <w:tc>
          <w:tcPr>
            <w:tcW w:w="2420"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Sig.</w:t>
            </w:r>
          </w:p>
        </w:tc>
        <w:tc>
          <w:tcPr>
            <w:tcW w:w="894"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p&lt;0.001</w:t>
            </w:r>
          </w:p>
        </w:tc>
        <w:tc>
          <w:tcPr>
            <w:tcW w:w="1246" w:type="dxa"/>
            <w:tcBorders>
              <w:top w:val="nil"/>
              <w:left w:val="nil"/>
              <w:bottom w:val="nil"/>
              <w:right w:val="nil"/>
            </w:tcBorders>
            <w:shd w:val="clear" w:color="auto" w:fill="auto"/>
            <w:vAlign w:val="bottom"/>
            <w:hideMark/>
          </w:tcPr>
          <w:p w:rsidR="00786AF4" w:rsidRDefault="00786AF4" w:rsidP="00A55339">
            <w:pPr>
              <w:jc w:val="center"/>
              <w:rPr>
                <w:color w:val="000000"/>
              </w:rPr>
            </w:pPr>
            <w:r>
              <w:rPr>
                <w:color w:val="000000"/>
              </w:rPr>
              <w:t>p&lt;0.001</w:t>
            </w:r>
          </w:p>
        </w:tc>
        <w:tc>
          <w:tcPr>
            <w:tcW w:w="1228" w:type="dxa"/>
            <w:tcBorders>
              <w:top w:val="nil"/>
              <w:left w:val="nil"/>
              <w:bottom w:val="nil"/>
              <w:right w:val="nil"/>
            </w:tcBorders>
            <w:shd w:val="clear" w:color="auto" w:fill="auto"/>
            <w:vAlign w:val="bottom"/>
            <w:hideMark/>
          </w:tcPr>
          <w:p w:rsidR="00786AF4" w:rsidRDefault="00786AF4" w:rsidP="00A55339">
            <w:pPr>
              <w:jc w:val="center"/>
              <w:rPr>
                <w:color w:val="000000"/>
              </w:rPr>
            </w:pPr>
            <w:r>
              <w:rPr>
                <w:color w:val="000000"/>
              </w:rPr>
              <w:t>p&lt;0.001</w:t>
            </w:r>
          </w:p>
        </w:tc>
        <w:tc>
          <w:tcPr>
            <w:tcW w:w="1325" w:type="dxa"/>
            <w:tcBorders>
              <w:top w:val="nil"/>
              <w:left w:val="nil"/>
              <w:bottom w:val="nil"/>
              <w:right w:val="nil"/>
            </w:tcBorders>
            <w:shd w:val="clear" w:color="auto" w:fill="auto"/>
            <w:vAlign w:val="bottom"/>
            <w:hideMark/>
          </w:tcPr>
          <w:p w:rsidR="00786AF4" w:rsidRDefault="00786AF4" w:rsidP="00A55339">
            <w:pPr>
              <w:jc w:val="center"/>
              <w:rPr>
                <w:color w:val="000000"/>
              </w:rPr>
            </w:pPr>
            <w:r>
              <w:rPr>
                <w:color w:val="000000"/>
              </w:rPr>
              <w:t>p&lt;0.001</w:t>
            </w:r>
          </w:p>
        </w:tc>
      </w:tr>
      <w:tr w:rsidR="00786AF4" w:rsidTr="00A55339">
        <w:trPr>
          <w:trHeight w:val="320"/>
        </w:trPr>
        <w:tc>
          <w:tcPr>
            <w:tcW w:w="1547" w:type="dxa"/>
            <w:tcBorders>
              <w:top w:val="nil"/>
              <w:left w:val="nil"/>
              <w:bottom w:val="nil"/>
              <w:right w:val="nil"/>
            </w:tcBorders>
            <w:shd w:val="clear" w:color="auto" w:fill="auto"/>
            <w:noWrap/>
            <w:vAlign w:val="bottom"/>
            <w:hideMark/>
          </w:tcPr>
          <w:p w:rsidR="00786AF4" w:rsidRDefault="00786AF4" w:rsidP="00A55339">
            <w:pPr>
              <w:jc w:val="center"/>
              <w:rPr>
                <w:color w:val="000000"/>
              </w:rPr>
            </w:pPr>
          </w:p>
        </w:tc>
        <w:tc>
          <w:tcPr>
            <w:tcW w:w="2420"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N</w:t>
            </w:r>
          </w:p>
        </w:tc>
        <w:tc>
          <w:tcPr>
            <w:tcW w:w="894"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429</w:t>
            </w:r>
          </w:p>
        </w:tc>
        <w:tc>
          <w:tcPr>
            <w:tcW w:w="1246" w:type="dxa"/>
            <w:tcBorders>
              <w:top w:val="nil"/>
              <w:left w:val="nil"/>
              <w:bottom w:val="nil"/>
              <w:right w:val="nil"/>
            </w:tcBorders>
            <w:shd w:val="clear" w:color="auto" w:fill="auto"/>
            <w:vAlign w:val="bottom"/>
            <w:hideMark/>
          </w:tcPr>
          <w:p w:rsidR="00786AF4" w:rsidRDefault="00786AF4" w:rsidP="00A55339">
            <w:pPr>
              <w:jc w:val="center"/>
              <w:rPr>
                <w:color w:val="000000"/>
              </w:rPr>
            </w:pPr>
            <w:r>
              <w:rPr>
                <w:color w:val="000000"/>
              </w:rPr>
              <w:t>429</w:t>
            </w:r>
          </w:p>
        </w:tc>
        <w:tc>
          <w:tcPr>
            <w:tcW w:w="1228" w:type="dxa"/>
            <w:tcBorders>
              <w:top w:val="nil"/>
              <w:left w:val="nil"/>
              <w:bottom w:val="nil"/>
              <w:right w:val="nil"/>
            </w:tcBorders>
            <w:shd w:val="clear" w:color="auto" w:fill="auto"/>
            <w:vAlign w:val="bottom"/>
            <w:hideMark/>
          </w:tcPr>
          <w:p w:rsidR="00786AF4" w:rsidRDefault="00786AF4" w:rsidP="00A55339">
            <w:pPr>
              <w:jc w:val="center"/>
              <w:rPr>
                <w:color w:val="000000"/>
              </w:rPr>
            </w:pPr>
            <w:r>
              <w:rPr>
                <w:color w:val="000000"/>
              </w:rPr>
              <w:t>429</w:t>
            </w:r>
          </w:p>
        </w:tc>
        <w:tc>
          <w:tcPr>
            <w:tcW w:w="1325" w:type="dxa"/>
            <w:tcBorders>
              <w:top w:val="nil"/>
              <w:left w:val="nil"/>
              <w:bottom w:val="nil"/>
              <w:right w:val="nil"/>
            </w:tcBorders>
            <w:shd w:val="clear" w:color="auto" w:fill="auto"/>
            <w:vAlign w:val="bottom"/>
            <w:hideMark/>
          </w:tcPr>
          <w:p w:rsidR="00786AF4" w:rsidRDefault="00786AF4" w:rsidP="00A55339">
            <w:pPr>
              <w:jc w:val="center"/>
              <w:rPr>
                <w:color w:val="000000"/>
              </w:rPr>
            </w:pPr>
            <w:r>
              <w:rPr>
                <w:color w:val="000000"/>
              </w:rPr>
              <w:t>429</w:t>
            </w:r>
          </w:p>
        </w:tc>
      </w:tr>
      <w:tr w:rsidR="00786AF4" w:rsidTr="00A55339">
        <w:trPr>
          <w:trHeight w:val="320"/>
        </w:trPr>
        <w:tc>
          <w:tcPr>
            <w:tcW w:w="1547"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Knowledge</w:t>
            </w:r>
          </w:p>
        </w:tc>
        <w:tc>
          <w:tcPr>
            <w:tcW w:w="2420" w:type="dxa"/>
            <w:tcBorders>
              <w:top w:val="nil"/>
              <w:left w:val="nil"/>
              <w:bottom w:val="nil"/>
              <w:right w:val="nil"/>
            </w:tcBorders>
            <w:shd w:val="clear" w:color="auto" w:fill="auto"/>
            <w:noWrap/>
            <w:vAlign w:val="bottom"/>
            <w:hideMark/>
          </w:tcPr>
          <w:p w:rsidR="00786AF4" w:rsidRDefault="000136DF" w:rsidP="00A55339">
            <w:pPr>
              <w:jc w:val="center"/>
              <w:rPr>
                <w:color w:val="000000"/>
              </w:rPr>
            </w:pPr>
            <w:r>
              <w:rPr>
                <w:color w:val="000000"/>
              </w:rPr>
              <w:t>Spearman’s</w:t>
            </w:r>
            <w:r w:rsidR="00786AF4">
              <w:rPr>
                <w:color w:val="000000"/>
              </w:rPr>
              <w:t xml:space="preserve"> Correlation</w:t>
            </w:r>
          </w:p>
        </w:tc>
        <w:tc>
          <w:tcPr>
            <w:tcW w:w="894"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0.215</w:t>
            </w:r>
          </w:p>
        </w:tc>
        <w:tc>
          <w:tcPr>
            <w:tcW w:w="1246"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0.111</w:t>
            </w:r>
          </w:p>
        </w:tc>
        <w:tc>
          <w:tcPr>
            <w:tcW w:w="1228"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0.318</w:t>
            </w:r>
          </w:p>
        </w:tc>
        <w:tc>
          <w:tcPr>
            <w:tcW w:w="1325"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0.091</w:t>
            </w:r>
          </w:p>
        </w:tc>
      </w:tr>
      <w:tr w:rsidR="00786AF4" w:rsidTr="00A55339">
        <w:trPr>
          <w:trHeight w:val="320"/>
        </w:trPr>
        <w:tc>
          <w:tcPr>
            <w:tcW w:w="1547" w:type="dxa"/>
            <w:tcBorders>
              <w:top w:val="nil"/>
              <w:left w:val="nil"/>
              <w:bottom w:val="nil"/>
              <w:right w:val="nil"/>
            </w:tcBorders>
            <w:shd w:val="clear" w:color="auto" w:fill="auto"/>
            <w:noWrap/>
            <w:vAlign w:val="bottom"/>
            <w:hideMark/>
          </w:tcPr>
          <w:p w:rsidR="00786AF4" w:rsidRDefault="00786AF4" w:rsidP="00A55339">
            <w:pPr>
              <w:jc w:val="center"/>
              <w:rPr>
                <w:color w:val="000000"/>
              </w:rPr>
            </w:pPr>
          </w:p>
        </w:tc>
        <w:tc>
          <w:tcPr>
            <w:tcW w:w="2420"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Sig.</w:t>
            </w:r>
          </w:p>
        </w:tc>
        <w:tc>
          <w:tcPr>
            <w:tcW w:w="894"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p&lt;0.001</w:t>
            </w:r>
          </w:p>
        </w:tc>
        <w:tc>
          <w:tcPr>
            <w:tcW w:w="1246"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p=0.021</w:t>
            </w:r>
          </w:p>
        </w:tc>
        <w:tc>
          <w:tcPr>
            <w:tcW w:w="1228"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p&lt;0.001</w:t>
            </w:r>
          </w:p>
        </w:tc>
        <w:tc>
          <w:tcPr>
            <w:tcW w:w="1325"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p=0.058</w:t>
            </w:r>
          </w:p>
        </w:tc>
      </w:tr>
      <w:tr w:rsidR="00786AF4" w:rsidTr="00A55339">
        <w:trPr>
          <w:trHeight w:val="320"/>
        </w:trPr>
        <w:tc>
          <w:tcPr>
            <w:tcW w:w="1547" w:type="dxa"/>
            <w:tcBorders>
              <w:top w:val="nil"/>
              <w:left w:val="nil"/>
              <w:bottom w:val="nil"/>
              <w:right w:val="nil"/>
            </w:tcBorders>
            <w:shd w:val="clear" w:color="auto" w:fill="auto"/>
            <w:noWrap/>
            <w:vAlign w:val="bottom"/>
            <w:hideMark/>
          </w:tcPr>
          <w:p w:rsidR="00786AF4" w:rsidRDefault="00786AF4" w:rsidP="00A55339">
            <w:pPr>
              <w:jc w:val="center"/>
              <w:rPr>
                <w:color w:val="000000"/>
              </w:rPr>
            </w:pPr>
          </w:p>
        </w:tc>
        <w:tc>
          <w:tcPr>
            <w:tcW w:w="2420"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N</w:t>
            </w:r>
          </w:p>
        </w:tc>
        <w:tc>
          <w:tcPr>
            <w:tcW w:w="894"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429</w:t>
            </w:r>
          </w:p>
        </w:tc>
        <w:tc>
          <w:tcPr>
            <w:tcW w:w="1246"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429</w:t>
            </w:r>
          </w:p>
        </w:tc>
        <w:tc>
          <w:tcPr>
            <w:tcW w:w="1228"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429</w:t>
            </w:r>
          </w:p>
        </w:tc>
        <w:tc>
          <w:tcPr>
            <w:tcW w:w="1325"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429</w:t>
            </w:r>
          </w:p>
        </w:tc>
      </w:tr>
      <w:tr w:rsidR="00786AF4" w:rsidTr="00A55339">
        <w:trPr>
          <w:trHeight w:val="320"/>
        </w:trPr>
        <w:tc>
          <w:tcPr>
            <w:tcW w:w="1547"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Skill</w:t>
            </w:r>
          </w:p>
        </w:tc>
        <w:tc>
          <w:tcPr>
            <w:tcW w:w="2420" w:type="dxa"/>
            <w:tcBorders>
              <w:top w:val="nil"/>
              <w:left w:val="nil"/>
              <w:bottom w:val="nil"/>
              <w:right w:val="nil"/>
            </w:tcBorders>
            <w:shd w:val="clear" w:color="auto" w:fill="auto"/>
            <w:noWrap/>
            <w:vAlign w:val="bottom"/>
            <w:hideMark/>
          </w:tcPr>
          <w:p w:rsidR="00786AF4" w:rsidRDefault="000136DF" w:rsidP="00A55339">
            <w:pPr>
              <w:jc w:val="center"/>
              <w:rPr>
                <w:color w:val="000000"/>
              </w:rPr>
            </w:pPr>
            <w:r>
              <w:rPr>
                <w:color w:val="000000"/>
              </w:rPr>
              <w:t>Spearman’s</w:t>
            </w:r>
            <w:r w:rsidR="00786AF4">
              <w:rPr>
                <w:color w:val="000000"/>
              </w:rPr>
              <w:t xml:space="preserve"> Correlation</w:t>
            </w:r>
          </w:p>
        </w:tc>
        <w:tc>
          <w:tcPr>
            <w:tcW w:w="894"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0.277</w:t>
            </w:r>
          </w:p>
        </w:tc>
        <w:tc>
          <w:tcPr>
            <w:tcW w:w="1246"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0.156</w:t>
            </w:r>
          </w:p>
        </w:tc>
        <w:tc>
          <w:tcPr>
            <w:tcW w:w="1228"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0.363</w:t>
            </w:r>
          </w:p>
        </w:tc>
        <w:tc>
          <w:tcPr>
            <w:tcW w:w="1325"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0.175</w:t>
            </w:r>
          </w:p>
        </w:tc>
      </w:tr>
      <w:tr w:rsidR="00786AF4" w:rsidTr="00A55339">
        <w:trPr>
          <w:trHeight w:val="320"/>
        </w:trPr>
        <w:tc>
          <w:tcPr>
            <w:tcW w:w="1547" w:type="dxa"/>
            <w:tcBorders>
              <w:top w:val="nil"/>
              <w:left w:val="nil"/>
              <w:bottom w:val="nil"/>
              <w:right w:val="nil"/>
            </w:tcBorders>
            <w:shd w:val="clear" w:color="auto" w:fill="auto"/>
            <w:noWrap/>
            <w:vAlign w:val="bottom"/>
            <w:hideMark/>
          </w:tcPr>
          <w:p w:rsidR="00786AF4" w:rsidRDefault="00786AF4" w:rsidP="00A55339">
            <w:pPr>
              <w:jc w:val="center"/>
              <w:rPr>
                <w:color w:val="000000"/>
              </w:rPr>
            </w:pPr>
          </w:p>
        </w:tc>
        <w:tc>
          <w:tcPr>
            <w:tcW w:w="2420"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Sig.</w:t>
            </w:r>
          </w:p>
        </w:tc>
        <w:tc>
          <w:tcPr>
            <w:tcW w:w="894"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p&lt;0.001</w:t>
            </w:r>
          </w:p>
        </w:tc>
        <w:tc>
          <w:tcPr>
            <w:tcW w:w="1246"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p=0.001</w:t>
            </w:r>
          </w:p>
        </w:tc>
        <w:tc>
          <w:tcPr>
            <w:tcW w:w="1228"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p&lt;0.001</w:t>
            </w:r>
          </w:p>
        </w:tc>
        <w:tc>
          <w:tcPr>
            <w:tcW w:w="1325"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p&lt;0.001</w:t>
            </w:r>
          </w:p>
        </w:tc>
      </w:tr>
      <w:tr w:rsidR="00786AF4" w:rsidTr="00A55339">
        <w:trPr>
          <w:trHeight w:val="320"/>
        </w:trPr>
        <w:tc>
          <w:tcPr>
            <w:tcW w:w="1547" w:type="dxa"/>
            <w:tcBorders>
              <w:top w:val="nil"/>
              <w:left w:val="nil"/>
              <w:bottom w:val="nil"/>
              <w:right w:val="nil"/>
            </w:tcBorders>
            <w:shd w:val="clear" w:color="auto" w:fill="auto"/>
            <w:noWrap/>
            <w:vAlign w:val="bottom"/>
            <w:hideMark/>
          </w:tcPr>
          <w:p w:rsidR="00786AF4" w:rsidRDefault="00786AF4" w:rsidP="00A55339">
            <w:pPr>
              <w:jc w:val="center"/>
              <w:rPr>
                <w:color w:val="000000"/>
              </w:rPr>
            </w:pPr>
          </w:p>
        </w:tc>
        <w:tc>
          <w:tcPr>
            <w:tcW w:w="2420"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N</w:t>
            </w:r>
          </w:p>
        </w:tc>
        <w:tc>
          <w:tcPr>
            <w:tcW w:w="894"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429</w:t>
            </w:r>
          </w:p>
        </w:tc>
        <w:tc>
          <w:tcPr>
            <w:tcW w:w="1246"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429</w:t>
            </w:r>
          </w:p>
        </w:tc>
        <w:tc>
          <w:tcPr>
            <w:tcW w:w="1228"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429</w:t>
            </w:r>
          </w:p>
        </w:tc>
        <w:tc>
          <w:tcPr>
            <w:tcW w:w="1325"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429</w:t>
            </w:r>
          </w:p>
        </w:tc>
      </w:tr>
      <w:tr w:rsidR="00786AF4" w:rsidTr="00A55339">
        <w:trPr>
          <w:trHeight w:val="320"/>
        </w:trPr>
        <w:tc>
          <w:tcPr>
            <w:tcW w:w="1547"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Metacognition</w:t>
            </w:r>
          </w:p>
        </w:tc>
        <w:tc>
          <w:tcPr>
            <w:tcW w:w="2420" w:type="dxa"/>
            <w:tcBorders>
              <w:top w:val="nil"/>
              <w:left w:val="nil"/>
              <w:bottom w:val="nil"/>
              <w:right w:val="nil"/>
            </w:tcBorders>
            <w:shd w:val="clear" w:color="auto" w:fill="auto"/>
            <w:noWrap/>
            <w:vAlign w:val="bottom"/>
            <w:hideMark/>
          </w:tcPr>
          <w:p w:rsidR="00786AF4" w:rsidRDefault="000136DF" w:rsidP="00A55339">
            <w:pPr>
              <w:jc w:val="center"/>
              <w:rPr>
                <w:color w:val="000000"/>
              </w:rPr>
            </w:pPr>
            <w:r>
              <w:rPr>
                <w:color w:val="000000"/>
              </w:rPr>
              <w:t>Spearman’s</w:t>
            </w:r>
            <w:r w:rsidR="00786AF4">
              <w:rPr>
                <w:color w:val="000000"/>
              </w:rPr>
              <w:t xml:space="preserve"> Correlation</w:t>
            </w:r>
          </w:p>
        </w:tc>
        <w:tc>
          <w:tcPr>
            <w:tcW w:w="894"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0.44</w:t>
            </w:r>
          </w:p>
        </w:tc>
        <w:tc>
          <w:tcPr>
            <w:tcW w:w="1246"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0.251</w:t>
            </w:r>
          </w:p>
        </w:tc>
        <w:tc>
          <w:tcPr>
            <w:tcW w:w="1228"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0.535</w:t>
            </w:r>
          </w:p>
        </w:tc>
        <w:tc>
          <w:tcPr>
            <w:tcW w:w="1325"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0.301</w:t>
            </w:r>
          </w:p>
        </w:tc>
      </w:tr>
      <w:tr w:rsidR="00786AF4" w:rsidTr="00A55339">
        <w:trPr>
          <w:trHeight w:val="320"/>
        </w:trPr>
        <w:tc>
          <w:tcPr>
            <w:tcW w:w="1547" w:type="dxa"/>
            <w:tcBorders>
              <w:top w:val="nil"/>
              <w:left w:val="nil"/>
              <w:bottom w:val="nil"/>
              <w:right w:val="nil"/>
            </w:tcBorders>
            <w:shd w:val="clear" w:color="auto" w:fill="auto"/>
            <w:noWrap/>
            <w:vAlign w:val="bottom"/>
            <w:hideMark/>
          </w:tcPr>
          <w:p w:rsidR="00786AF4" w:rsidRDefault="00786AF4" w:rsidP="00A55339">
            <w:pPr>
              <w:jc w:val="center"/>
              <w:rPr>
                <w:color w:val="000000"/>
              </w:rPr>
            </w:pPr>
          </w:p>
        </w:tc>
        <w:tc>
          <w:tcPr>
            <w:tcW w:w="2420"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Sig.</w:t>
            </w:r>
          </w:p>
        </w:tc>
        <w:tc>
          <w:tcPr>
            <w:tcW w:w="894"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p&lt;0.001</w:t>
            </w:r>
          </w:p>
        </w:tc>
        <w:tc>
          <w:tcPr>
            <w:tcW w:w="1246"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p&lt;0.001</w:t>
            </w:r>
          </w:p>
        </w:tc>
        <w:tc>
          <w:tcPr>
            <w:tcW w:w="1228"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p&lt;0.001</w:t>
            </w:r>
          </w:p>
        </w:tc>
        <w:tc>
          <w:tcPr>
            <w:tcW w:w="1325"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p&lt;0.001</w:t>
            </w:r>
          </w:p>
        </w:tc>
      </w:tr>
      <w:tr w:rsidR="00786AF4" w:rsidTr="00A55339">
        <w:trPr>
          <w:trHeight w:val="320"/>
        </w:trPr>
        <w:tc>
          <w:tcPr>
            <w:tcW w:w="1547" w:type="dxa"/>
            <w:tcBorders>
              <w:top w:val="nil"/>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 </w:t>
            </w:r>
          </w:p>
        </w:tc>
        <w:tc>
          <w:tcPr>
            <w:tcW w:w="2420" w:type="dxa"/>
            <w:tcBorders>
              <w:top w:val="nil"/>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N</w:t>
            </w:r>
          </w:p>
        </w:tc>
        <w:tc>
          <w:tcPr>
            <w:tcW w:w="894" w:type="dxa"/>
            <w:tcBorders>
              <w:top w:val="nil"/>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429</w:t>
            </w:r>
          </w:p>
        </w:tc>
        <w:tc>
          <w:tcPr>
            <w:tcW w:w="1246" w:type="dxa"/>
            <w:tcBorders>
              <w:top w:val="nil"/>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429</w:t>
            </w:r>
          </w:p>
        </w:tc>
        <w:tc>
          <w:tcPr>
            <w:tcW w:w="1228" w:type="dxa"/>
            <w:tcBorders>
              <w:top w:val="nil"/>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429</w:t>
            </w:r>
          </w:p>
        </w:tc>
        <w:tc>
          <w:tcPr>
            <w:tcW w:w="1325" w:type="dxa"/>
            <w:tcBorders>
              <w:top w:val="nil"/>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429</w:t>
            </w:r>
          </w:p>
        </w:tc>
      </w:tr>
      <w:tr w:rsidR="00786AF4" w:rsidTr="00A55339">
        <w:trPr>
          <w:trHeight w:val="320"/>
        </w:trPr>
        <w:tc>
          <w:tcPr>
            <w:tcW w:w="4861" w:type="dxa"/>
            <w:gridSpan w:val="3"/>
            <w:tcBorders>
              <w:top w:val="nil"/>
              <w:left w:val="nil"/>
              <w:bottom w:val="nil"/>
              <w:right w:val="nil"/>
            </w:tcBorders>
            <w:shd w:val="clear" w:color="auto" w:fill="auto"/>
            <w:noWrap/>
            <w:vAlign w:val="bottom"/>
            <w:hideMark/>
          </w:tcPr>
          <w:p w:rsidR="00786AF4" w:rsidRDefault="00786AF4" w:rsidP="00A55339">
            <w:pPr>
              <w:rPr>
                <w:i/>
                <w:iCs/>
                <w:color w:val="000000"/>
              </w:rPr>
            </w:pPr>
            <w:r>
              <w:rPr>
                <w:i/>
                <w:iCs/>
                <w:color w:val="000000"/>
              </w:rPr>
              <w:t xml:space="preserve">*Correlation is significant at the .05 level. </w:t>
            </w:r>
          </w:p>
        </w:tc>
        <w:tc>
          <w:tcPr>
            <w:tcW w:w="1246" w:type="dxa"/>
            <w:tcBorders>
              <w:top w:val="nil"/>
              <w:left w:val="nil"/>
              <w:bottom w:val="nil"/>
              <w:right w:val="nil"/>
            </w:tcBorders>
            <w:shd w:val="clear" w:color="auto" w:fill="auto"/>
            <w:noWrap/>
            <w:vAlign w:val="bottom"/>
            <w:hideMark/>
          </w:tcPr>
          <w:p w:rsidR="00786AF4" w:rsidRDefault="00786AF4" w:rsidP="00A55339">
            <w:pPr>
              <w:rPr>
                <w:i/>
                <w:iCs/>
                <w:color w:val="000000"/>
              </w:rPr>
            </w:pPr>
          </w:p>
        </w:tc>
        <w:tc>
          <w:tcPr>
            <w:tcW w:w="1228" w:type="dxa"/>
            <w:tcBorders>
              <w:top w:val="nil"/>
              <w:left w:val="nil"/>
              <w:bottom w:val="nil"/>
              <w:right w:val="nil"/>
            </w:tcBorders>
            <w:shd w:val="clear" w:color="auto" w:fill="auto"/>
            <w:noWrap/>
            <w:vAlign w:val="bottom"/>
            <w:hideMark/>
          </w:tcPr>
          <w:p w:rsidR="00786AF4" w:rsidRDefault="00786AF4" w:rsidP="00A55339">
            <w:pPr>
              <w:rPr>
                <w:sz w:val="20"/>
                <w:szCs w:val="20"/>
              </w:rPr>
            </w:pPr>
          </w:p>
        </w:tc>
        <w:tc>
          <w:tcPr>
            <w:tcW w:w="1325" w:type="dxa"/>
            <w:tcBorders>
              <w:top w:val="nil"/>
              <w:left w:val="nil"/>
              <w:bottom w:val="nil"/>
              <w:right w:val="nil"/>
            </w:tcBorders>
            <w:shd w:val="clear" w:color="auto" w:fill="auto"/>
            <w:noWrap/>
            <w:vAlign w:val="bottom"/>
            <w:hideMark/>
          </w:tcPr>
          <w:p w:rsidR="00786AF4" w:rsidRDefault="00786AF4" w:rsidP="00A55339">
            <w:pPr>
              <w:rPr>
                <w:sz w:val="20"/>
                <w:szCs w:val="20"/>
              </w:rPr>
            </w:pPr>
          </w:p>
        </w:tc>
      </w:tr>
    </w:tbl>
    <w:p w:rsidR="00786AF4" w:rsidRDefault="00786AF4" w:rsidP="00786AF4">
      <w:pPr>
        <w:pStyle w:val="BodyText"/>
        <w:ind w:firstLine="0"/>
        <w:rPr>
          <w:b/>
          <w:bCs/>
        </w:rPr>
      </w:pPr>
    </w:p>
    <w:p w:rsidR="00786AF4" w:rsidRDefault="00786AF4" w:rsidP="00786AF4">
      <w:pPr>
        <w:pStyle w:val="BodyText"/>
        <w:ind w:firstLine="0"/>
        <w:rPr>
          <w:b/>
          <w:bCs/>
        </w:rPr>
      </w:pPr>
      <w:r>
        <w:rPr>
          <w:b/>
          <w:bCs/>
        </w:rPr>
        <w:t>Table 6</w:t>
      </w:r>
    </w:p>
    <w:tbl>
      <w:tblPr>
        <w:tblW w:w="7861" w:type="dxa"/>
        <w:tblLook w:val="04A0" w:firstRow="1" w:lastRow="0" w:firstColumn="1" w:lastColumn="0" w:noHBand="0" w:noVBand="1"/>
      </w:tblPr>
      <w:tblGrid>
        <w:gridCol w:w="2582"/>
        <w:gridCol w:w="2768"/>
        <w:gridCol w:w="2511"/>
      </w:tblGrid>
      <w:tr w:rsidR="00786AF4" w:rsidTr="00A55339">
        <w:trPr>
          <w:trHeight w:val="320"/>
        </w:trPr>
        <w:tc>
          <w:tcPr>
            <w:tcW w:w="7861" w:type="dxa"/>
            <w:gridSpan w:val="3"/>
            <w:tcBorders>
              <w:top w:val="nil"/>
              <w:left w:val="nil"/>
              <w:bottom w:val="nil"/>
              <w:right w:val="nil"/>
            </w:tcBorders>
            <w:shd w:val="clear" w:color="auto" w:fill="auto"/>
            <w:noWrap/>
            <w:vAlign w:val="bottom"/>
            <w:hideMark/>
          </w:tcPr>
          <w:p w:rsidR="00786AF4" w:rsidRDefault="00786AF4" w:rsidP="00A55339">
            <w:pPr>
              <w:rPr>
                <w:i/>
                <w:iCs/>
                <w:color w:val="000000"/>
              </w:rPr>
            </w:pPr>
            <w:r>
              <w:rPr>
                <w:i/>
                <w:iCs/>
                <w:color w:val="000000"/>
              </w:rPr>
              <w:t xml:space="preserve">Correlation Between </w:t>
            </w:r>
            <w:r w:rsidR="000136DF">
              <w:rPr>
                <w:i/>
                <w:iCs/>
                <w:color w:val="000000"/>
              </w:rPr>
              <w:t>Participants’</w:t>
            </w:r>
            <w:r>
              <w:rPr>
                <w:i/>
                <w:iCs/>
                <w:color w:val="000000"/>
              </w:rPr>
              <w:t xml:space="preserve"> SF-SCQS and ARBI </w:t>
            </w:r>
            <w:r w:rsidR="00DD26F5">
              <w:rPr>
                <w:i/>
                <w:iCs/>
                <w:color w:val="000000"/>
              </w:rPr>
              <w:t>Composite</w:t>
            </w:r>
            <w:r>
              <w:rPr>
                <w:i/>
                <w:iCs/>
                <w:color w:val="000000"/>
              </w:rPr>
              <w:t xml:space="preserve"> Scores</w:t>
            </w:r>
          </w:p>
        </w:tc>
      </w:tr>
      <w:tr w:rsidR="00786AF4" w:rsidTr="00A55339">
        <w:trPr>
          <w:trHeight w:val="320"/>
        </w:trPr>
        <w:tc>
          <w:tcPr>
            <w:tcW w:w="2582" w:type="dxa"/>
            <w:tcBorders>
              <w:top w:val="single" w:sz="4" w:space="0" w:color="auto"/>
              <w:left w:val="nil"/>
              <w:bottom w:val="single" w:sz="4" w:space="0" w:color="auto"/>
              <w:right w:val="nil"/>
            </w:tcBorders>
            <w:shd w:val="clear" w:color="auto" w:fill="auto"/>
            <w:noWrap/>
            <w:vAlign w:val="bottom"/>
            <w:hideMark/>
          </w:tcPr>
          <w:p w:rsidR="00786AF4" w:rsidRDefault="00786AF4" w:rsidP="00A55339">
            <w:pPr>
              <w:rPr>
                <w:i/>
                <w:iCs/>
                <w:color w:val="000000"/>
              </w:rPr>
            </w:pPr>
            <w:r>
              <w:rPr>
                <w:i/>
                <w:iCs/>
                <w:color w:val="000000"/>
              </w:rPr>
              <w:t> </w:t>
            </w:r>
          </w:p>
        </w:tc>
        <w:tc>
          <w:tcPr>
            <w:tcW w:w="2768" w:type="dxa"/>
            <w:tcBorders>
              <w:top w:val="single" w:sz="4" w:space="0" w:color="auto"/>
              <w:left w:val="nil"/>
              <w:bottom w:val="single" w:sz="4" w:space="0" w:color="auto"/>
              <w:right w:val="nil"/>
            </w:tcBorders>
            <w:shd w:val="clear" w:color="auto" w:fill="auto"/>
            <w:noWrap/>
            <w:vAlign w:val="bottom"/>
            <w:hideMark/>
          </w:tcPr>
          <w:p w:rsidR="00786AF4" w:rsidRDefault="00786AF4" w:rsidP="00A55339">
            <w:pPr>
              <w:rPr>
                <w:color w:val="000000"/>
              </w:rPr>
            </w:pPr>
            <w:r>
              <w:rPr>
                <w:color w:val="000000"/>
              </w:rPr>
              <w:t> </w:t>
            </w:r>
          </w:p>
        </w:tc>
        <w:tc>
          <w:tcPr>
            <w:tcW w:w="2511" w:type="dxa"/>
            <w:tcBorders>
              <w:top w:val="single" w:sz="4" w:space="0" w:color="auto"/>
              <w:left w:val="nil"/>
              <w:bottom w:val="single" w:sz="4" w:space="0" w:color="auto"/>
              <w:right w:val="nil"/>
            </w:tcBorders>
            <w:shd w:val="clear" w:color="auto" w:fill="auto"/>
            <w:noWrap/>
            <w:vAlign w:val="bottom"/>
            <w:hideMark/>
          </w:tcPr>
          <w:p w:rsidR="00786AF4" w:rsidRDefault="00786AF4" w:rsidP="00A55339">
            <w:pPr>
              <w:rPr>
                <w:color w:val="000000"/>
              </w:rPr>
            </w:pPr>
            <w:r>
              <w:rPr>
                <w:color w:val="000000"/>
              </w:rPr>
              <w:t>ARBI composite score</w:t>
            </w:r>
          </w:p>
        </w:tc>
      </w:tr>
      <w:tr w:rsidR="00786AF4" w:rsidTr="00A55339">
        <w:trPr>
          <w:trHeight w:val="320"/>
        </w:trPr>
        <w:tc>
          <w:tcPr>
            <w:tcW w:w="2582" w:type="dxa"/>
            <w:tcBorders>
              <w:top w:val="nil"/>
              <w:left w:val="nil"/>
              <w:bottom w:val="nil"/>
              <w:right w:val="nil"/>
            </w:tcBorders>
            <w:shd w:val="clear" w:color="auto" w:fill="auto"/>
            <w:noWrap/>
            <w:vAlign w:val="bottom"/>
            <w:hideMark/>
          </w:tcPr>
          <w:p w:rsidR="00786AF4" w:rsidRDefault="000136DF" w:rsidP="00A55339">
            <w:pPr>
              <w:rPr>
                <w:color w:val="000000"/>
              </w:rPr>
            </w:pPr>
            <w:r>
              <w:rPr>
                <w:color w:val="000000"/>
              </w:rPr>
              <w:t>Spearman’s</w:t>
            </w:r>
            <w:r w:rsidR="00786AF4">
              <w:rPr>
                <w:color w:val="000000"/>
              </w:rPr>
              <w:t xml:space="preserve"> Correlation</w:t>
            </w:r>
          </w:p>
        </w:tc>
        <w:tc>
          <w:tcPr>
            <w:tcW w:w="2768" w:type="dxa"/>
            <w:tcBorders>
              <w:top w:val="nil"/>
              <w:left w:val="nil"/>
              <w:bottom w:val="nil"/>
              <w:right w:val="nil"/>
            </w:tcBorders>
            <w:shd w:val="clear" w:color="auto" w:fill="auto"/>
            <w:noWrap/>
            <w:vAlign w:val="bottom"/>
            <w:hideMark/>
          </w:tcPr>
          <w:p w:rsidR="00786AF4" w:rsidRDefault="00786AF4" w:rsidP="00A55339">
            <w:pPr>
              <w:rPr>
                <w:color w:val="000000"/>
              </w:rPr>
            </w:pPr>
            <w:r>
              <w:rPr>
                <w:color w:val="000000"/>
              </w:rPr>
              <w:t xml:space="preserve">SF-CQS </w:t>
            </w:r>
            <w:r w:rsidR="00DD26F5">
              <w:rPr>
                <w:color w:val="000000"/>
              </w:rPr>
              <w:t>composite</w:t>
            </w:r>
            <w:r>
              <w:rPr>
                <w:color w:val="000000"/>
              </w:rPr>
              <w:t xml:space="preserve"> scores</w:t>
            </w:r>
          </w:p>
        </w:tc>
        <w:tc>
          <w:tcPr>
            <w:tcW w:w="2511" w:type="dxa"/>
            <w:tcBorders>
              <w:top w:val="nil"/>
              <w:left w:val="nil"/>
              <w:bottom w:val="nil"/>
              <w:right w:val="nil"/>
            </w:tcBorders>
            <w:shd w:val="clear" w:color="auto" w:fill="auto"/>
            <w:noWrap/>
            <w:vAlign w:val="bottom"/>
            <w:hideMark/>
          </w:tcPr>
          <w:p w:rsidR="00786AF4" w:rsidRDefault="00786AF4" w:rsidP="00A55339">
            <w:pPr>
              <w:jc w:val="center"/>
              <w:rPr>
                <w:color w:val="000000"/>
              </w:rPr>
            </w:pPr>
            <w:r>
              <w:rPr>
                <w:color w:val="000000"/>
              </w:rPr>
              <w:t>0.375</w:t>
            </w:r>
          </w:p>
        </w:tc>
      </w:tr>
      <w:tr w:rsidR="00786AF4" w:rsidTr="00A55339">
        <w:trPr>
          <w:trHeight w:val="320"/>
        </w:trPr>
        <w:tc>
          <w:tcPr>
            <w:tcW w:w="2582" w:type="dxa"/>
            <w:tcBorders>
              <w:top w:val="nil"/>
              <w:left w:val="nil"/>
              <w:bottom w:val="single" w:sz="4" w:space="0" w:color="auto"/>
              <w:right w:val="nil"/>
            </w:tcBorders>
            <w:shd w:val="clear" w:color="auto" w:fill="auto"/>
            <w:noWrap/>
            <w:vAlign w:val="bottom"/>
            <w:hideMark/>
          </w:tcPr>
          <w:p w:rsidR="00786AF4" w:rsidRDefault="00786AF4" w:rsidP="00A55339">
            <w:pPr>
              <w:rPr>
                <w:color w:val="000000"/>
              </w:rPr>
            </w:pPr>
            <w:r>
              <w:rPr>
                <w:color w:val="000000"/>
              </w:rPr>
              <w:t>Sig.</w:t>
            </w:r>
          </w:p>
        </w:tc>
        <w:tc>
          <w:tcPr>
            <w:tcW w:w="2768" w:type="dxa"/>
            <w:tcBorders>
              <w:top w:val="nil"/>
              <w:left w:val="nil"/>
              <w:bottom w:val="single" w:sz="4" w:space="0" w:color="auto"/>
              <w:right w:val="nil"/>
            </w:tcBorders>
            <w:shd w:val="clear" w:color="auto" w:fill="auto"/>
            <w:noWrap/>
            <w:vAlign w:val="bottom"/>
            <w:hideMark/>
          </w:tcPr>
          <w:p w:rsidR="00786AF4" w:rsidRDefault="00786AF4" w:rsidP="00A55339">
            <w:pPr>
              <w:rPr>
                <w:color w:val="000000"/>
              </w:rPr>
            </w:pPr>
            <w:r>
              <w:rPr>
                <w:color w:val="000000"/>
              </w:rPr>
              <w:t xml:space="preserve">SF-CQS </w:t>
            </w:r>
            <w:r w:rsidR="00DD26F5">
              <w:rPr>
                <w:color w:val="000000"/>
              </w:rPr>
              <w:t>composite</w:t>
            </w:r>
            <w:r>
              <w:rPr>
                <w:color w:val="000000"/>
              </w:rPr>
              <w:t xml:space="preserve"> scores</w:t>
            </w:r>
          </w:p>
        </w:tc>
        <w:tc>
          <w:tcPr>
            <w:tcW w:w="2511" w:type="dxa"/>
            <w:tcBorders>
              <w:top w:val="nil"/>
              <w:left w:val="nil"/>
              <w:bottom w:val="single" w:sz="4" w:space="0" w:color="auto"/>
              <w:right w:val="nil"/>
            </w:tcBorders>
            <w:shd w:val="clear" w:color="auto" w:fill="auto"/>
            <w:noWrap/>
            <w:vAlign w:val="bottom"/>
            <w:hideMark/>
          </w:tcPr>
          <w:p w:rsidR="00786AF4" w:rsidRDefault="00786AF4" w:rsidP="00A55339">
            <w:pPr>
              <w:jc w:val="center"/>
              <w:rPr>
                <w:color w:val="000000"/>
              </w:rPr>
            </w:pPr>
            <w:r>
              <w:rPr>
                <w:color w:val="000000"/>
              </w:rPr>
              <w:t>p &lt; 0.001</w:t>
            </w:r>
          </w:p>
        </w:tc>
      </w:tr>
      <w:tr w:rsidR="00786AF4" w:rsidTr="00A55339">
        <w:trPr>
          <w:trHeight w:val="320"/>
        </w:trPr>
        <w:tc>
          <w:tcPr>
            <w:tcW w:w="5350" w:type="dxa"/>
            <w:gridSpan w:val="2"/>
            <w:tcBorders>
              <w:top w:val="nil"/>
              <w:left w:val="nil"/>
              <w:bottom w:val="nil"/>
              <w:right w:val="nil"/>
            </w:tcBorders>
            <w:shd w:val="clear" w:color="auto" w:fill="auto"/>
            <w:noWrap/>
            <w:vAlign w:val="bottom"/>
            <w:hideMark/>
          </w:tcPr>
          <w:p w:rsidR="00786AF4" w:rsidRDefault="00786AF4" w:rsidP="00A55339">
            <w:pPr>
              <w:rPr>
                <w:i/>
                <w:iCs/>
                <w:color w:val="000000"/>
              </w:rPr>
            </w:pPr>
            <w:r>
              <w:rPr>
                <w:i/>
                <w:iCs/>
                <w:color w:val="000000"/>
              </w:rPr>
              <w:t xml:space="preserve">Note: Alpha </w:t>
            </w:r>
            <w:r w:rsidR="00DD26F5">
              <w:rPr>
                <w:i/>
                <w:iCs/>
                <w:color w:val="000000"/>
              </w:rPr>
              <w:t>level</w:t>
            </w:r>
            <w:r>
              <w:rPr>
                <w:i/>
                <w:iCs/>
                <w:color w:val="000000"/>
              </w:rPr>
              <w:t xml:space="preserve"> of .05; n=429; p&lt;0.001.</w:t>
            </w:r>
          </w:p>
        </w:tc>
        <w:tc>
          <w:tcPr>
            <w:tcW w:w="2511" w:type="dxa"/>
            <w:tcBorders>
              <w:top w:val="nil"/>
              <w:left w:val="nil"/>
              <w:bottom w:val="nil"/>
              <w:right w:val="nil"/>
            </w:tcBorders>
            <w:shd w:val="clear" w:color="auto" w:fill="auto"/>
            <w:noWrap/>
            <w:vAlign w:val="bottom"/>
            <w:hideMark/>
          </w:tcPr>
          <w:p w:rsidR="00786AF4" w:rsidRDefault="00786AF4" w:rsidP="00A55339">
            <w:pPr>
              <w:rPr>
                <w:i/>
                <w:iCs/>
                <w:color w:val="000000"/>
              </w:rPr>
            </w:pPr>
          </w:p>
        </w:tc>
      </w:tr>
    </w:tbl>
    <w:p w:rsidR="00786AF4" w:rsidRDefault="00786AF4" w:rsidP="00786AF4">
      <w:pPr>
        <w:pStyle w:val="BodyText"/>
        <w:ind w:firstLine="0"/>
      </w:pPr>
    </w:p>
    <w:p w:rsidR="00786AF4" w:rsidRPr="00904B6E" w:rsidRDefault="00786AF4" w:rsidP="00786AF4">
      <w:pPr>
        <w:pStyle w:val="BodyText"/>
      </w:pPr>
      <w:r w:rsidRPr="00904B6E">
        <w:t xml:space="preserve">For the research question, data revealed </w:t>
      </w:r>
      <w:r>
        <w:t xml:space="preserve">a significant </w:t>
      </w:r>
      <w:r w:rsidRPr="00904B6E">
        <w:t>positive correlation (</w:t>
      </w:r>
      <w:r w:rsidRPr="00904B6E">
        <w:rPr>
          <w:i/>
          <w:iCs/>
        </w:rPr>
        <w:t xml:space="preserve">r </w:t>
      </w:r>
      <w:r w:rsidRPr="00904B6E">
        <w:t>= .</w:t>
      </w:r>
      <w:r>
        <w:t>375</w:t>
      </w:r>
      <w:r w:rsidRPr="00904B6E">
        <w:t xml:space="preserve">, </w:t>
      </w:r>
      <w:r w:rsidRPr="00904B6E">
        <w:rPr>
          <w:i/>
          <w:iCs/>
        </w:rPr>
        <w:t xml:space="preserve">p </w:t>
      </w:r>
      <w:r>
        <w:t>&lt;</w:t>
      </w:r>
      <w:r w:rsidRPr="00904B6E">
        <w:t xml:space="preserve"> </w:t>
      </w:r>
      <w:r>
        <w:t>0.001</w:t>
      </w:r>
      <w:r w:rsidRPr="00904B6E">
        <w:t xml:space="preserve">) between </w:t>
      </w:r>
      <w:r w:rsidR="00216A47">
        <w:t>multiethnic</w:t>
      </w:r>
      <w:r>
        <w:t xml:space="preserve"> church </w:t>
      </w:r>
      <w:r w:rsidR="000136DF">
        <w:t>attendees’</w:t>
      </w:r>
      <w:r w:rsidRPr="00904B6E">
        <w:t xml:space="preserve"> self-assessed </w:t>
      </w:r>
      <w:r>
        <w:t>Cultural Intelligence</w:t>
      </w:r>
      <w:r w:rsidRPr="00904B6E">
        <w:t xml:space="preserve"> and self-assessed </w:t>
      </w:r>
      <w:r>
        <w:t>anti-racism behaviors</w:t>
      </w:r>
      <w:r w:rsidRPr="00904B6E">
        <w:t>. Therefore, there was sufficient statistical evidenc</w:t>
      </w:r>
      <w:r>
        <w:t>e of a significant</w:t>
      </w:r>
      <w:r w:rsidRPr="00904B6E">
        <w:t xml:space="preserve"> correlation between </w:t>
      </w:r>
      <w:r w:rsidR="00216A47">
        <w:t>multiethnic</w:t>
      </w:r>
      <w:r>
        <w:t xml:space="preserve"> church </w:t>
      </w:r>
      <w:r w:rsidR="000136DF">
        <w:t>attendees’</w:t>
      </w:r>
      <w:r w:rsidRPr="00904B6E">
        <w:t xml:space="preserve"> </w:t>
      </w:r>
      <w:r>
        <w:t>Cultural Intelligence</w:t>
      </w:r>
      <w:r w:rsidRPr="00904B6E">
        <w:t xml:space="preserve"> and </w:t>
      </w:r>
      <w:r>
        <w:t>anti-racism behaviors</w:t>
      </w:r>
      <w:r w:rsidRPr="00904B6E">
        <w:t xml:space="preserve">. The null hypothesis </w:t>
      </w:r>
      <w:r>
        <w:t>was</w:t>
      </w:r>
      <w:r w:rsidRPr="00904B6E">
        <w:t xml:space="preserve"> rejected. </w:t>
      </w:r>
    </w:p>
    <w:p w:rsidR="00786AF4" w:rsidRDefault="00786AF4" w:rsidP="00786AF4">
      <w:pPr>
        <w:pStyle w:val="APALevel2"/>
      </w:pPr>
      <w:bookmarkStart w:id="7" w:name="_Toc120824775"/>
      <w:bookmarkEnd w:id="6"/>
      <w:r>
        <w:lastRenderedPageBreak/>
        <w:t>Other Observations</w:t>
      </w:r>
      <w:bookmarkEnd w:id="7"/>
    </w:p>
    <w:p w:rsidR="00786AF4" w:rsidRPr="00946AAB" w:rsidRDefault="00786AF4" w:rsidP="00786AF4">
      <w:pPr>
        <w:pStyle w:val="BodyText"/>
        <w:ind w:firstLine="0"/>
      </w:pPr>
      <w:r>
        <w:rPr>
          <w:b/>
          <w:bCs/>
        </w:rPr>
        <w:tab/>
      </w:r>
      <w:r>
        <w:t xml:space="preserve">As seen in Table 5, all the domains of CQ and ARBI have a positive monotonic relationship with one another, including the relationship between individual domains with the opposing </w:t>
      </w:r>
      <w:r w:rsidR="000136DF">
        <w:t>instrument’s</w:t>
      </w:r>
      <w:r>
        <w:t xml:space="preserve"> composite score. This</w:t>
      </w:r>
      <w:r w:rsidR="00216A47">
        <w:t xml:space="preserve"> relationship</w:t>
      </w:r>
      <w:r>
        <w:t xml:space="preserve"> is </w:t>
      </w:r>
      <w:r w:rsidR="00216A47">
        <w:t>demonstrated</w:t>
      </w:r>
      <w:r>
        <w:t xml:space="preserve"> in the positive correlation coefficient. Also evident in Table 5 is that all domains have a statistically significant relationship with each other, </w:t>
      </w:r>
      <w:r w:rsidR="00216A47">
        <w:t>except for</w:t>
      </w:r>
      <w:r>
        <w:t xml:space="preserve"> the CQ domain of knowledge and ARBI domain of institution advocacy, which demonstrates no correlation between those two domains. </w:t>
      </w:r>
    </w:p>
    <w:p w:rsidR="00786AF4" w:rsidRPr="00904B6E" w:rsidRDefault="00786AF4" w:rsidP="00786AF4">
      <w:pPr>
        <w:pStyle w:val="BodyText"/>
        <w:ind w:firstLine="0"/>
      </w:pPr>
      <w:r w:rsidRPr="00904B6E">
        <w:rPr>
          <w:b/>
          <w:bCs/>
        </w:rPr>
        <w:t xml:space="preserve">Chapter Summary </w:t>
      </w:r>
    </w:p>
    <w:p w:rsidR="00786AF4" w:rsidRPr="00904B6E" w:rsidRDefault="00786AF4" w:rsidP="00786AF4">
      <w:pPr>
        <w:pStyle w:val="BodyText"/>
      </w:pPr>
      <w:r w:rsidRPr="00904B6E">
        <w:t xml:space="preserve">Data collected for the quantitative correlational study provided the means to answer the research question and hypotheses. The </w:t>
      </w:r>
      <w:r w:rsidR="00216A47">
        <w:t xml:space="preserve">research used </w:t>
      </w:r>
      <w:r>
        <w:t>composite</w:t>
      </w:r>
      <w:r w:rsidRPr="00904B6E">
        <w:t xml:space="preserve"> data to determine if a significant relationship exists between </w:t>
      </w:r>
      <w:r w:rsidR="00216A47">
        <w:t>multiethnic</w:t>
      </w:r>
      <w:r>
        <w:t xml:space="preserve"> church </w:t>
      </w:r>
      <w:r w:rsidR="000136DF">
        <w:t>attendees’</w:t>
      </w:r>
      <w:r w:rsidRPr="00904B6E">
        <w:t xml:space="preserve"> </w:t>
      </w:r>
      <w:r>
        <w:t xml:space="preserve">Cultural Intelligence </w:t>
      </w:r>
      <w:r w:rsidRPr="00904B6E">
        <w:t xml:space="preserve">and </w:t>
      </w:r>
      <w:r>
        <w:t>their anti-racism behaviors</w:t>
      </w:r>
      <w:r w:rsidRPr="00904B6E">
        <w:t>.</w:t>
      </w:r>
      <w:r>
        <w:t xml:space="preserve"> </w:t>
      </w:r>
      <w:r w:rsidRPr="00904B6E">
        <w:t xml:space="preserve">The </w:t>
      </w:r>
      <w:r>
        <w:t>Cultural Intelligence</w:t>
      </w:r>
      <w:r w:rsidRPr="00904B6E">
        <w:t xml:space="preserve"> and </w:t>
      </w:r>
      <w:r>
        <w:t>anti-racism behaviors</w:t>
      </w:r>
      <w:r w:rsidRPr="00904B6E">
        <w:t xml:space="preserve"> of the sample of </w:t>
      </w:r>
      <w:r w:rsidR="00216A47">
        <w:t>multiethnic</w:t>
      </w:r>
      <w:r>
        <w:t xml:space="preserve"> church attendees</w:t>
      </w:r>
      <w:r w:rsidRPr="00904B6E">
        <w:t xml:space="preserve"> </w:t>
      </w:r>
      <w:r w:rsidR="00216A47">
        <w:t>were</w:t>
      </w:r>
      <w:r w:rsidRPr="00904B6E">
        <w:t xml:space="preserve"> correlated. </w:t>
      </w:r>
    </w:p>
    <w:p w:rsidR="00786AF4" w:rsidRPr="00904B6E" w:rsidRDefault="00786AF4" w:rsidP="00786AF4">
      <w:pPr>
        <w:pStyle w:val="BodyText"/>
      </w:pPr>
      <w:r w:rsidRPr="00904B6E">
        <w:t xml:space="preserve">The sample for the study consisted of </w:t>
      </w:r>
      <w:r>
        <w:t>429</w:t>
      </w:r>
      <w:r w:rsidRPr="00904B6E">
        <w:t xml:space="preserve"> </w:t>
      </w:r>
      <w:r w:rsidR="000136DF">
        <w:t>m</w:t>
      </w:r>
      <w:r w:rsidR="00216A47">
        <w:t>ultiethnic</w:t>
      </w:r>
      <w:r>
        <w:t xml:space="preserve"> church </w:t>
      </w:r>
      <w:r w:rsidR="00216A47">
        <w:t>attendees</w:t>
      </w:r>
      <w:r>
        <w:t xml:space="preserve"> from Maryland, the District of Columbia, Virginia, and North Carolina.</w:t>
      </w:r>
      <w:r w:rsidRPr="00904B6E">
        <w:t xml:space="preserve"> The data provide</w:t>
      </w:r>
      <w:r>
        <w:t>d</w:t>
      </w:r>
      <w:r w:rsidRPr="00904B6E">
        <w:t xml:space="preserve"> statistical evidence of a significant positive correlation between </w:t>
      </w:r>
      <w:r w:rsidR="00216A47">
        <w:t>mid-Atlantic</w:t>
      </w:r>
      <w:r>
        <w:t xml:space="preserve"> </w:t>
      </w:r>
      <w:r w:rsidR="00216A47">
        <w:t>multiethnic</w:t>
      </w:r>
      <w:r>
        <w:t xml:space="preserve"> church </w:t>
      </w:r>
      <w:r w:rsidR="000136DF">
        <w:t>attendees’</w:t>
      </w:r>
      <w:r>
        <w:t xml:space="preserve"> Cultural Intelligence and their anti-racism behaviors</w:t>
      </w:r>
      <w:r w:rsidRPr="00904B6E">
        <w:t xml:space="preserve">. The findings, interpretations, conclusions, limitations, recommendations, and implications for </w:t>
      </w:r>
      <w:r>
        <w:t>addressing racism</w:t>
      </w:r>
      <w:r w:rsidRPr="00904B6E">
        <w:t xml:space="preserve"> based on the study are provided in Chapter 5. </w:t>
      </w:r>
    </w:p>
    <w:p w:rsidR="00542220" w:rsidRDefault="00542220"/>
    <w:sectPr w:rsidR="00542220" w:rsidSect="00334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TimesNewRoman">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51"/>
    <w:rsid w:val="000136DF"/>
    <w:rsid w:val="000D0506"/>
    <w:rsid w:val="000E39B8"/>
    <w:rsid w:val="001D49A7"/>
    <w:rsid w:val="002150E8"/>
    <w:rsid w:val="00216A47"/>
    <w:rsid w:val="002949AF"/>
    <w:rsid w:val="003347E3"/>
    <w:rsid w:val="00375D51"/>
    <w:rsid w:val="003A01C6"/>
    <w:rsid w:val="004636FF"/>
    <w:rsid w:val="00463FC9"/>
    <w:rsid w:val="004D0879"/>
    <w:rsid w:val="00542220"/>
    <w:rsid w:val="005A5737"/>
    <w:rsid w:val="005C656B"/>
    <w:rsid w:val="00642F55"/>
    <w:rsid w:val="00722E21"/>
    <w:rsid w:val="00786AF4"/>
    <w:rsid w:val="007C2733"/>
    <w:rsid w:val="008B2B17"/>
    <w:rsid w:val="008F3BDF"/>
    <w:rsid w:val="009C4294"/>
    <w:rsid w:val="00A00AE4"/>
    <w:rsid w:val="00AB2D7D"/>
    <w:rsid w:val="00B010FF"/>
    <w:rsid w:val="00BF7A8B"/>
    <w:rsid w:val="00C20C2A"/>
    <w:rsid w:val="00C91B91"/>
    <w:rsid w:val="00CA7EF3"/>
    <w:rsid w:val="00DD26F5"/>
    <w:rsid w:val="00E75A0C"/>
    <w:rsid w:val="00FB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D187FE"/>
  <w15:chartTrackingRefBased/>
  <w15:docId w15:val="{D67AE019-391B-F44C-B57F-6FE0DBEA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5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2">
    <w:name w:val="APA Level 2"/>
    <w:link w:val="APALevel2Char"/>
    <w:qFormat/>
    <w:rsid w:val="00375D51"/>
    <w:pPr>
      <w:keepNext/>
      <w:keepLines/>
      <w:suppressAutoHyphens/>
      <w:autoSpaceDE w:val="0"/>
      <w:autoSpaceDN w:val="0"/>
      <w:spacing w:line="480" w:lineRule="auto"/>
      <w:outlineLvl w:val="1"/>
    </w:pPr>
    <w:rPr>
      <w:rFonts w:ascii="Times New Roman" w:eastAsia="Times New Roman" w:hAnsi="Times New Roman" w:cs="Times New Roman"/>
      <w:b/>
    </w:rPr>
  </w:style>
  <w:style w:type="paragraph" w:styleId="BodyText">
    <w:name w:val="Body Text"/>
    <w:basedOn w:val="Normal"/>
    <w:link w:val="BodyTextChar"/>
    <w:qFormat/>
    <w:rsid w:val="00375D51"/>
    <w:pPr>
      <w:autoSpaceDE w:val="0"/>
      <w:autoSpaceDN w:val="0"/>
      <w:adjustRightInd w:val="0"/>
      <w:snapToGrid w:val="0"/>
      <w:spacing w:line="480" w:lineRule="auto"/>
      <w:ind w:firstLine="720"/>
    </w:pPr>
  </w:style>
  <w:style w:type="character" w:customStyle="1" w:styleId="BodyTextChar">
    <w:name w:val="Body Text Char"/>
    <w:basedOn w:val="DefaultParagraphFont"/>
    <w:link w:val="BodyText"/>
    <w:rsid w:val="00375D51"/>
    <w:rPr>
      <w:rFonts w:ascii="Times New Roman" w:eastAsia="Times New Roman" w:hAnsi="Times New Roman" w:cs="Times New Roman"/>
    </w:rPr>
  </w:style>
  <w:style w:type="character" w:customStyle="1" w:styleId="APALevel2Char">
    <w:name w:val="APA Level 2 Char"/>
    <w:basedOn w:val="DefaultParagraphFont"/>
    <w:link w:val="APALevel2"/>
    <w:rsid w:val="00375D51"/>
    <w:rPr>
      <w:rFonts w:ascii="Times New Roman" w:eastAsia="Times New Roman" w:hAnsi="Times New Roman" w:cs="Times New Roman"/>
      <w:b/>
    </w:rPr>
  </w:style>
  <w:style w:type="paragraph" w:customStyle="1" w:styleId="APALevel3">
    <w:name w:val="APA Level 3"/>
    <w:basedOn w:val="APALevel2"/>
    <w:next w:val="BodyText"/>
    <w:qFormat/>
    <w:rsid w:val="00375D51"/>
    <w:pPr>
      <w:widowControl w:val="0"/>
      <w:adjustRightInd w:val="0"/>
      <w:outlineLvl w:val="2"/>
    </w:pPr>
    <w:rPr>
      <w:i/>
      <w:iCs/>
    </w:rPr>
  </w:style>
  <w:style w:type="paragraph" w:customStyle="1" w:styleId="APALevel1">
    <w:name w:val="APA Level 1"/>
    <w:link w:val="APALevel1Char"/>
    <w:qFormat/>
    <w:rsid w:val="00375D51"/>
    <w:pPr>
      <w:spacing w:line="480" w:lineRule="auto"/>
      <w:jc w:val="center"/>
      <w:outlineLvl w:val="0"/>
    </w:pPr>
    <w:rPr>
      <w:rFonts w:ascii="Times New Roman" w:eastAsia="Times New Roman" w:hAnsi="Times New Roman" w:cs="Times New Roman"/>
      <w:b/>
      <w:caps/>
    </w:rPr>
  </w:style>
  <w:style w:type="character" w:customStyle="1" w:styleId="APALevel1Char">
    <w:name w:val="APA Level 1 Char"/>
    <w:basedOn w:val="DefaultParagraphFont"/>
    <w:link w:val="APALevel1"/>
    <w:rsid w:val="00375D51"/>
    <w:rPr>
      <w:rFonts w:ascii="Times New Roman" w:eastAsia="Times New Roman" w:hAnsi="Times New Roman" w:cs="Times New Roman"/>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929972-C7FD-E942-BE6C-9BE8855EB613}">
  <we:reference id="wa200001011" version="1.2.0.0" store="en-001" storeType="OMEX"/>
  <we:alternateReferences>
    <we:reference id="wa200001011" version="1.2.0.0" store="en-00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8</Pages>
  <Words>1762</Words>
  <Characters>10349</Characters>
  <Application>Microsoft Office Word</Application>
  <DocSecurity>0</DocSecurity>
  <Lines>413</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2023-03-25T16:31:00Z</dcterms:created>
  <dcterms:modified xsi:type="dcterms:W3CDTF">2023-03-25T16:31:00Z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documentId_3871</vt:lpwstr>
  </property>
  <property fmtid="{D5CDD505-2E9C-101B-9397-08002B2CF9AE}" pid="3" name="grammarly_documentContext">
    <vt:lpwstr>{"goals":[],"domain":"general","emotions":[],"dialect":"american"}</vt:lpwstr>
  </property>
</Properties>
</file>