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Default="00707230" w:rsidP="00707230">
      <w:pPr>
        <w:jc w:val="center"/>
        <w:rPr>
          <w:rFonts w:cs="Times New Roman"/>
        </w:rPr>
      </w:pPr>
    </w:p>
    <w:p w14:paraId="2549F1E1" w14:textId="56DD8035" w:rsidR="00707230" w:rsidRDefault="008F51AE" w:rsidP="008F51AE">
      <w:pPr>
        <w:ind w:firstLine="0"/>
        <w:jc w:val="center"/>
        <w:rPr>
          <w:rFonts w:cs="Times New Roman"/>
        </w:rPr>
      </w:pPr>
      <w:r w:rsidRPr="008F51AE">
        <w:rPr>
          <w:rFonts w:cs="Times New Roman"/>
        </w:rPr>
        <w:t xml:space="preserve">THE RELATIONSHIP BETWEEN SPIRITUAL </w:t>
      </w:r>
      <w:r w:rsidR="00B92DA4">
        <w:rPr>
          <w:rFonts w:cs="Times New Roman"/>
        </w:rPr>
        <w:t>ENGAGEMENT</w:t>
      </w:r>
      <w:r w:rsidRPr="008F51AE">
        <w:rPr>
          <w:rFonts w:cs="Times New Roman"/>
        </w:rPr>
        <w:t xml:space="preserve"> AND </w:t>
      </w:r>
      <w:r w:rsidR="00B92DA4">
        <w:rPr>
          <w:rFonts w:cs="Times New Roman"/>
        </w:rPr>
        <w:t>THE NEED FOR RECOVERY FROM WORK</w:t>
      </w:r>
      <w:r w:rsidRPr="008F51AE">
        <w:rPr>
          <w:rFonts w:cs="Times New Roman"/>
        </w:rPr>
        <w:t xml:space="preserve"> AMONG ADJUNCT FACULTY AT ONLINE COLLEGES</w:t>
      </w:r>
    </w:p>
    <w:p w14:paraId="20D1192F" w14:textId="77777777" w:rsidR="00707230" w:rsidRDefault="00707230" w:rsidP="00707230">
      <w:pPr>
        <w:jc w:val="center"/>
        <w:rPr>
          <w:rFonts w:cs="Times New Roman"/>
        </w:rPr>
      </w:pPr>
    </w:p>
    <w:p w14:paraId="10BFEEC1" w14:textId="77777777" w:rsidR="00707230" w:rsidRDefault="00707230" w:rsidP="00707230">
      <w:pPr>
        <w:jc w:val="center"/>
        <w:rPr>
          <w:rFonts w:cs="Times New Roman"/>
        </w:rPr>
      </w:pPr>
    </w:p>
    <w:p w14:paraId="2E370AF3" w14:textId="77777777" w:rsidR="00707230" w:rsidRDefault="00707230" w:rsidP="00707230">
      <w:pPr>
        <w:jc w:val="center"/>
        <w:rPr>
          <w:rFonts w:cs="Times New Roman"/>
        </w:rPr>
      </w:pPr>
    </w:p>
    <w:p w14:paraId="10ABE5E5" w14:textId="780EEC60" w:rsidR="00707230" w:rsidRDefault="00B674DA" w:rsidP="00B8682B">
      <w:pPr>
        <w:jc w:val="center"/>
        <w:rPr>
          <w:rFonts w:cs="Times New Roman"/>
        </w:rPr>
      </w:pPr>
      <w:r>
        <w:rPr>
          <w:rFonts w:cs="Times New Roman"/>
        </w:rPr>
        <w:t>David P. Moser</w:t>
      </w:r>
    </w:p>
    <w:p w14:paraId="2D9F3EF6" w14:textId="77777777" w:rsidR="00707230" w:rsidRDefault="00707230" w:rsidP="00707230">
      <w:pPr>
        <w:jc w:val="center"/>
        <w:rPr>
          <w:rFonts w:cs="Times New Roman"/>
        </w:rPr>
      </w:pPr>
    </w:p>
    <w:p w14:paraId="513F22C1" w14:textId="77777777" w:rsidR="00707230" w:rsidRDefault="00707230" w:rsidP="00707230">
      <w:pPr>
        <w:jc w:val="center"/>
        <w:rPr>
          <w:rFonts w:cs="Times New Roman"/>
        </w:rPr>
      </w:pPr>
    </w:p>
    <w:p w14:paraId="7E253993" w14:textId="77777777" w:rsidR="00707230" w:rsidRDefault="00707230" w:rsidP="00707230">
      <w:pPr>
        <w:jc w:val="center"/>
        <w:rPr>
          <w:rFonts w:cs="Times New Roman"/>
        </w:rPr>
      </w:pPr>
    </w:p>
    <w:p w14:paraId="751EB915" w14:textId="77777777" w:rsidR="00707230" w:rsidRDefault="00707230" w:rsidP="00707230">
      <w:pPr>
        <w:jc w:val="center"/>
        <w:rPr>
          <w:rFonts w:cs="Times New Roman"/>
        </w:rPr>
      </w:pPr>
    </w:p>
    <w:p w14:paraId="36AF3E0F" w14:textId="77777777" w:rsidR="00707230" w:rsidRDefault="00707230" w:rsidP="00707230">
      <w:pPr>
        <w:jc w:val="center"/>
        <w:rPr>
          <w:rFonts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375BD"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p>
    <w:p w14:paraId="3FE128F8" w14:textId="77777777" w:rsidR="00707230" w:rsidRDefault="00707230" w:rsidP="00707230">
      <w:pPr>
        <w:jc w:val="center"/>
        <w:rPr>
          <w:rFonts w:cs="Times New Roman"/>
        </w:rPr>
      </w:pPr>
      <w:r>
        <w:rPr>
          <w:rFonts w:cs="Times New Roman"/>
        </w:rPr>
        <w:t>Chair, Dissertation Committee</w:t>
      </w:r>
    </w:p>
    <w:p w14:paraId="22382BD8" w14:textId="77777777" w:rsidR="00707230" w:rsidRDefault="00707230" w:rsidP="00707230">
      <w:pPr>
        <w:jc w:val="center"/>
        <w:rPr>
          <w:rFonts w:cs="Times New Roman"/>
        </w:rPr>
      </w:pPr>
    </w:p>
    <w:p w14:paraId="5FF6C746" w14:textId="77777777" w:rsidR="00707230" w:rsidRDefault="00707230" w:rsidP="00707230">
      <w:pPr>
        <w:jc w:val="center"/>
        <w:rPr>
          <w:rFonts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18719"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Pr="00D36BB7">
        <w:rPr>
          <w:b/>
        </w:rPr>
        <w:t xml:space="preserve"> </w:t>
      </w:r>
    </w:p>
    <w:p w14:paraId="6BAD684C" w14:textId="77777777" w:rsidR="00707230" w:rsidRDefault="00707230" w:rsidP="00707230">
      <w:pPr>
        <w:jc w:val="center"/>
        <w:rPr>
          <w:rFonts w:cs="Times New Roman"/>
        </w:rPr>
      </w:pPr>
      <w:r>
        <w:rPr>
          <w:rFonts w:cs="Times New Roman"/>
        </w:rPr>
        <w:t>Member, Dissertation Committee</w:t>
      </w:r>
    </w:p>
    <w:p w14:paraId="5C3B1EFA" w14:textId="77777777" w:rsidR="00707230" w:rsidRDefault="00707230" w:rsidP="00707230">
      <w:pPr>
        <w:jc w:val="center"/>
        <w:rPr>
          <w:rFonts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7C776"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cs="Times New Roman"/>
        </w:rPr>
        <w:t>Member, Dissertation Committee</w:t>
      </w:r>
    </w:p>
    <w:p w14:paraId="2C4FBB51" w14:textId="77777777" w:rsidR="00707230" w:rsidRDefault="00707230" w:rsidP="00707230">
      <w:pPr>
        <w:jc w:val="center"/>
        <w:rPr>
          <w:rFonts w:cs="Times New Roman"/>
        </w:rPr>
      </w:pPr>
    </w:p>
    <w:p w14:paraId="09D1CDB3" w14:textId="77777777" w:rsidR="00707230" w:rsidRDefault="00707230" w:rsidP="00707230">
      <w:pPr>
        <w:jc w:val="center"/>
        <w:rPr>
          <w:rFonts w:cs="Times New Roman"/>
        </w:rPr>
      </w:pPr>
    </w:p>
    <w:p w14:paraId="50CCF324" w14:textId="77777777" w:rsidR="00707230" w:rsidRDefault="00707230" w:rsidP="00707230">
      <w:pPr>
        <w:jc w:val="center"/>
        <w:rPr>
          <w:rFonts w:cs="Times New Roman"/>
        </w:rPr>
      </w:pPr>
    </w:p>
    <w:p w14:paraId="61987EDF" w14:textId="77777777" w:rsidR="00707230" w:rsidRDefault="00707230" w:rsidP="00707230">
      <w:pPr>
        <w:jc w:val="center"/>
        <w:rPr>
          <w:rFonts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cs="Times New Roman"/>
        </w:rPr>
      </w:pPr>
      <w:r>
        <w:rPr>
          <w:rFonts w:cs="Times New Roman"/>
        </w:rPr>
        <w:t xml:space="preserve">A Dissertation Submitted in Partial Fulfillment </w:t>
      </w:r>
    </w:p>
    <w:p w14:paraId="1572FE22" w14:textId="77777777" w:rsidR="00707230" w:rsidRDefault="00707230" w:rsidP="00707230">
      <w:pPr>
        <w:jc w:val="center"/>
        <w:rPr>
          <w:rFonts w:cs="Times New Roman"/>
        </w:rPr>
      </w:pPr>
      <w:r>
        <w:rPr>
          <w:rFonts w:cs="Times New Roman"/>
        </w:rPr>
        <w:t xml:space="preserve">of the Requirements for the Degree of Doctor </w:t>
      </w:r>
    </w:p>
    <w:p w14:paraId="778C1BDD" w14:textId="77777777" w:rsidR="00707230" w:rsidRDefault="00707230" w:rsidP="00707230">
      <w:pPr>
        <w:jc w:val="center"/>
        <w:rPr>
          <w:rFonts w:cs="Times New Roman"/>
        </w:rPr>
      </w:pPr>
      <w:r>
        <w:rPr>
          <w:rFonts w:cs="Times New Roman"/>
        </w:rPr>
        <w:t>of Philosophy</w:t>
      </w:r>
    </w:p>
    <w:p w14:paraId="5515F25B" w14:textId="77777777" w:rsidR="00707230" w:rsidRDefault="00707230" w:rsidP="00707230">
      <w:pPr>
        <w:jc w:val="center"/>
        <w:rPr>
          <w:rFonts w:cs="Times New Roman"/>
        </w:rPr>
      </w:pPr>
    </w:p>
    <w:p w14:paraId="45FF7DAD" w14:textId="77777777" w:rsidR="00707230" w:rsidRDefault="00707230" w:rsidP="00707230">
      <w:pPr>
        <w:jc w:val="center"/>
        <w:rPr>
          <w:rFonts w:cs="Times New Roman"/>
        </w:rPr>
      </w:pPr>
    </w:p>
    <w:p w14:paraId="75852FE9" w14:textId="77777777" w:rsidR="00707230" w:rsidRDefault="00707230" w:rsidP="00707230">
      <w:pPr>
        <w:jc w:val="center"/>
        <w:rPr>
          <w:rFonts w:cs="Times New Roman"/>
        </w:rPr>
      </w:pPr>
    </w:p>
    <w:p w14:paraId="118BE439" w14:textId="77777777" w:rsidR="00707230" w:rsidRDefault="00707230" w:rsidP="00707230">
      <w:pPr>
        <w:jc w:val="center"/>
        <w:rPr>
          <w:rFonts w:cs="Times New Roman"/>
        </w:rPr>
      </w:pPr>
    </w:p>
    <w:p w14:paraId="3EBF2BCF" w14:textId="77777777" w:rsidR="00707230" w:rsidRDefault="006A32F4" w:rsidP="00707230">
      <w:pPr>
        <w:jc w:val="center"/>
        <w:rPr>
          <w:rFonts w:cs="Times New Roman"/>
        </w:rPr>
      </w:pPr>
      <w:r>
        <w:rPr>
          <w:rFonts w:cs="Times New Roman"/>
        </w:rPr>
        <w:t>Omega</w:t>
      </w:r>
      <w:r w:rsidR="00707230">
        <w:rPr>
          <w:rFonts w:cs="Times New Roman"/>
        </w:rPr>
        <w:t xml:space="preserve"> Graduate School</w:t>
      </w:r>
    </w:p>
    <w:p w14:paraId="47007A84" w14:textId="77777777" w:rsidR="003D7218" w:rsidRDefault="00707230" w:rsidP="00707230">
      <w:pPr>
        <w:jc w:val="center"/>
        <w:rPr>
          <w:rFonts w:cs="Times New Roman"/>
        </w:rPr>
      </w:pPr>
      <w:r>
        <w:rPr>
          <w:rFonts w:cs="Times New Roman"/>
        </w:rPr>
        <w:t>Graduation Date</w:t>
      </w:r>
    </w:p>
    <w:p w14:paraId="7868FD61" w14:textId="77777777" w:rsidR="003D7218" w:rsidRDefault="003D7218">
      <w:pPr>
        <w:rPr>
          <w:rFonts w:cs="Times New Roman"/>
        </w:rPr>
      </w:pPr>
      <w:r>
        <w:rPr>
          <w:rFonts w:cs="Times New Roman"/>
        </w:rPr>
        <w:br w:type="page"/>
      </w:r>
    </w:p>
    <w:p w14:paraId="579037F3" w14:textId="5ECC97D0" w:rsidR="00635AE6" w:rsidRDefault="00635AE6" w:rsidP="00635AE6">
      <w:pPr>
        <w:pStyle w:val="APALevel1"/>
      </w:pPr>
      <w:r w:rsidRPr="008F51AE">
        <w:lastRenderedPageBreak/>
        <w:t xml:space="preserve">THE RELATIONSHIP BETWEEN SPIRITUAL </w:t>
      </w:r>
      <w:r w:rsidR="00B92DA4">
        <w:t>ENGAGEMENT</w:t>
      </w:r>
      <w:r w:rsidRPr="008F51AE">
        <w:t xml:space="preserve"> AND </w:t>
      </w:r>
      <w:r w:rsidR="00485E6C">
        <w:t>THE NEED FOR RECOVERY FROM WORK</w:t>
      </w:r>
      <w:r w:rsidRPr="008F51AE">
        <w:t xml:space="preserve"> AMONG ADJUNCT FACULTY AT ONLINE COLLEGES</w:t>
      </w:r>
    </w:p>
    <w:p w14:paraId="10801592" w14:textId="77777777" w:rsidR="00635AE6" w:rsidRDefault="00635AE6" w:rsidP="00635AE6">
      <w:pPr>
        <w:pStyle w:val="APALevel1"/>
      </w:pPr>
    </w:p>
    <w:p w14:paraId="481B963A" w14:textId="77777777" w:rsidR="00635AE6" w:rsidRDefault="00635AE6" w:rsidP="00635AE6">
      <w:pPr>
        <w:pStyle w:val="APALevel1"/>
      </w:pPr>
    </w:p>
    <w:p w14:paraId="10C27BAE" w14:textId="6D7C5A5D" w:rsidR="009E01E5" w:rsidRPr="00635AE6" w:rsidRDefault="00B674DA" w:rsidP="00CF6BE7">
      <w:pPr>
        <w:jc w:val="center"/>
      </w:pPr>
      <w:r>
        <w:t>David P. Moser</w:t>
      </w:r>
    </w:p>
    <w:p w14:paraId="100F86A0" w14:textId="77777777" w:rsidR="00707230" w:rsidRDefault="00707230" w:rsidP="009E01E5">
      <w:pPr>
        <w:jc w:val="center"/>
        <w:rPr>
          <w:rFonts w:cs="Times New Roman"/>
        </w:rPr>
      </w:pPr>
    </w:p>
    <w:p w14:paraId="3EAC5562" w14:textId="77777777" w:rsidR="009E01E5" w:rsidRDefault="009E01E5" w:rsidP="009E01E5">
      <w:pPr>
        <w:jc w:val="center"/>
        <w:rPr>
          <w:rFonts w:cs="Times New Roman"/>
        </w:rPr>
      </w:pPr>
    </w:p>
    <w:p w14:paraId="74545F59" w14:textId="77777777" w:rsidR="009E01E5" w:rsidRDefault="009E01E5" w:rsidP="009E01E5">
      <w:pPr>
        <w:jc w:val="center"/>
        <w:rPr>
          <w:rFonts w:cs="Times New Roman"/>
        </w:rPr>
      </w:pPr>
      <w:r>
        <w:rPr>
          <w:rFonts w:cs="Times New Roman"/>
        </w:rPr>
        <w:t xml:space="preserve">A Dissertation Submitted in Partial Fulfillment </w:t>
      </w:r>
    </w:p>
    <w:p w14:paraId="63DAD5DC" w14:textId="77777777" w:rsidR="009E01E5" w:rsidRDefault="009E01E5" w:rsidP="009E01E5">
      <w:pPr>
        <w:jc w:val="center"/>
        <w:rPr>
          <w:rFonts w:cs="Times New Roman"/>
        </w:rPr>
      </w:pPr>
      <w:r>
        <w:rPr>
          <w:rFonts w:cs="Times New Roman"/>
        </w:rPr>
        <w:t xml:space="preserve">of the Requirements for the Degree of </w:t>
      </w:r>
    </w:p>
    <w:p w14:paraId="35716CBE" w14:textId="7F48BF1F" w:rsidR="009E01E5" w:rsidRDefault="009E01E5" w:rsidP="00635AE6">
      <w:pPr>
        <w:jc w:val="center"/>
        <w:rPr>
          <w:rFonts w:cs="Times New Roman"/>
        </w:rPr>
      </w:pPr>
      <w:r>
        <w:rPr>
          <w:rFonts w:cs="Times New Roman"/>
        </w:rPr>
        <w:t>Doctor of Philosophy</w:t>
      </w:r>
    </w:p>
    <w:p w14:paraId="5B658891" w14:textId="77777777" w:rsidR="009E01E5" w:rsidRDefault="009E01E5" w:rsidP="009E01E5">
      <w:pPr>
        <w:jc w:val="center"/>
        <w:rPr>
          <w:rFonts w:cs="Times New Roman"/>
        </w:rPr>
      </w:pPr>
    </w:p>
    <w:p w14:paraId="613510D2" w14:textId="77777777" w:rsidR="009E01E5" w:rsidRDefault="006A32F4" w:rsidP="009E01E5">
      <w:pPr>
        <w:jc w:val="center"/>
        <w:rPr>
          <w:rFonts w:cs="Times New Roman"/>
        </w:rPr>
      </w:pPr>
      <w:r>
        <w:rPr>
          <w:rFonts w:cs="Times New Roman"/>
        </w:rPr>
        <w:t>Omega</w:t>
      </w:r>
      <w:r w:rsidR="009E01E5">
        <w:rPr>
          <w:rFonts w:cs="Times New Roman"/>
        </w:rPr>
        <w:t xml:space="preserve"> Graduate School</w:t>
      </w:r>
    </w:p>
    <w:p w14:paraId="0E53C052" w14:textId="77777777" w:rsidR="00CF6BE7" w:rsidRDefault="00CF6BE7" w:rsidP="00635AE6">
      <w:pPr>
        <w:jc w:val="center"/>
        <w:rPr>
          <w:rFonts w:cs="Times New Roman"/>
        </w:rPr>
      </w:pPr>
    </w:p>
    <w:p w14:paraId="5F955E39" w14:textId="4AD2FC6E" w:rsidR="009E01E5" w:rsidRDefault="00DB0BC8" w:rsidP="00635AE6">
      <w:pPr>
        <w:jc w:val="center"/>
        <w:rPr>
          <w:rFonts w:cs="Times New Roman"/>
        </w:rPr>
      </w:pPr>
      <w:r>
        <w:rPr>
          <w:rFonts w:cs="Times New Roman"/>
        </w:rPr>
        <w:t>Month Year</w:t>
      </w:r>
    </w:p>
    <w:p w14:paraId="004C903F" w14:textId="77777777" w:rsidR="009E01E5" w:rsidRDefault="009E01E5" w:rsidP="009E01E5">
      <w:pPr>
        <w:jc w:val="center"/>
        <w:rPr>
          <w:rFonts w:cs="Times New Roman"/>
        </w:rPr>
      </w:pPr>
    </w:p>
    <w:p w14:paraId="144664B5" w14:textId="77777777" w:rsidR="009E01E5" w:rsidRDefault="009E01E5" w:rsidP="009E01E5">
      <w:pPr>
        <w:jc w:val="center"/>
        <w:rPr>
          <w:rFonts w:cs="Times New Roman"/>
        </w:rPr>
      </w:pPr>
      <w:r>
        <w:rPr>
          <w:rFonts w:cs="Times New Roman"/>
        </w:rPr>
        <w:t>Dissertation Committee:</w:t>
      </w:r>
    </w:p>
    <w:p w14:paraId="7ED5B8E1" w14:textId="77777777" w:rsidR="00CF6BE7" w:rsidRPr="00635AE6" w:rsidRDefault="00CF6BE7" w:rsidP="00635AE6">
      <w:pPr>
        <w:jc w:val="center"/>
        <w:rPr>
          <w:rFonts w:cs="Times New Roman"/>
        </w:rPr>
      </w:pPr>
    </w:p>
    <w:p w14:paraId="4BCE97BB" w14:textId="77777777" w:rsidR="009E01E5" w:rsidRDefault="009E01E5" w:rsidP="009E01E5">
      <w:pPr>
        <w:pStyle w:val="CenteredTextSingleSpace"/>
      </w:pPr>
      <w:r>
        <w:t>Copyright 20</w:t>
      </w:r>
      <w:r w:rsidR="00B92A2E">
        <w:t>2</w:t>
      </w:r>
      <w:r w:rsidR="00742571">
        <w:t>2</w:t>
      </w:r>
      <w:r>
        <w:t xml:space="preserve"> by </w:t>
      </w:r>
      <w:r w:rsidR="00BF24BF">
        <w:t>David P. Moser</w:t>
      </w:r>
      <w:r>
        <w:t>. All rights reserved.</w:t>
      </w:r>
    </w:p>
    <w:p w14:paraId="40E94BC7" w14:textId="77777777" w:rsidR="002E5812" w:rsidRDefault="002E5812">
      <w:pPr>
        <w:rPr>
          <w:rFonts w:eastAsia="Times New Roman" w:cs="Times New Roman"/>
        </w:rPr>
      </w:pPr>
      <w:r>
        <w:br w:type="page"/>
      </w:r>
    </w:p>
    <w:p w14:paraId="510CF40C" w14:textId="77777777" w:rsidR="009E01E5" w:rsidRPr="0039613A" w:rsidRDefault="009E01E5" w:rsidP="009258A7">
      <w:pPr>
        <w:pStyle w:val="APALevel1"/>
      </w:pPr>
      <w:bookmarkStart w:id="0" w:name="_Toc486409221"/>
      <w:r w:rsidRPr="0039613A">
        <w:lastRenderedPageBreak/>
        <w:t>ABSTRACT</w:t>
      </w:r>
      <w:bookmarkEnd w:id="0"/>
    </w:p>
    <w:p w14:paraId="78FB59A1" w14:textId="4922536E"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completed research, so it is never part of a proposal.</w:t>
      </w:r>
      <w:r w:rsidR="0094266A">
        <w:t xml:space="preserve"> </w:t>
      </w:r>
      <w:r w:rsidRPr="00707230">
        <w:t>An abstract includes: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3AA71495" w:rsidR="00707230" w:rsidRPr="00707230" w:rsidRDefault="00707230" w:rsidP="00707230">
      <w:pPr>
        <w:pStyle w:val="BodyText"/>
      </w:pPr>
      <w:r w:rsidRPr="00707230">
        <w:t>Decide what will be of most value to your reader. If it were a s</w:t>
      </w:r>
      <w:r>
        <w:t>ports story, you</w:t>
      </w:r>
      <w:r w:rsidR="00766033">
        <w:t>'</w:t>
      </w:r>
      <w:r>
        <w:t xml:space="preserve">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w:t>
      </w:r>
      <w:r w:rsidR="00766033">
        <w:t>'</w:t>
      </w:r>
      <w:r w:rsidRPr="00707230">
        <w:t>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eastAsia="Times New Roman" w:cs="Times New Roman"/>
        </w:rPr>
      </w:pPr>
      <w:r>
        <w:br w:type="page"/>
      </w:r>
    </w:p>
    <w:p w14:paraId="387F105E" w14:textId="77777777" w:rsidR="00707230" w:rsidRPr="00586CDB" w:rsidRDefault="00707230" w:rsidP="009258A7">
      <w:pPr>
        <w:pStyle w:val="APALevel1"/>
      </w:pPr>
      <w:bookmarkStart w:id="1" w:name="_Toc486409222"/>
      <w:r w:rsidRPr="00586CDB">
        <w:lastRenderedPageBreak/>
        <w:t>DEDICATION [Optional]</w:t>
      </w:r>
      <w:bookmarkEnd w:id="1"/>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8"/>
          <w:footerReference w:type="even" r:id="rId9"/>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2" w:name="_Toc486409223"/>
      <w:r w:rsidRPr="0039613A">
        <w:lastRenderedPageBreak/>
        <w:t>ACKNOWLEDGEMENTS</w:t>
      </w:r>
      <w:r>
        <w:t xml:space="preserve"> [Optional]</w:t>
      </w:r>
      <w:bookmarkEnd w:id="2"/>
    </w:p>
    <w:p w14:paraId="042E86E6" w14:textId="7FA8EAA5" w:rsidR="009E01E5" w:rsidRDefault="00C8403D" w:rsidP="009E01E5">
      <w:pPr>
        <w:pStyle w:val="BodyText"/>
      </w:pPr>
      <w:r w:rsidRPr="00C8403D">
        <w:t xml:space="preserve">Acknowledgments are short and vivid like thank </w:t>
      </w:r>
      <w:r w:rsidR="0094266A" w:rsidRPr="00C8403D">
        <w:t>you</w:t>
      </w:r>
      <w:r w:rsidR="00766033">
        <w:t>'</w:t>
      </w:r>
      <w:r w:rsidR="0094266A">
        <w:t xml:space="preserve">s </w:t>
      </w:r>
      <w:r w:rsidRPr="00C8403D">
        <w:t>at the Academy Awards but more sincere.</w:t>
      </w:r>
      <w:r w:rsidR="00246182">
        <w:t xml:space="preserve"> </w:t>
      </w:r>
      <w:r w:rsidRPr="00C8403D">
        <w:t>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0"/>
          <w:headerReference w:type="default" r:id="rId11"/>
          <w:footerReference w:type="even" r:id="rId12"/>
          <w:footerReference w:type="default" r:id="rId13"/>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3" w:name="_Toc486409224"/>
      <w:r w:rsidRPr="00586CDB">
        <w:lastRenderedPageBreak/>
        <w:t>EPIGRAPH [Optional]</w:t>
      </w:r>
      <w:bookmarkEnd w:id="3"/>
    </w:p>
    <w:p w14:paraId="3857F4BD" w14:textId="77777777" w:rsidR="009E01E5" w:rsidRPr="00C8403D" w:rsidRDefault="00707230" w:rsidP="00707230">
      <w:pPr>
        <w:pStyle w:val="CenteredTextSingleSpace"/>
        <w:jc w:val="left"/>
        <w:rPr>
          <w:rFonts w:eastAsiaTheme="minorEastAsia"/>
        </w:rPr>
      </w:pPr>
      <w:r>
        <w:rPr>
          <w:rFonts w:eastAsiaTheme="minorEastAsia"/>
          <w:sz w:val="23"/>
          <w:szCs w:val="23"/>
        </w:rPr>
        <w:tab/>
      </w:r>
      <w:r w:rsidR="00C8403D" w:rsidRPr="00C8403D">
        <w:rPr>
          <w:rFonts w:eastAsiaTheme="minorEastAsia"/>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4"/>
          <w:headerReference w:type="default" r:id="rId15"/>
          <w:footerReference w:type="even" r:id="rId16"/>
          <w:footerReference w:type="default" r:id="rId17"/>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contextualSpacing/>
      </w:pPr>
      <w:bookmarkStart w:id="4" w:name="_Toc486409225"/>
      <w:r w:rsidRPr="0039613A">
        <w:lastRenderedPageBreak/>
        <w:t>TABLE OF CONTENTS</w:t>
      </w:r>
      <w:bookmarkEnd w:id="4"/>
    </w:p>
    <w:p w14:paraId="5DDBAA73" w14:textId="77777777" w:rsidR="006A71DE" w:rsidRDefault="009E01E5" w:rsidP="00A81B56">
      <w:pPr>
        <w:pStyle w:val="TOC1"/>
        <w:keepNext w:val="0"/>
        <w:ind w:left="0" w:firstLine="0"/>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rsidP="00A81B56">
      <w:pPr>
        <w:pStyle w:val="TOC1"/>
        <w:keepNext w:val="0"/>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rsidP="00A81B56">
      <w:pPr>
        <w:pStyle w:val="TOC1"/>
        <w:keepNext w:val="0"/>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rsidP="00A81B56">
      <w:pPr>
        <w:pStyle w:val="TOC1"/>
        <w:keepNext w:val="0"/>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rsidP="00A81B56">
      <w:pPr>
        <w:pStyle w:val="TOC1"/>
        <w:keepNext w:val="0"/>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rsidP="00A81B56">
      <w:pPr>
        <w:pStyle w:val="TOC1"/>
        <w:keepNext w:val="0"/>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rsidP="00A81B56">
      <w:pPr>
        <w:pStyle w:val="TOC1"/>
        <w:keepNext w:val="0"/>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rsidP="00A81B56">
      <w:pPr>
        <w:pStyle w:val="TOC1"/>
        <w:keepNext w:val="0"/>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rsidP="00A81B56">
      <w:pPr>
        <w:pStyle w:val="TOC2"/>
        <w:keepNext w:val="0"/>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rsidP="00A81B56">
      <w:pPr>
        <w:pStyle w:val="TOC2"/>
        <w:keepNext w:val="0"/>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rsidP="00A81B56">
      <w:pPr>
        <w:pStyle w:val="TOC2"/>
        <w:keepNext w:val="0"/>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000000" w:rsidP="00A81B56">
      <w:pPr>
        <w:pStyle w:val="TOC2"/>
        <w:keepNext w:val="0"/>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000000" w:rsidP="00A81B56">
      <w:pPr>
        <w:pStyle w:val="TOC2"/>
        <w:keepNext w:val="0"/>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rsidP="00A81B56">
      <w:pPr>
        <w:pStyle w:val="TOC2"/>
        <w:keepNext w:val="0"/>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rsidP="00A81B56">
      <w:pPr>
        <w:pStyle w:val="TOC2"/>
        <w:keepNext w:val="0"/>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rsidP="00A81B56">
      <w:pPr>
        <w:pStyle w:val="TOC2"/>
        <w:keepNext w:val="0"/>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rsidP="00A81B56">
      <w:pPr>
        <w:pStyle w:val="TOC2"/>
        <w:keepNext w:val="0"/>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rsidP="00A81B56">
      <w:pPr>
        <w:pStyle w:val="TOC1"/>
        <w:keepNext w:val="0"/>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rsidP="00A81B56">
      <w:pPr>
        <w:pStyle w:val="TOC2"/>
        <w:keepNext w:val="0"/>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rsidP="00A81B56">
      <w:pPr>
        <w:pStyle w:val="TOC2"/>
        <w:keepNext w:val="0"/>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rsidP="00A81B56">
      <w:pPr>
        <w:pStyle w:val="TOC2"/>
        <w:keepNext w:val="0"/>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rsidP="00A81B56">
      <w:pPr>
        <w:pStyle w:val="TOC1"/>
        <w:keepNext w:val="0"/>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rsidP="00A81B56">
      <w:pPr>
        <w:pStyle w:val="TOC2"/>
        <w:keepNext w:val="0"/>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rsidP="00A81B56">
      <w:pPr>
        <w:pStyle w:val="TOC2"/>
        <w:keepNext w:val="0"/>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rsidP="00A81B56">
      <w:pPr>
        <w:pStyle w:val="TOC2"/>
        <w:keepNext w:val="0"/>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rsidP="00A81B56">
      <w:pPr>
        <w:pStyle w:val="TOC2"/>
        <w:keepNext w:val="0"/>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rsidP="00A81B56">
      <w:pPr>
        <w:pStyle w:val="TOC2"/>
        <w:keepNext w:val="0"/>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rsidP="00A81B56">
      <w:pPr>
        <w:pStyle w:val="TOC2"/>
        <w:keepNext w:val="0"/>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rsidP="00A81B56">
      <w:pPr>
        <w:pStyle w:val="TOC2"/>
        <w:keepNext w:val="0"/>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rsidP="00A81B56">
      <w:pPr>
        <w:pStyle w:val="TOC2"/>
        <w:keepNext w:val="0"/>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rsidP="00A81B56">
      <w:pPr>
        <w:pStyle w:val="TOC2"/>
        <w:keepNext w:val="0"/>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rsidP="00A81B56">
      <w:pPr>
        <w:pStyle w:val="TOC1"/>
        <w:keepNext w:val="0"/>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rsidP="00A81B56">
      <w:pPr>
        <w:pStyle w:val="TOC2"/>
        <w:keepNext w:val="0"/>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rsidP="00A81B56">
      <w:pPr>
        <w:pStyle w:val="TOC2"/>
        <w:keepNext w:val="0"/>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rsidP="00A81B56">
      <w:pPr>
        <w:pStyle w:val="TOC2"/>
        <w:keepNext w:val="0"/>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rsidP="00A81B56">
      <w:pPr>
        <w:pStyle w:val="TOC2"/>
        <w:keepNext w:val="0"/>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rsidP="00A81B56">
      <w:pPr>
        <w:pStyle w:val="TOC2"/>
        <w:keepNext w:val="0"/>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rsidP="00A81B56">
      <w:pPr>
        <w:pStyle w:val="TOC2"/>
        <w:keepNext w:val="0"/>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rsidP="00A81B56">
      <w:pPr>
        <w:pStyle w:val="TOC2"/>
        <w:keepNext w:val="0"/>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rsidP="00A81B56">
      <w:pPr>
        <w:pStyle w:val="TOC2"/>
        <w:keepNext w:val="0"/>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rsidP="00A81B56">
      <w:pPr>
        <w:pStyle w:val="TOC2"/>
        <w:keepNext w:val="0"/>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rsidP="00A81B56">
      <w:pPr>
        <w:pStyle w:val="TOC1"/>
        <w:keepNext w:val="0"/>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rsidP="00A81B56">
      <w:pPr>
        <w:pStyle w:val="TOC2"/>
        <w:keepNext w:val="0"/>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rsidP="00A81B56">
      <w:pPr>
        <w:pStyle w:val="TOC1"/>
        <w:keepNext w:val="0"/>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rsidP="00A81B56">
      <w:pPr>
        <w:pStyle w:val="TOC1"/>
        <w:keepNext w:val="0"/>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rsidP="00A81B56">
      <w:pPr>
        <w:pStyle w:val="TOC1"/>
        <w:keepNext w:val="0"/>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rsidP="00A81B56">
      <w:pPr>
        <w:pStyle w:val="TOC2"/>
        <w:keepNext w:val="0"/>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rsidP="00A81B56">
      <w:pPr>
        <w:pStyle w:val="TOC1"/>
        <w:keepNext w:val="0"/>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rsidP="00A81B56">
      <w:pPr>
        <w:pStyle w:val="TOC3"/>
        <w:keepNext w:val="0"/>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fldChar w:fldCharType="end"/>
      </w:r>
    </w:p>
    <w:p w14:paraId="40C436C4" w14:textId="3F4ECB8A" w:rsidR="009E01E5" w:rsidRPr="0039613A" w:rsidRDefault="009E01E5" w:rsidP="009258A7">
      <w:pPr>
        <w:pStyle w:val="APALevel1"/>
      </w:pPr>
      <w:bookmarkStart w:id="5" w:name="List_of_Tables"/>
      <w:bookmarkStart w:id="6" w:name="_Toc267010688"/>
      <w:bookmarkStart w:id="7" w:name="_Toc486409226"/>
      <w:bookmarkEnd w:id="5"/>
      <w:r w:rsidRPr="0039613A">
        <w:t>LIST OF TABLES</w:t>
      </w:r>
      <w:bookmarkEnd w:id="6"/>
      <w:bookmarkEnd w:id="7"/>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8" w:name="_Toc267010689"/>
      <w:bookmarkStart w:id="9" w:name="_Toc486409227"/>
      <w:r w:rsidRPr="0039613A">
        <w:lastRenderedPageBreak/>
        <w:t xml:space="preserve">LIST OF </w:t>
      </w:r>
      <w:r w:rsidR="00C8403D" w:rsidRPr="0039613A">
        <w:t>FIGURES</w:t>
      </w:r>
      <w:bookmarkEnd w:id="8"/>
      <w:bookmarkEnd w:id="9"/>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8"/>
          <w:footerReference w:type="default" r:id="rId19"/>
          <w:pgSz w:w="12240" w:h="15840" w:code="1"/>
          <w:pgMar w:top="1440" w:right="1440" w:bottom="1440" w:left="2160" w:header="1440" w:footer="1440" w:gutter="0"/>
          <w:pgNumType w:fmt="lowerRoman" w:start="1"/>
          <w:cols w:space="720"/>
          <w:noEndnote/>
        </w:sectPr>
      </w:pPr>
    </w:p>
    <w:p w14:paraId="568F2205" w14:textId="2B54D769" w:rsidR="00EF5D95" w:rsidRDefault="009E01E5" w:rsidP="0094266A">
      <w:pPr>
        <w:pStyle w:val="APALevel1"/>
      </w:pPr>
      <w:bookmarkStart w:id="10" w:name="Chapter_1"/>
      <w:bookmarkStart w:id="11" w:name="_Toc267010690"/>
      <w:bookmarkStart w:id="12" w:name="_Toc486409228"/>
      <w:bookmarkEnd w:id="10"/>
      <w:r w:rsidRPr="0039613A">
        <w:lastRenderedPageBreak/>
        <w:t xml:space="preserve">CHAPTER 1: </w:t>
      </w:r>
      <w:r w:rsidR="00EF5D95" w:rsidRPr="0039613A">
        <w:t>INTRODUCTION</w:t>
      </w:r>
      <w:bookmarkEnd w:id="11"/>
      <w:bookmarkEnd w:id="12"/>
    </w:p>
    <w:p w14:paraId="4C18F348" w14:textId="7C734F27" w:rsidR="00EF5D95" w:rsidRPr="0094266A" w:rsidRDefault="001B43EB" w:rsidP="00EF5D95">
      <w:pPr>
        <w:pStyle w:val="BodyText"/>
        <w:rPr>
          <w:i/>
          <w:iCs/>
        </w:rPr>
      </w:pPr>
      <w:r>
        <w:t xml:space="preserve">Unbalanced job demands and resources can lead to work related stress and burnout among </w:t>
      </w:r>
      <w:r w:rsidR="006008ED">
        <w:t>adjunct faculty in online colleges</w:t>
      </w:r>
      <w:r w:rsidR="00CB0FB9">
        <w:t xml:space="preserve">. Helping employees access personal spiritual resources could </w:t>
      </w:r>
      <w:r w:rsidR="003C73A7">
        <w:t xml:space="preserve">increase work engagement and recovery from work. </w:t>
      </w:r>
      <w:r w:rsidR="00EF5D95" w:rsidRPr="00F77F14">
        <w:t>These issues are examined by this research. This chapter introduces the problem and its background, the context of this research, its significance, hypotheses to be tested, and assumptions about this type of research</w:t>
      </w:r>
      <w:r w:rsidR="00EF5D95" w:rsidRPr="0094266A">
        <w:rPr>
          <w:i/>
          <w:iCs/>
        </w:rPr>
        <w:t>.</w:t>
      </w:r>
    </w:p>
    <w:p w14:paraId="7439E659" w14:textId="0DF41098" w:rsidR="009E01E5" w:rsidRDefault="009E01E5" w:rsidP="009258A7">
      <w:pPr>
        <w:pStyle w:val="APALevel2"/>
      </w:pPr>
      <w:bookmarkStart w:id="13" w:name="_Toc267010692"/>
      <w:bookmarkStart w:id="14" w:name="_Toc486409230"/>
      <w:r>
        <w:t>Problem Statement</w:t>
      </w:r>
      <w:bookmarkEnd w:id="13"/>
      <w:bookmarkEnd w:id="14"/>
    </w:p>
    <w:p w14:paraId="0B43AC54" w14:textId="2F6F177E" w:rsidR="00577FFB" w:rsidRDefault="00577FFB" w:rsidP="00577FFB">
      <w:pPr>
        <w:tabs>
          <w:tab w:val="left" w:pos="720"/>
        </w:tabs>
      </w:pPr>
      <w:r>
        <w:t>It is not known if the</w:t>
      </w:r>
      <w:r w:rsidR="0072456D">
        <w:t>re is a relationship between</w:t>
      </w:r>
      <w:r>
        <w:t xml:space="preserve"> spiritual </w:t>
      </w:r>
      <w:r w:rsidR="00837394">
        <w:t>engagement</w:t>
      </w:r>
      <w:r w:rsidR="0072456D">
        <w:t xml:space="preserve"> and </w:t>
      </w:r>
      <w:r w:rsidR="00837394">
        <w:t>the need for recovery from work</w:t>
      </w:r>
      <w:r>
        <w:t xml:space="preserve"> </w:t>
      </w:r>
      <w:r w:rsidR="0072456D">
        <w:t>among adjunct faculty in online colleges</w:t>
      </w:r>
      <w:r>
        <w:t>.</w:t>
      </w:r>
    </w:p>
    <w:p w14:paraId="6C46D253" w14:textId="0967899E" w:rsidR="009E01E5" w:rsidRDefault="00EF5D95" w:rsidP="009258A7">
      <w:pPr>
        <w:pStyle w:val="APALevel2"/>
      </w:pPr>
      <w:bookmarkStart w:id="15" w:name="_Toc486409231"/>
      <w:r>
        <w:t>Background of the Problem</w:t>
      </w:r>
      <w:bookmarkEnd w:id="15"/>
    </w:p>
    <w:p w14:paraId="65CAEB71" w14:textId="49FB6EED" w:rsidR="00B03470" w:rsidRDefault="00B03470" w:rsidP="00B03470">
      <w:pPr>
        <w:tabs>
          <w:tab w:val="left" w:pos="720"/>
        </w:tabs>
        <w:ind w:firstLine="0"/>
      </w:pPr>
      <w:bookmarkStart w:id="16" w:name="_Toc486409232"/>
      <w:r>
        <w:tab/>
        <w:t xml:space="preserve">The gap in the literature exists among Christian social researchers studying the effects of </w:t>
      </w:r>
      <w:r w:rsidR="00837394">
        <w:t>spiritual engagement</w:t>
      </w:r>
      <w:r>
        <w:t xml:space="preserve"> on non-ministerial professions. A handful of research exists on these constructs among pastors and ministers. However, the same research questions are not being conducted for </w:t>
      </w:r>
      <w:r w:rsidR="00E27F6B">
        <w:t>adjunct faculty in online colleges</w:t>
      </w:r>
      <w:r>
        <w:t xml:space="preserve">. Not only is there a significant gap in empirical research, but Christian social researchers are not integrating faith into the workplace, leaving many Christian individuals to rely on resources built on </w:t>
      </w:r>
      <w:r w:rsidR="008D773F">
        <w:t xml:space="preserve">incompatible </w:t>
      </w:r>
      <w:r>
        <w:t>worldviews</w:t>
      </w:r>
      <w:r w:rsidR="008D773F">
        <w:t xml:space="preserve"> such as </w:t>
      </w:r>
      <w:r w:rsidR="00ED21D3">
        <w:t>atheism</w:t>
      </w:r>
      <w:r w:rsidR="008D773F">
        <w:t xml:space="preserve">, </w:t>
      </w:r>
      <w:r w:rsidR="00ED21D3">
        <w:t>humanism</w:t>
      </w:r>
      <w:r w:rsidR="008D773F">
        <w:t xml:space="preserve">, or </w:t>
      </w:r>
      <w:r w:rsidR="00ED21D3">
        <w:t>pantheism</w:t>
      </w:r>
      <w:r>
        <w:t xml:space="preserve">. </w:t>
      </w:r>
    </w:p>
    <w:p w14:paraId="34B74304" w14:textId="714F0535" w:rsidR="00B03470" w:rsidRDefault="00B03470" w:rsidP="00B03470">
      <w:pPr>
        <w:tabs>
          <w:tab w:val="left" w:pos="720"/>
        </w:tabs>
        <w:ind w:firstLine="0"/>
      </w:pPr>
      <w:r>
        <w:tab/>
        <w:t>Non-Christian scholars have built an extensive research base over the past four decades addressing work engagement, recovery</w:t>
      </w:r>
      <w:r w:rsidR="00596653">
        <w:t xml:space="preserve"> from work</w:t>
      </w:r>
      <w:r>
        <w:t xml:space="preserve">, stress, and burnout. There are two primary worldview perspectives that the current research established. First, a humanistic worldview limits the employee resources and work demands to material </w:t>
      </w:r>
      <w:r w:rsidR="00B831A1">
        <w:t>objects</w:t>
      </w:r>
      <w:r w:rsidR="00FF4CA1">
        <w:t xml:space="preserve"> such as compensation, promotion, and </w:t>
      </w:r>
      <w:r w:rsidR="007F1BB4">
        <w:t>benefits,</w:t>
      </w:r>
      <w:r w:rsidR="00B831A1">
        <w:t xml:space="preserve"> </w:t>
      </w:r>
      <w:r w:rsidR="00397387">
        <w:t>or</w:t>
      </w:r>
      <w:r>
        <w:t xml:space="preserve"> temporal </w:t>
      </w:r>
      <w:r w:rsidR="00B831A1">
        <w:t>circumstances</w:t>
      </w:r>
      <w:r>
        <w:t xml:space="preserve"> such </w:t>
      </w:r>
      <w:r>
        <w:lastRenderedPageBreak/>
        <w:t>as</w:t>
      </w:r>
      <w:r w:rsidR="007F1BB4">
        <w:t xml:space="preserve"> </w:t>
      </w:r>
      <w:r>
        <w:t>supervisor feedback, environmental pressures, emotional demands, etc. Within the humanistic framework, there is no acknowledgment of spiritual resources available for the employee to mitigate work-related stress and burnout. Employers and employees are relegated to negotiat</w:t>
      </w:r>
      <w:r w:rsidR="00E32DFB">
        <w:t>e</w:t>
      </w:r>
      <w:r>
        <w:t xml:space="preserve"> between material, tangible resources, and demands to improve work engagement and productivity. Pantheism is a second existing worldview with research support in the field of employee work engagement. Several studies have demonstrated the positive effects of mindfulness on relieving work-related stress and increasing work engagement. </w:t>
      </w:r>
    </w:p>
    <w:p w14:paraId="15FF4F03" w14:textId="5BDCCA74" w:rsidR="00221FFE" w:rsidRDefault="00EF5D95" w:rsidP="009258A7">
      <w:pPr>
        <w:pStyle w:val="APALevel2"/>
      </w:pPr>
      <w:r w:rsidRPr="00613591">
        <w:t>Setting of this Research</w:t>
      </w:r>
      <w:bookmarkEnd w:id="16"/>
    </w:p>
    <w:p w14:paraId="65AEC7A3" w14:textId="350AE42E" w:rsidR="00221FFE" w:rsidRPr="00AA013F" w:rsidRDefault="00221FFE" w:rsidP="003564AC">
      <w:pPr>
        <w:pStyle w:val="BodyText"/>
        <w:keepNext w:val="0"/>
        <w:keepLines/>
        <w:rPr>
          <w:iCs/>
        </w:rPr>
      </w:pPr>
      <w:bookmarkStart w:id="17" w:name="_Toc486409233"/>
      <w:bookmarkStart w:id="18" w:name="_Toc259446897"/>
      <w:r w:rsidRPr="00EE4BEE">
        <w:rPr>
          <w:i/>
        </w:rPr>
        <w:t>Move from historical and demographic generalizations to more specific identification of the local expression of the problem where you will study it. Where is it?</w:t>
      </w:r>
      <w:r w:rsidR="009144F2">
        <w:rPr>
          <w:i/>
        </w:rPr>
        <w:t xml:space="preserve"> </w:t>
      </w:r>
      <w:r w:rsidRPr="00EE4BEE">
        <w:rPr>
          <w:i/>
        </w:rPr>
        <w:t>How many people are affected in that area? How are they affected? How do you have access to these people?</w:t>
      </w:r>
      <w:r>
        <w:rPr>
          <w:i/>
        </w:rPr>
        <w:t xml:space="preserve"> </w:t>
      </w:r>
    </w:p>
    <w:p w14:paraId="32979E16" w14:textId="2E99F657" w:rsidR="009E01E5" w:rsidRDefault="00451E7C" w:rsidP="003564AC">
      <w:pPr>
        <w:pStyle w:val="APALevel2"/>
        <w:keepNext w:val="0"/>
        <w:keepLines w:val="0"/>
      </w:pPr>
      <w:r>
        <w:t>Thesis Statement</w:t>
      </w:r>
      <w:bookmarkEnd w:id="17"/>
    </w:p>
    <w:p w14:paraId="6C8616D9" w14:textId="2D036FC6" w:rsidR="00D10800" w:rsidRPr="00D10800" w:rsidRDefault="0072456D" w:rsidP="003564AC">
      <w:pPr>
        <w:pStyle w:val="BodyText"/>
        <w:keepNext w:val="0"/>
        <w:rPr>
          <w:iCs/>
        </w:rPr>
      </w:pPr>
      <w:r>
        <w:rPr>
          <w:iCs/>
        </w:rPr>
        <w:t xml:space="preserve">This quantitative correlational study will </w:t>
      </w:r>
      <w:r w:rsidR="00937688">
        <w:rPr>
          <w:iCs/>
        </w:rPr>
        <w:t>investigate</w:t>
      </w:r>
      <w:r>
        <w:rPr>
          <w:iCs/>
        </w:rPr>
        <w:t xml:space="preserve"> the relationship s</w:t>
      </w:r>
      <w:r w:rsidR="00AC7477">
        <w:rPr>
          <w:iCs/>
        </w:rPr>
        <w:t xml:space="preserve">piritual </w:t>
      </w:r>
      <w:r w:rsidR="00166B01">
        <w:rPr>
          <w:iCs/>
        </w:rPr>
        <w:t>engagement</w:t>
      </w:r>
      <w:r w:rsidR="0029428F">
        <w:rPr>
          <w:iCs/>
        </w:rPr>
        <w:t xml:space="preserve"> </w:t>
      </w:r>
      <w:r>
        <w:rPr>
          <w:iCs/>
        </w:rPr>
        <w:t xml:space="preserve">and </w:t>
      </w:r>
      <w:r w:rsidR="00166B01">
        <w:rPr>
          <w:iCs/>
        </w:rPr>
        <w:t xml:space="preserve">the need for </w:t>
      </w:r>
      <w:r>
        <w:rPr>
          <w:iCs/>
        </w:rPr>
        <w:t>recovery from work among adjunct faculty in online colleges</w:t>
      </w:r>
      <w:r w:rsidR="008F7F72">
        <w:rPr>
          <w:iCs/>
        </w:rPr>
        <w:t>.</w:t>
      </w:r>
    </w:p>
    <w:p w14:paraId="7D9878F2" w14:textId="50B10EBA" w:rsidR="009E01E5" w:rsidRDefault="009F1810" w:rsidP="003564AC">
      <w:pPr>
        <w:pStyle w:val="APALevel2"/>
        <w:keepNext w:val="0"/>
      </w:pPr>
      <w:bookmarkStart w:id="19" w:name="_Toc486409234"/>
      <w:bookmarkEnd w:id="18"/>
      <w:r>
        <w:t>Null</w:t>
      </w:r>
      <w:r w:rsidR="009E01E5">
        <w:t xml:space="preserve"> </w:t>
      </w:r>
      <w:r w:rsidR="00451E7C">
        <w:t>Hypothes</w:t>
      </w:r>
      <w:r w:rsidR="001A6DA4">
        <w:t>e</w:t>
      </w:r>
      <w:r w:rsidR="00451E7C">
        <w:t>s</w:t>
      </w:r>
      <w:bookmarkEnd w:id="19"/>
    </w:p>
    <w:p w14:paraId="0BBE9614" w14:textId="44A19912" w:rsidR="003A36AD" w:rsidRDefault="001A6DA4" w:rsidP="003564AC">
      <w:pPr>
        <w:keepNext w:val="0"/>
      </w:pPr>
      <w:bookmarkStart w:id="20" w:name="_Toc486409235"/>
      <w:r>
        <w:t>H</w:t>
      </w:r>
      <w:r w:rsidR="009F1810">
        <w:rPr>
          <w:vertAlign w:val="subscript"/>
        </w:rPr>
        <w:t>0</w:t>
      </w:r>
      <w:r>
        <w:t xml:space="preserve"> </w:t>
      </w:r>
      <w:r w:rsidR="003A36AD">
        <w:t xml:space="preserve">There is a </w:t>
      </w:r>
      <w:r w:rsidR="009F1810">
        <w:t xml:space="preserve">no </w:t>
      </w:r>
      <w:r w:rsidR="003A36AD">
        <w:t xml:space="preserve">statistically </w:t>
      </w:r>
      <w:r w:rsidR="0072456D">
        <w:t>significant</w:t>
      </w:r>
      <w:r w:rsidR="006504A4">
        <w:t xml:space="preserve"> correlation between </w:t>
      </w:r>
      <w:r w:rsidR="009F1810">
        <w:t>spiritual engagement and the need for recovery fro</w:t>
      </w:r>
      <w:r w:rsidR="00774A40">
        <w:t>m work among</w:t>
      </w:r>
      <w:r w:rsidR="0072456D">
        <w:t xml:space="preserve"> adjunct faculty in online colleges</w:t>
      </w:r>
      <w:r>
        <w:t>.</w:t>
      </w:r>
    </w:p>
    <w:p w14:paraId="31BC570A" w14:textId="77777777" w:rsidR="00613591" w:rsidRDefault="00613591" w:rsidP="003564AC">
      <w:pPr>
        <w:keepNext w:val="0"/>
      </w:pPr>
    </w:p>
    <w:p w14:paraId="7EDAEF24" w14:textId="77777777" w:rsidR="00613591" w:rsidRDefault="00613591" w:rsidP="003564AC">
      <w:pPr>
        <w:keepNext w:val="0"/>
      </w:pPr>
    </w:p>
    <w:p w14:paraId="3645B4B3" w14:textId="77777777" w:rsidR="00613591" w:rsidRDefault="00613591" w:rsidP="003564AC">
      <w:pPr>
        <w:keepNext w:val="0"/>
      </w:pPr>
    </w:p>
    <w:p w14:paraId="3CC48E1C" w14:textId="0CE6D2CD" w:rsidR="002D177B" w:rsidRDefault="002D177B" w:rsidP="002D177B">
      <w:pPr>
        <w:pStyle w:val="APALevel2"/>
        <w:keepNext w:val="0"/>
      </w:pPr>
      <w:r>
        <w:lastRenderedPageBreak/>
        <w:t>Alternative Hypotheses</w:t>
      </w:r>
    </w:p>
    <w:p w14:paraId="6AA3EDAE" w14:textId="5CB4DBAC" w:rsidR="001A6DA4" w:rsidRDefault="001A6DA4" w:rsidP="003564AC">
      <w:pPr>
        <w:keepNext w:val="0"/>
      </w:pPr>
      <w:r>
        <w:t>H</w:t>
      </w:r>
      <w:r w:rsidR="002D177B">
        <w:rPr>
          <w:vertAlign w:val="subscript"/>
        </w:rPr>
        <w:t>a1</w:t>
      </w:r>
      <w:r>
        <w:t xml:space="preserve"> There is a statistically </w:t>
      </w:r>
      <w:r w:rsidR="0072456D">
        <w:t xml:space="preserve">significant </w:t>
      </w:r>
      <w:r>
        <w:t xml:space="preserve">correlation between </w:t>
      </w:r>
      <w:r w:rsidR="002D177B">
        <w:t>spiritual engagement and the need for</w:t>
      </w:r>
      <w:r>
        <w:t xml:space="preserve"> recovery from work</w:t>
      </w:r>
      <w:r w:rsidR="0072456D">
        <w:t xml:space="preserve"> among adjunct faculty in online colleges</w:t>
      </w:r>
      <w:r>
        <w:t>.</w:t>
      </w:r>
    </w:p>
    <w:p w14:paraId="5D64DCA4" w14:textId="3EDEFDE2" w:rsidR="00451E7C" w:rsidRDefault="00401187" w:rsidP="009258A7">
      <w:pPr>
        <w:pStyle w:val="APALevel2"/>
      </w:pPr>
      <w:r w:rsidRPr="00613591">
        <w:t>Scope of the Research</w:t>
      </w:r>
      <w:bookmarkEnd w:id="20"/>
    </w:p>
    <w:p w14:paraId="796C9841" w14:textId="4C7D982B" w:rsidR="001D5A87" w:rsidRDefault="001D5A87" w:rsidP="001D5A87">
      <w:pPr>
        <w:rPr>
          <w:i/>
          <w:iCs/>
        </w:rPr>
      </w:pPr>
      <w:r w:rsidRPr="001D5A87">
        <w:rPr>
          <w:i/>
          <w:iCs/>
        </w:rPr>
        <w:t>The scope of your project sets clear parameters for your research. A scope statement will give basic information about the depth and breadth of the project. It tells your reader exactly what you want to find out, how you will conduct your study, the reports and deliverables that will be part of the outcome of the study, and the responsibilities of the researchers involved in the study. The extent of the scope will be a part of acknowledging any biases in the research project. Defining the scope of a project: focuses your research goals; clarifies the expectations for your research project; helps you determine potential biases in your research methodology by acknowledging the limits of your research study; and identifies the limitations of your research.</w:t>
      </w:r>
      <w:r w:rsidR="004263F7">
        <w:rPr>
          <w:i/>
          <w:iCs/>
        </w:rPr>
        <w:t xml:space="preserve"> </w:t>
      </w:r>
    </w:p>
    <w:p w14:paraId="7BDAC78D" w14:textId="497962FF" w:rsidR="004263F7" w:rsidRPr="001D5A87" w:rsidRDefault="004263F7" w:rsidP="003E3724">
      <w:pPr>
        <w:rPr>
          <w:i/>
          <w:iCs/>
        </w:rPr>
      </w:pPr>
      <w:r w:rsidRPr="004263F7">
        <w:rPr>
          <w:i/>
          <w:iCs/>
        </w:rPr>
        <w:t>Typically, the information that you need to include in the scope would cover the following:</w:t>
      </w:r>
      <w:r>
        <w:rPr>
          <w:i/>
          <w:iCs/>
        </w:rPr>
        <w:t xml:space="preserve"> </w:t>
      </w:r>
      <w:r w:rsidRPr="004263F7">
        <w:rPr>
          <w:i/>
          <w:iCs/>
        </w:rPr>
        <w:t>1. General purpose of the study</w:t>
      </w:r>
      <w:r>
        <w:rPr>
          <w:i/>
          <w:iCs/>
        </w:rPr>
        <w:t xml:space="preserve">; </w:t>
      </w:r>
      <w:r w:rsidRPr="004263F7">
        <w:rPr>
          <w:i/>
          <w:iCs/>
        </w:rPr>
        <w:t>2. The population or sample that you are studying</w:t>
      </w:r>
      <w:r>
        <w:rPr>
          <w:i/>
          <w:iCs/>
        </w:rPr>
        <w:t xml:space="preserve">; </w:t>
      </w:r>
      <w:r w:rsidRPr="004263F7">
        <w:rPr>
          <w:i/>
          <w:iCs/>
        </w:rPr>
        <w:t>3. The duration of the study</w:t>
      </w:r>
      <w:r w:rsidR="003E3724">
        <w:rPr>
          <w:i/>
          <w:iCs/>
        </w:rPr>
        <w:t xml:space="preserve">; </w:t>
      </w:r>
      <w:r w:rsidRPr="004263F7">
        <w:rPr>
          <w:i/>
          <w:iCs/>
        </w:rPr>
        <w:t>4. The topics or theories that you will discuss</w:t>
      </w:r>
      <w:r w:rsidR="003E3724">
        <w:rPr>
          <w:i/>
          <w:iCs/>
        </w:rPr>
        <w:t xml:space="preserve">; and </w:t>
      </w:r>
      <w:r w:rsidRPr="004263F7">
        <w:rPr>
          <w:i/>
          <w:iCs/>
        </w:rPr>
        <w:t>5. The geographical location covered in the study</w:t>
      </w:r>
      <w:r w:rsidR="003E3724">
        <w:rPr>
          <w:i/>
          <w:iCs/>
        </w:rPr>
        <w:t>.</w:t>
      </w:r>
    </w:p>
    <w:p w14:paraId="01715BD2" w14:textId="77777777" w:rsidR="00401187" w:rsidRDefault="00401187" w:rsidP="009258A7">
      <w:pPr>
        <w:pStyle w:val="APALevel2"/>
      </w:pPr>
      <w:bookmarkStart w:id="21" w:name="_Toc486409236"/>
      <w:r w:rsidRPr="00613591">
        <w:t>Research Assumptions</w:t>
      </w:r>
      <w:bookmarkEnd w:id="21"/>
    </w:p>
    <w:p w14:paraId="53384DB6" w14:textId="6190E27C" w:rsidR="00294E7C" w:rsidRDefault="00294E7C" w:rsidP="00294E7C">
      <w:r w:rsidRPr="00883582">
        <w:rPr>
          <w:i/>
          <w:iCs/>
        </w:rPr>
        <w:t>Assumptions are those things we take for granted in the study: statements by the researcher that certain elements of the research are understood to be true. While assumed, they should still be explicitly stated in the body of the dissertation, usually in chapter 1.</w:t>
      </w:r>
      <w:r w:rsidR="00883582" w:rsidRPr="00883582">
        <w:rPr>
          <w:i/>
          <w:iCs/>
        </w:rPr>
        <w:t xml:space="preserve"> </w:t>
      </w:r>
      <w:r w:rsidRPr="00883582">
        <w:rPr>
          <w:i/>
          <w:iCs/>
        </w:rPr>
        <w:t xml:space="preserve">Assumptions are made about (a) the theory under investigation, (b) the phenomenon under investigation, (c) the instrument, (d) the methodology, (e) the </w:t>
      </w:r>
      <w:r w:rsidRPr="00883582">
        <w:rPr>
          <w:i/>
          <w:iCs/>
        </w:rPr>
        <w:lastRenderedPageBreak/>
        <w:t>analysis, (f) the power to find significance, (g) the participants in the study, and (h) the results.</w:t>
      </w:r>
    </w:p>
    <w:p w14:paraId="053794ED" w14:textId="1F94119C" w:rsidR="00B36871" w:rsidRPr="00B36871" w:rsidRDefault="00B36871" w:rsidP="00294E7C">
      <w:r>
        <w:t>The following assumptions are made regarding this study: a) the</w:t>
      </w:r>
      <w:r w:rsidR="000524E7">
        <w:t xml:space="preserve"> closed-ended </w:t>
      </w:r>
      <w:r w:rsidR="00E42A2B">
        <w:t>Likert scale</w:t>
      </w:r>
      <w:r>
        <w:t xml:space="preserve"> instruments to be used will elicit reliable responses; b) the respondents will fully understand the questions they will be asked; c) the respondents will provide honest expressions of their knowledge; and d) the researcher will </w:t>
      </w:r>
      <w:r w:rsidR="00752C60">
        <w:t>conduct the research design and methodology in a consistent manner.</w:t>
      </w:r>
    </w:p>
    <w:p w14:paraId="74DC2B67" w14:textId="77777777" w:rsidR="00401187" w:rsidRDefault="00401187" w:rsidP="009258A7">
      <w:pPr>
        <w:pStyle w:val="APALevel2"/>
      </w:pPr>
      <w:bookmarkStart w:id="22" w:name="_Toc486409237"/>
      <w:r>
        <w:t>Significance of the Research</w:t>
      </w:r>
      <w:bookmarkEnd w:id="22"/>
    </w:p>
    <w:p w14:paraId="6D0314F6" w14:textId="615115A9" w:rsidR="00FF3159" w:rsidRPr="00FF3159" w:rsidRDefault="00FF3159" w:rsidP="00FF3159">
      <w:r w:rsidRPr="00FF3159">
        <w:t xml:space="preserve">Higher education is relying more on adjunct faculty to deliver course instruction rather than full-time tenured faculty (Murray, 2019). There is a heightened state of stress and exhaustion experienced by adjunct faculty (Han et al., 2020). Moderate to high need for recovery results in burnout which is a psychological condition that </w:t>
      </w:r>
      <w:r w:rsidR="00CF0CD2" w:rsidRPr="00FF3159">
        <w:t>is characterized</w:t>
      </w:r>
      <w:r w:rsidRPr="00FF3159">
        <w:t xml:space="preserve"> by emotional exhaustion, depersonalization, and diminished sense of personal accomplishment (Maslach et al., 2001). Focusing on spiritual engagement as a resource for employee work engagement may enable adjunct faculty </w:t>
      </w:r>
      <w:r w:rsidR="00B245EA">
        <w:t>working</w:t>
      </w:r>
      <w:r w:rsidRPr="00FF3159">
        <w:t xml:space="preserve"> in an online environment to experience recovery from work and relief from work-related stress leading to decreased burnout. Current literature focused on adjunct faculty promotes negotiating job demands and job resources to achieve job satisfaction and well-being, but there is a gap in the literature concerning spiritual engagement of adjunct faculty to reduce the need for recovery from work. Spiritual resources are a class of personal resources derived from a connection with the divine being (Hashemi et al., 2017). </w:t>
      </w:r>
      <w:r w:rsidRPr="00FF3159">
        <w:lastRenderedPageBreak/>
        <w:t>Spiritual engagement differs from workplace spirituality by focusing on individual practices rather than the overall organizational environment.</w:t>
      </w:r>
    </w:p>
    <w:p w14:paraId="545B7310" w14:textId="7818DDD4" w:rsidR="00575E55" w:rsidRPr="00575E55" w:rsidRDefault="001778AF" w:rsidP="002D0D3F">
      <w:pPr>
        <w:rPr>
          <w:b/>
          <w:bCs/>
        </w:rPr>
      </w:pPr>
      <w:r>
        <w:t xml:space="preserve"> </w:t>
      </w:r>
    </w:p>
    <w:p w14:paraId="0BFAA4CC" w14:textId="77777777" w:rsidR="009E01E5" w:rsidRPr="0039613A" w:rsidRDefault="009E01E5" w:rsidP="009258A7">
      <w:pPr>
        <w:pStyle w:val="APALevel1"/>
      </w:pPr>
      <w:r>
        <w:br w:type="page"/>
      </w:r>
      <w:bookmarkStart w:id="23" w:name="_Toc486409238"/>
      <w:r w:rsidRPr="0039613A">
        <w:lastRenderedPageBreak/>
        <w:t xml:space="preserve">CHAPTER 2: </w:t>
      </w:r>
      <w:r w:rsidR="00401187" w:rsidRPr="0039613A">
        <w:t>REVIEW OF LITERATURE</w:t>
      </w:r>
      <w:bookmarkEnd w:id="23"/>
    </w:p>
    <w:p w14:paraId="7DEFC770" w14:textId="55EB7CF2" w:rsidR="00275831" w:rsidRDefault="00275831" w:rsidP="00275831">
      <w:r>
        <w:t xml:space="preserve">A review of current literature is conducted as part of this research paper. The literature studied </w:t>
      </w:r>
      <w:r w:rsidR="00BC48F1">
        <w:t xml:space="preserve">is directly related to the thesis of this paper. The information, summarized in this chapter, helps to shape the hypothesis listed in Chapter 3. </w:t>
      </w:r>
    </w:p>
    <w:p w14:paraId="612B38C8" w14:textId="55A33B7E" w:rsidR="00C061B8" w:rsidRDefault="00C061B8" w:rsidP="00C061B8">
      <w:pPr>
        <w:pStyle w:val="APALevel2"/>
      </w:pPr>
      <w:r>
        <w:t>Sources Consulted</w:t>
      </w:r>
    </w:p>
    <w:p w14:paraId="71BAE878" w14:textId="08E393A0" w:rsidR="00C061B8" w:rsidRDefault="00C061B8" w:rsidP="00C061B8">
      <w:r>
        <w:t xml:space="preserve">The literature review </w:t>
      </w:r>
      <w:r w:rsidR="003A00B9">
        <w:t xml:space="preserve">was obtained from journals and books at the National Library of Congress, </w:t>
      </w:r>
      <w:r w:rsidR="00590F2D">
        <w:t xml:space="preserve">the </w:t>
      </w:r>
      <w:r w:rsidR="006E7A78">
        <w:t>Akron University Bierce Library</w:t>
      </w:r>
      <w:r w:rsidR="00590F2D">
        <w:t>, the Youngstown State University Maag Library, a</w:t>
      </w:r>
      <w:r w:rsidR="00EC168F">
        <w:t xml:space="preserve">nd Omega Graduate School. Systematic bibliographic searches were performed to find relevant English language, peer-reviewed, </w:t>
      </w:r>
      <w:r w:rsidR="000F06A7">
        <w:t xml:space="preserve">studies from several databases including but not limited to SAGE, Springer, </w:t>
      </w:r>
      <w:r w:rsidR="00BD3B64">
        <w:t xml:space="preserve">Science Direct, Elsevier, PsychINFO, ERIC, ProQuest, ResearchGate, </w:t>
      </w:r>
      <w:r w:rsidR="001C60C0">
        <w:t xml:space="preserve">and </w:t>
      </w:r>
      <w:r w:rsidR="00BD3B64">
        <w:t>Google Scholar</w:t>
      </w:r>
      <w:r w:rsidR="001C60C0">
        <w:t xml:space="preserve">. </w:t>
      </w:r>
    </w:p>
    <w:p w14:paraId="177945AB" w14:textId="0E5E3161" w:rsidR="001C60C0" w:rsidRDefault="001C60C0" w:rsidP="00C061B8">
      <w:r>
        <w:t>Abstracts, titles, and keywords of studies were searched using combinations of the following terms: “</w:t>
      </w:r>
      <w:r w:rsidR="00192DEA">
        <w:t>work engagement”, “spiritual resources”, “spirituality at work”, “spiritual engagement”, “adjunct faculty</w:t>
      </w:r>
      <w:r w:rsidR="0033192A">
        <w:t xml:space="preserve"> burnout”, “job resources”, “need for recovery”, “sabbath rest”</w:t>
      </w:r>
      <w:r w:rsidR="00413313">
        <w:t>.</w:t>
      </w:r>
    </w:p>
    <w:p w14:paraId="61D40F1B" w14:textId="306A6EDF" w:rsidR="00413313" w:rsidRDefault="00413313" w:rsidP="00C061B8">
      <w:r>
        <w:t>A search of article</w:t>
      </w:r>
      <w:r w:rsidR="00DF38F7">
        <w:t xml:space="preserve"> bibliographies</w:t>
      </w:r>
      <w:r>
        <w:t xml:space="preserve"> identified additional current scholarly, peer-reviewed articles</w:t>
      </w:r>
      <w:r w:rsidR="00DF38F7">
        <w:t>. Authors and other experts w</w:t>
      </w:r>
      <w:r w:rsidR="006973DF">
        <w:t>ill be</w:t>
      </w:r>
      <w:r w:rsidR="00DF38F7">
        <w:t xml:space="preserve"> contacted for unpublished studies. Interviews </w:t>
      </w:r>
      <w:r w:rsidR="006973DF">
        <w:t>will be conducted</w:t>
      </w:r>
      <w:r w:rsidR="00DF38F7">
        <w:t xml:space="preserve"> with other professional experts in </w:t>
      </w:r>
      <w:r w:rsidR="006973DF">
        <w:t>spiritual engagement practices.</w:t>
      </w:r>
    </w:p>
    <w:p w14:paraId="7BB99D32" w14:textId="21DD765D" w:rsidR="00F8313E" w:rsidRDefault="00F8313E" w:rsidP="00C061B8">
      <w:r w:rsidRPr="00F8313E">
        <w:t>The purpose of this study is to investigate the relationship between spiritual engagement and the need for recovery from work among adjunct faculy in online colleges.</w:t>
      </w:r>
      <w:r w:rsidR="007E57C9" w:rsidRPr="007E57C9">
        <w:t xml:space="preserve"> The problems is that it is unknown if there is a relationship between spiritual engagement and the need for recovery from work among adjunct faculy in online </w:t>
      </w:r>
      <w:r w:rsidR="007E57C9" w:rsidRPr="007E57C9">
        <w:lastRenderedPageBreak/>
        <w:t>colleges. This quantitative correlational study will evaluate the relationship between spiritual engagement and the need for recovery from work among adjunct faculy in online colleges.</w:t>
      </w:r>
    </w:p>
    <w:p w14:paraId="59D5EC32" w14:textId="77777777" w:rsidR="00D35FF4" w:rsidRDefault="00D35FF4" w:rsidP="00FE2175">
      <w:pPr>
        <w:pStyle w:val="APALevel2"/>
      </w:pPr>
      <w:r>
        <w:t>Historical/Conceptual Background</w:t>
      </w:r>
    </w:p>
    <w:p w14:paraId="571E53EC" w14:textId="58CF74D5" w:rsidR="000D1CBC" w:rsidRDefault="00D35FF4" w:rsidP="00DD23AC">
      <w:pPr>
        <w:pStyle w:val="APALevel3"/>
      </w:pPr>
      <w:r w:rsidRPr="00FE2175">
        <w:t>The Problem of Work</w:t>
      </w:r>
      <w:r>
        <w:t xml:space="preserve"> </w:t>
      </w:r>
    </w:p>
    <w:p w14:paraId="1FC87BDB" w14:textId="4D6FEBDA" w:rsidR="00ED23C4" w:rsidRDefault="000D1CBC" w:rsidP="005F13F4">
      <w:pPr>
        <w:tabs>
          <w:tab w:val="left" w:pos="720"/>
        </w:tabs>
        <w:ind w:firstLine="0"/>
      </w:pPr>
      <w:r>
        <w:tab/>
      </w:r>
      <w:r w:rsidR="00D860AA">
        <w:t>According to</w:t>
      </w:r>
      <w:r w:rsidR="00F86914">
        <w:t xml:space="preserve"> the</w:t>
      </w:r>
      <w:r w:rsidR="00C36647">
        <w:t xml:space="preserve"> American Psychological Association’s (</w:t>
      </w:r>
      <w:r w:rsidR="00D860AA">
        <w:t>APA</w:t>
      </w:r>
      <w:r w:rsidR="00C36647">
        <w:t>)</w:t>
      </w:r>
      <w:r w:rsidR="00D860AA">
        <w:t xml:space="preserve"> 2021 Work and Well-being Survey of 1,501 U.S. adult workers, 79% of employees had experienced work-related stress in the month before the survey. Nearly 3 in 5 employees reported negative impacts of work-related stress (APA, 2020). </w:t>
      </w:r>
      <w:r w:rsidR="00D35FF4">
        <w:t xml:space="preserve">Increased technological advancements have created a more significant strain on individual employees. The primary economic model of capitalism places an overemphasis on productivity and efficiency, often at the expense of employee well-being. Western society locates the identity and worth of the individual on their contribution to economic gain. Consumerism has become the vehicle for social status and an external marker of well-being. The </w:t>
      </w:r>
      <w:r w:rsidR="00766033">
        <w:t>'</w:t>
      </w:r>
      <w:r w:rsidR="00D35FF4">
        <w:t>Great Resignation</w:t>
      </w:r>
      <w:r w:rsidR="00766033">
        <w:t>'</w:t>
      </w:r>
      <w:r w:rsidR="00D35FF4">
        <w:t xml:space="preserve"> of 2021 initiated by the global COVID-19 pandemic is a societal reaction to the problematic working conditions of the 21</w:t>
      </w:r>
      <w:r w:rsidR="00D35FF4">
        <w:rPr>
          <w:vertAlign w:val="superscript"/>
        </w:rPr>
        <w:t>st</w:t>
      </w:r>
      <w:r w:rsidR="00D35FF4">
        <w:t xml:space="preserve"> century. Some interpret the workforce reaction as refusal to work. </w:t>
      </w:r>
      <w:r w:rsidR="00F81CA9">
        <w:t>Alternatively</w:t>
      </w:r>
      <w:r w:rsidR="00D35FF4">
        <w:t xml:space="preserve">, it may be </w:t>
      </w:r>
      <w:r w:rsidR="000A5FDE">
        <w:t>possible</w:t>
      </w:r>
      <w:r w:rsidR="00D35FF4">
        <w:t xml:space="preserve"> to classify the large-scale resignations as a reevaluation of the meaning of work for the individual in a post-pandemic era. </w:t>
      </w:r>
    </w:p>
    <w:p w14:paraId="7C05E3F2" w14:textId="7BB024F7" w:rsidR="00D015CA" w:rsidRDefault="00ED23C4" w:rsidP="005F13F4">
      <w:pPr>
        <w:tabs>
          <w:tab w:val="left" w:pos="720"/>
        </w:tabs>
        <w:ind w:firstLine="0"/>
      </w:pPr>
      <w:r>
        <w:tab/>
      </w:r>
      <w:r w:rsidRPr="00ED23C4">
        <w:t xml:space="preserve">Higher education is relying more on adjunct faculty to deliver course instruction rather than full-time tenured faculty (Murray, 2019). There is a heightened state of stress and exhaustion experienced by adjunct faculty (Han et al., 2020). Moderate to high need for recovery results in burnout which is a psychological condition that characterized by </w:t>
      </w:r>
      <w:r w:rsidRPr="00ED23C4">
        <w:lastRenderedPageBreak/>
        <w:t xml:space="preserve">emotional exhaustion, depersonalization, and diminished sense of personal accomplishment (Maslach et al., 2001). </w:t>
      </w:r>
      <w:r w:rsidR="00A20FFE">
        <w:t xml:space="preserve">Workplace conflicts have the strongest correlation to employee burnout (Danauske, Raisiene &amp; Korsakiene, 2023). </w:t>
      </w:r>
      <w:r w:rsidR="00D015CA" w:rsidRPr="0097699A">
        <w:t xml:space="preserve">Adjunct faculty </w:t>
      </w:r>
      <w:r w:rsidR="00D015CA">
        <w:t xml:space="preserve">are </w:t>
      </w:r>
      <w:r w:rsidR="00D015CA" w:rsidRPr="0097699A">
        <w:t>experiencing exhaustion, burnout and greater degrees of work-family conflict</w:t>
      </w:r>
      <w:r w:rsidR="00D015CA">
        <w:t>.</w:t>
      </w:r>
      <w:r w:rsidR="00D015CA" w:rsidRPr="0097699A">
        <w:t xml:space="preserve"> </w:t>
      </w:r>
      <w:r w:rsidR="00D015CA" w:rsidRPr="00750F83">
        <w:t>The current adjunct model also has serious human and moral costs: faculty members often live on poverty wages with no benefits, job security or career trajectory.</w:t>
      </w:r>
      <w:r w:rsidR="00D015CA">
        <w:t xml:space="preserve"> </w:t>
      </w:r>
      <w:r w:rsidR="00FB7E18">
        <w:t xml:space="preserve">The </w:t>
      </w:r>
      <w:r w:rsidR="00FB7E18" w:rsidRPr="0097699A">
        <w:t>existing</w:t>
      </w:r>
      <w:r w:rsidR="00F81CA9">
        <w:t xml:space="preserve"> domina</w:t>
      </w:r>
      <w:r w:rsidR="00445FE1">
        <w:t>nt</w:t>
      </w:r>
      <w:r w:rsidR="00FB7E18" w:rsidRPr="0097699A">
        <w:t xml:space="preserve"> </w:t>
      </w:r>
      <w:r w:rsidR="00FB7E18">
        <w:t>workplace models, Job Demand-Resources and Job Crafting,</w:t>
      </w:r>
      <w:r w:rsidR="00FB7E18" w:rsidRPr="0097699A">
        <w:t xml:space="preserve"> </w:t>
      </w:r>
      <w:r w:rsidR="00FB7E18">
        <w:t xml:space="preserve">fail to adequately integrate </w:t>
      </w:r>
      <w:r w:rsidR="00FB7E18" w:rsidRPr="0097699A">
        <w:t>spiritual engagement thus only able to offer a partial remedy</w:t>
      </w:r>
      <w:r w:rsidR="00FB7E18">
        <w:t>.</w:t>
      </w:r>
    </w:p>
    <w:p w14:paraId="18035CB1" w14:textId="089AFCAF" w:rsidR="00BC0A38" w:rsidRDefault="00D015CA" w:rsidP="00BC0A38">
      <w:pPr>
        <w:keepNext w:val="0"/>
        <w:tabs>
          <w:tab w:val="left" w:pos="720"/>
        </w:tabs>
        <w:ind w:firstLine="0"/>
      </w:pPr>
      <w:r>
        <w:tab/>
      </w:r>
      <w:r w:rsidR="00ED23C4" w:rsidRPr="00ED23C4">
        <w:t>Focusing on spiritual engagement as a resource for employee work engagement may enable adjunct faculty teaching in an online environment to experience recovery from work and relief from work-related stress leading to decreased burnout. Current literature focused on adjunct faculty promotes negotiating job demands and job resources to achieve job satisfaction and well-being, but there is a gap in the literature concerning spiritual engagement of adjunct faculty to reduce the need for recovery from work. Spiritual resources are a class of personal resources derived from a connection with the divine being (Hashemi et al., 2017). Spiritual engagement differs from workplace spirituality by focusing on individual practices rather than the overall organizational environment.</w:t>
      </w:r>
      <w:r w:rsidR="00ED23C4">
        <w:t xml:space="preserve"> </w:t>
      </w:r>
    </w:p>
    <w:p w14:paraId="79EC58B1" w14:textId="29C206E4" w:rsidR="000D1CBC" w:rsidRDefault="00D35FF4" w:rsidP="00D26E30">
      <w:pPr>
        <w:pStyle w:val="APALevel3"/>
      </w:pPr>
      <w:r>
        <w:lastRenderedPageBreak/>
        <w:t xml:space="preserve">Motivation Theory in the Workplace </w:t>
      </w:r>
    </w:p>
    <w:p w14:paraId="70FB8AB7" w14:textId="0A9AE4F9" w:rsidR="00D35FF4" w:rsidRPr="00596481" w:rsidRDefault="00596481" w:rsidP="000D1CBC">
      <w:pPr>
        <w:pStyle w:val="APALevel3"/>
        <w:ind w:firstLine="720"/>
        <w:rPr>
          <w:b w:val="0"/>
          <w:bCs/>
          <w:i w:val="0"/>
          <w:iCs w:val="0"/>
        </w:rPr>
      </w:pPr>
      <w:r w:rsidRPr="00915863">
        <w:rPr>
          <w:b w:val="0"/>
          <w:bCs/>
          <w:i w:val="0"/>
          <w:iCs w:val="0"/>
        </w:rPr>
        <w:t xml:space="preserve">Several motivation theories </w:t>
      </w:r>
      <w:r w:rsidR="00F4392A" w:rsidRPr="00915863">
        <w:rPr>
          <w:b w:val="0"/>
          <w:bCs/>
          <w:i w:val="0"/>
          <w:iCs w:val="0"/>
        </w:rPr>
        <w:t xml:space="preserve">within organizational psychology inform </w:t>
      </w:r>
      <w:r w:rsidR="00B02991">
        <w:rPr>
          <w:b w:val="0"/>
          <w:bCs/>
          <w:i w:val="0"/>
          <w:iCs w:val="0"/>
        </w:rPr>
        <w:t>workplace management</w:t>
      </w:r>
      <w:r w:rsidR="00F84D9F" w:rsidRPr="00915863">
        <w:rPr>
          <w:b w:val="0"/>
          <w:bCs/>
          <w:i w:val="0"/>
          <w:iCs w:val="0"/>
        </w:rPr>
        <w:t>. Each motivation theory is built on</w:t>
      </w:r>
      <w:r w:rsidR="00F84D9F">
        <w:rPr>
          <w:b w:val="0"/>
          <w:bCs/>
          <w:i w:val="0"/>
          <w:iCs w:val="0"/>
        </w:rPr>
        <w:t xml:space="preserve"> prior assumptions of general human behavior</w:t>
      </w:r>
      <w:r w:rsidR="00E41EFD">
        <w:rPr>
          <w:b w:val="0"/>
          <w:bCs/>
          <w:i w:val="0"/>
          <w:iCs w:val="0"/>
        </w:rPr>
        <w:t>. This chapter examines the dominant</w:t>
      </w:r>
      <w:r w:rsidR="004F30AC">
        <w:rPr>
          <w:b w:val="0"/>
          <w:bCs/>
          <w:i w:val="0"/>
          <w:iCs w:val="0"/>
        </w:rPr>
        <w:t xml:space="preserve"> workplace motivation </w:t>
      </w:r>
      <w:r w:rsidR="00E41EFD">
        <w:rPr>
          <w:b w:val="0"/>
          <w:bCs/>
          <w:i w:val="0"/>
          <w:iCs w:val="0"/>
        </w:rPr>
        <w:t>theories</w:t>
      </w:r>
      <w:r w:rsidR="004F30AC">
        <w:rPr>
          <w:b w:val="0"/>
          <w:bCs/>
          <w:i w:val="0"/>
          <w:iCs w:val="0"/>
        </w:rPr>
        <w:t>.</w:t>
      </w:r>
      <w:r w:rsidR="00E41EFD">
        <w:rPr>
          <w:b w:val="0"/>
          <w:bCs/>
          <w:i w:val="0"/>
          <w:iCs w:val="0"/>
        </w:rPr>
        <w:t xml:space="preserve"> </w:t>
      </w:r>
    </w:p>
    <w:p w14:paraId="7D058B28" w14:textId="687E4501" w:rsidR="00D35FF4" w:rsidRDefault="00D35FF4" w:rsidP="00D35FF4">
      <w:pPr>
        <w:tabs>
          <w:tab w:val="left" w:pos="720"/>
        </w:tabs>
      </w:pPr>
      <w:r w:rsidRPr="00AF52EE">
        <w:rPr>
          <w:b/>
          <w:bCs/>
        </w:rPr>
        <w:t>Hobfoll</w:t>
      </w:r>
      <w:r w:rsidR="00766033">
        <w:rPr>
          <w:b/>
          <w:bCs/>
        </w:rPr>
        <w:t>'</w:t>
      </w:r>
      <w:r w:rsidRPr="00AF52EE">
        <w:rPr>
          <w:b/>
          <w:bCs/>
        </w:rPr>
        <w:t>s Conservation of Resources Theory.</w:t>
      </w:r>
      <w:r>
        <w:t xml:space="preserve"> In general, employees inherently seek to maintain resources and prevent loss. Employees experiencing high strain have decreased job satisfaction and increased likelihood of burnout or turnover. Hobfoll</w:t>
      </w:r>
      <w:r w:rsidR="00766033">
        <w:t>'</w:t>
      </w:r>
      <w:r>
        <w:t xml:space="preserve">s conservation of resources theory (1989) explains why individuals seek resources and respond when resources are threatened. </w:t>
      </w:r>
      <w:r w:rsidR="00DD68F1">
        <w:t xml:space="preserve">Conservation of </w:t>
      </w:r>
      <w:r w:rsidR="001E3F36">
        <w:t xml:space="preserve">resources (COR) theory </w:t>
      </w:r>
      <w:r>
        <w:t>expla</w:t>
      </w:r>
      <w:r w:rsidR="001E3F36">
        <w:t>i</w:t>
      </w:r>
      <w:r>
        <w:t>n</w:t>
      </w:r>
      <w:r w:rsidR="001E3F36">
        <w:t>s</w:t>
      </w:r>
      <w:r>
        <w:t xml:space="preserve"> human motivation in the workplace </w:t>
      </w:r>
      <w:r w:rsidR="00753E5B">
        <w:t>proposing</w:t>
      </w:r>
      <w:r>
        <w:t xml:space="preserve"> that </w:t>
      </w:r>
      <w:r w:rsidR="00766033">
        <w:t>"</w:t>
      </w:r>
      <w:r>
        <w:t>…individuals will strive to maintain, preserve, cultivate, defend, and build those resources that they value</w:t>
      </w:r>
      <w:r w:rsidR="00766033">
        <w:t>"</w:t>
      </w:r>
      <w:r>
        <w:t xml:space="preserve"> (Dewe, 2017, p. 429). Hobfoll</w:t>
      </w:r>
      <w:r w:rsidR="00766033">
        <w:t>'</w:t>
      </w:r>
      <w:r>
        <w:t>s theory describes stress as occurring when real or perceived resources are threatened or lost (Holmgreen et al., 2017; Hobfoll et al., 2018).</w:t>
      </w:r>
      <w:r w:rsidR="00EB11C2">
        <w:t xml:space="preserve"> </w:t>
      </w:r>
      <w:r w:rsidR="00D479D2" w:rsidRPr="00D479D2">
        <w:t xml:space="preserve">Conservation of Resources </w:t>
      </w:r>
      <w:r w:rsidR="00D479D2">
        <w:t>t</w:t>
      </w:r>
      <w:r w:rsidR="00D479D2" w:rsidRPr="00D479D2">
        <w:t xml:space="preserve">heory </w:t>
      </w:r>
      <w:r w:rsidR="00D479D2">
        <w:t>claims t</w:t>
      </w:r>
      <w:r w:rsidR="00D479D2" w:rsidRPr="00D479D2">
        <w:t>he primary motivator is to seek to obtain, retain, and protect resources in order to avoid stress, be psychologically healthy, and have positive flow experiences.</w:t>
      </w:r>
      <w:r w:rsidR="00D479D2">
        <w:t xml:space="preserve"> However, COR does not identify which </w:t>
      </w:r>
      <w:r w:rsidR="00D479D2" w:rsidRPr="00D479D2">
        <w:t xml:space="preserve">resources </w:t>
      </w:r>
      <w:r w:rsidR="00D479D2">
        <w:t xml:space="preserve">offer </w:t>
      </w:r>
      <w:r w:rsidR="0079063B">
        <w:t>pr</w:t>
      </w:r>
      <w:r w:rsidR="00D479D2" w:rsidRPr="00D479D2">
        <w:t>ovide the ultimate good</w:t>
      </w:r>
      <w:r w:rsidR="0079063B">
        <w:t>.</w:t>
      </w:r>
    </w:p>
    <w:p w14:paraId="58B88753" w14:textId="083D1C06" w:rsidR="00D35FF4" w:rsidRDefault="00D35FF4" w:rsidP="00D35FF4">
      <w:pPr>
        <w:tabs>
          <w:tab w:val="left" w:pos="720"/>
        </w:tabs>
      </w:pPr>
      <w:r w:rsidRPr="00517A2E">
        <w:rPr>
          <w:b/>
          <w:bCs/>
        </w:rPr>
        <w:t>Deci &amp; Ryan</w:t>
      </w:r>
      <w:r w:rsidR="00766033">
        <w:rPr>
          <w:b/>
          <w:bCs/>
        </w:rPr>
        <w:t>'</w:t>
      </w:r>
      <w:r w:rsidRPr="00517A2E">
        <w:rPr>
          <w:b/>
          <w:bCs/>
        </w:rPr>
        <w:t>s Self-Determination Theory.</w:t>
      </w:r>
      <w:r>
        <w:t xml:space="preserve"> Maslow</w:t>
      </w:r>
      <w:r w:rsidR="00766033">
        <w:t>'</w:t>
      </w:r>
      <w:r>
        <w:t>s (1943) hierarchy of basic human needs has fundamentally shaped motivation theories in psychology. Deci &amp; Ryan contextualize Maslow</w:t>
      </w:r>
      <w:r w:rsidR="00766033">
        <w:t>'</w:t>
      </w:r>
      <w:r>
        <w:t xml:space="preserve">s theory in the workplace to describe employee needs. Studying employee behavior, Deci &amp; Ryan (2000) have determined that employees have innate psychological needs, i.e., autonomy, competence, and relatedness. The degree to which the needs of autonomy, competence, and relatedness are met will determine the degree of </w:t>
      </w:r>
      <w:r>
        <w:lastRenderedPageBreak/>
        <w:t xml:space="preserve">employee job satisfaction, performance, and well-being (Goštautaitė, Bučiūnienė, &amp; Milašauskienė, 2022). Rigby &amp; Ryan (2018) describe top-down management approaches </w:t>
      </w:r>
      <w:r w:rsidR="00076280">
        <w:t>often</w:t>
      </w:r>
      <w:r>
        <w:t xml:space="preserve"> neglect critical and potent intrinsic motivational capacities within individual employees. </w:t>
      </w:r>
      <w:r w:rsidR="009F5B31">
        <w:t>Human resource management in the 21</w:t>
      </w:r>
      <w:r w:rsidR="009F5B31" w:rsidRPr="009F5B31">
        <w:rPr>
          <w:vertAlign w:val="superscript"/>
        </w:rPr>
        <w:t>st</w:t>
      </w:r>
      <w:r w:rsidR="009F5B31">
        <w:t xml:space="preserve"> century has shifted emphasis from organizational, top-down models of employee engagement toward individual, bottom-up approaches. </w:t>
      </w:r>
      <w:r w:rsidR="00F40EBF">
        <w:t>From an individualistic perspective, employees exhibit three basic h</w:t>
      </w:r>
      <w:r w:rsidR="00EA5D8F" w:rsidRPr="00EA5D8F">
        <w:t xml:space="preserve">uman </w:t>
      </w:r>
      <w:r w:rsidR="00F40EBF">
        <w:t>n</w:t>
      </w:r>
      <w:r w:rsidR="00EA5D8F" w:rsidRPr="00EA5D8F">
        <w:t xml:space="preserve">eeds: </w:t>
      </w:r>
      <w:r w:rsidR="00F0504D">
        <w:t>a) r</w:t>
      </w:r>
      <w:r w:rsidR="00EA5D8F" w:rsidRPr="00EA5D8F">
        <w:t>elatedness</w:t>
      </w:r>
      <w:r w:rsidR="00F0504D">
        <w:t>, the</w:t>
      </w:r>
      <w:r w:rsidR="00EA5D8F" w:rsidRPr="00EA5D8F">
        <w:t xml:space="preserve"> need to have a close, affectionate relationships with others; </w:t>
      </w:r>
      <w:r w:rsidR="00F0504D">
        <w:t>b)</w:t>
      </w:r>
      <w:r w:rsidR="00EA5D8F" w:rsidRPr="00EA5D8F">
        <w:t xml:space="preserve"> </w:t>
      </w:r>
      <w:r w:rsidR="00F0504D">
        <w:t>a</w:t>
      </w:r>
      <w:r w:rsidR="00EA5D8F" w:rsidRPr="00EA5D8F">
        <w:t>utonomy</w:t>
      </w:r>
      <w:r w:rsidR="00F0504D">
        <w:t>, the</w:t>
      </w:r>
      <w:r w:rsidR="00EA5D8F" w:rsidRPr="00EA5D8F">
        <w:t xml:space="preserve"> need to control the course of their lives; </w:t>
      </w:r>
      <w:r w:rsidR="00203B1F">
        <w:t>a</w:t>
      </w:r>
      <w:r w:rsidR="00EA5D8F" w:rsidRPr="00EA5D8F">
        <w:t xml:space="preserve">nd </w:t>
      </w:r>
      <w:r w:rsidR="00203B1F">
        <w:t>c</w:t>
      </w:r>
      <w:r w:rsidR="00EA5D8F" w:rsidRPr="00EA5D8F">
        <w:t xml:space="preserve">) </w:t>
      </w:r>
      <w:r w:rsidR="00203B1F">
        <w:t>c</w:t>
      </w:r>
      <w:r w:rsidR="00EA5D8F" w:rsidRPr="00EA5D8F">
        <w:t>ompetence</w:t>
      </w:r>
      <w:r w:rsidR="00203B1F">
        <w:t>, the</w:t>
      </w:r>
      <w:r w:rsidR="00EA5D8F" w:rsidRPr="00EA5D8F">
        <w:t xml:space="preserve"> need to be effective in dealing with the environment</w:t>
      </w:r>
      <w:r w:rsidR="00203B1F">
        <w:t xml:space="preserve"> (</w:t>
      </w:r>
      <w:r w:rsidR="008A4307">
        <w:t xml:space="preserve">Gagné </w:t>
      </w:r>
      <w:r w:rsidR="00203B1F">
        <w:t xml:space="preserve">&amp; </w:t>
      </w:r>
      <w:r w:rsidR="00E6258E">
        <w:t>Deci</w:t>
      </w:r>
      <w:r w:rsidR="00203B1F">
        <w:t xml:space="preserve">, </w:t>
      </w:r>
      <w:r w:rsidR="00A563AE">
        <w:t>2005</w:t>
      </w:r>
      <w:r w:rsidR="00197C47">
        <w:t xml:space="preserve">; </w:t>
      </w:r>
      <w:r w:rsidR="008A4307">
        <w:t xml:space="preserve">Gagné </w:t>
      </w:r>
      <w:r w:rsidR="00197C47">
        <w:t>et al., 202</w:t>
      </w:r>
      <w:r w:rsidR="008A4307">
        <w:t>2</w:t>
      </w:r>
      <w:r w:rsidR="00A563AE">
        <w:t>)</w:t>
      </w:r>
      <w:r w:rsidR="00EA5D8F" w:rsidRPr="00EA5D8F">
        <w:t>.</w:t>
      </w:r>
    </w:p>
    <w:p w14:paraId="0361C0A3" w14:textId="6B3A038B" w:rsidR="00FC2DC3" w:rsidRDefault="00D35FF4" w:rsidP="00D35FF4">
      <w:pPr>
        <w:tabs>
          <w:tab w:val="left" w:pos="720"/>
        </w:tabs>
      </w:pPr>
      <w:r w:rsidRPr="00517A2E">
        <w:rPr>
          <w:b/>
          <w:bCs/>
        </w:rPr>
        <w:t>Csikszentmihalyi</w:t>
      </w:r>
      <w:r w:rsidR="00766033">
        <w:rPr>
          <w:b/>
          <w:bCs/>
        </w:rPr>
        <w:t>'</w:t>
      </w:r>
      <w:r w:rsidRPr="00517A2E">
        <w:rPr>
          <w:b/>
          <w:bCs/>
        </w:rPr>
        <w:t>s Theory of Flow.</w:t>
      </w:r>
      <w:r>
        <w:t xml:space="preserve"> Csikszentmihalyi</w:t>
      </w:r>
      <w:r w:rsidR="00766033">
        <w:t>'</w:t>
      </w:r>
      <w:r>
        <w:t>s (19</w:t>
      </w:r>
      <w:r w:rsidR="00D84925">
        <w:t>90</w:t>
      </w:r>
      <w:r>
        <w:t xml:space="preserve">) </w:t>
      </w:r>
      <w:r w:rsidR="00D84925">
        <w:t>seminal</w:t>
      </w:r>
      <w:r>
        <w:t xml:space="preserve"> research o</w:t>
      </w:r>
      <w:r w:rsidR="00D84925">
        <w:t>n</w:t>
      </w:r>
      <w:r>
        <w:t xml:space="preserve"> flow in athletics and competition</w:t>
      </w:r>
      <w:r w:rsidR="00845791">
        <w:t xml:space="preserve"> has been applied to organizational psychology </w:t>
      </w:r>
      <w:r w:rsidR="000B223C">
        <w:t>causing greater insight into employee behavior in the workplace</w:t>
      </w:r>
      <w:r>
        <w:t xml:space="preserve">. Wolfgiel &amp; Czerw (2017) define flow as an </w:t>
      </w:r>
      <w:r w:rsidR="00766033">
        <w:t>"</w:t>
      </w:r>
      <w:r>
        <w:t>optimal autotelic experience, deep satisfaction or elation when the body or mind undertakes a large voluntary effort to accomplish something difficult and worthwhile</w:t>
      </w:r>
      <w:r w:rsidR="00766033">
        <w:t>"</w:t>
      </w:r>
      <w:r>
        <w:t xml:space="preserve"> (p. 220). Three components of work-related flow are task absorption, work enjoyment, intrinsic motivation (Nakamura &amp; Csikszentmihalyi, 2002; Bakker, 2008;</w:t>
      </w:r>
      <w:r w:rsidR="00FE470F">
        <w:t xml:space="preserve"> </w:t>
      </w:r>
      <w:r>
        <w:t>Kahari, Mildred, &amp; Marion, 2020</w:t>
      </w:r>
      <w:r w:rsidR="00E26DF1">
        <w:t xml:space="preserve">; </w:t>
      </w:r>
      <w:r w:rsidR="00E26DF1">
        <w:t>van Oortmerssen et al., 2020</w:t>
      </w:r>
      <w:r>
        <w:t xml:space="preserve">). </w:t>
      </w:r>
      <w:r w:rsidR="009632F7">
        <w:t>Studies in work-related</w:t>
      </w:r>
      <w:r w:rsidR="009632F7" w:rsidRPr="009632F7">
        <w:t xml:space="preserve"> flow a</w:t>
      </w:r>
      <w:r w:rsidR="009632F7">
        <w:t>re</w:t>
      </w:r>
      <w:r w:rsidR="009632F7" w:rsidRPr="009632F7">
        <w:t xml:space="preserve"> </w:t>
      </w:r>
      <w:r w:rsidR="009632F7">
        <w:t xml:space="preserve">a </w:t>
      </w:r>
      <w:r w:rsidR="009632F7" w:rsidRPr="009632F7">
        <w:t xml:space="preserve">precursor </w:t>
      </w:r>
      <w:r w:rsidR="009632F7">
        <w:t xml:space="preserve">in </w:t>
      </w:r>
      <w:r w:rsidR="009632F7" w:rsidRPr="009632F7">
        <w:t>org</w:t>
      </w:r>
      <w:r w:rsidR="009632F7">
        <w:t>anizational</w:t>
      </w:r>
      <w:r w:rsidR="009632F7" w:rsidRPr="009632F7">
        <w:t xml:space="preserve"> psy</w:t>
      </w:r>
      <w:r w:rsidR="009632F7">
        <w:t>chology</w:t>
      </w:r>
      <w:r w:rsidR="009632F7" w:rsidRPr="009632F7">
        <w:t xml:space="preserve"> </w:t>
      </w:r>
      <w:r w:rsidR="000B26A2">
        <w:t>for recent studies</w:t>
      </w:r>
      <w:r w:rsidR="009632F7" w:rsidRPr="009632F7">
        <w:t xml:space="preserve"> </w:t>
      </w:r>
      <w:r w:rsidR="000B26A2">
        <w:t xml:space="preserve">in </w:t>
      </w:r>
      <w:r w:rsidR="009632F7" w:rsidRPr="009632F7">
        <w:t>work engagement, burnout, and the need for recovery</w:t>
      </w:r>
      <w:r w:rsidR="000B26A2">
        <w:t xml:space="preserve"> from work.</w:t>
      </w:r>
      <w:r w:rsidR="003845D0">
        <w:t xml:space="preserve"> </w:t>
      </w:r>
      <w:r w:rsidR="00FC4ECA">
        <w:t xml:space="preserve"> Work-related flow and work engagement </w:t>
      </w:r>
      <w:r w:rsidR="00DD4778">
        <w:t xml:space="preserve">share </w:t>
      </w:r>
      <w:r w:rsidR="003F4E1A">
        <w:t xml:space="preserve">the important dimension of </w:t>
      </w:r>
      <w:r w:rsidR="00DD4778">
        <w:t xml:space="preserve">absorption in </w:t>
      </w:r>
      <w:r w:rsidR="003F4E1A">
        <w:t xml:space="preserve">one’s </w:t>
      </w:r>
      <w:r w:rsidR="00DD4778">
        <w:t>work</w:t>
      </w:r>
      <w:r w:rsidR="003F4E1A">
        <w:t xml:space="preserve">. </w:t>
      </w:r>
      <w:r w:rsidR="00A51C01">
        <w:t>However, work engagement refers to a</w:t>
      </w:r>
      <w:r w:rsidR="00CB3F4A">
        <w:t xml:space="preserve">n overall mindset, whereas, work-related flow refers to a </w:t>
      </w:r>
      <w:r w:rsidR="00CB3F4A">
        <w:lastRenderedPageBreak/>
        <w:t xml:space="preserve">momentary experience </w:t>
      </w:r>
      <w:r w:rsidR="003845D0" w:rsidRPr="003845D0">
        <w:t>(Mikakangas et al. 2010; Rodriguez-Sanchez et al. 2011; Schaufeli et al. 2002</w:t>
      </w:r>
      <w:r w:rsidR="00CB3F4A">
        <w:t xml:space="preserve">; </w:t>
      </w:r>
      <w:r w:rsidR="008A3CAA">
        <w:t xml:space="preserve">van </w:t>
      </w:r>
      <w:r w:rsidR="003845D0">
        <w:t>Oortmerssen et al., 2020</w:t>
      </w:r>
      <w:r w:rsidR="003845D0" w:rsidRPr="003845D0">
        <w:t>).</w:t>
      </w:r>
      <w:r w:rsidR="00D91B67">
        <w:t xml:space="preserve"> </w:t>
      </w:r>
    </w:p>
    <w:p w14:paraId="3A2C567E" w14:textId="79BD8A72" w:rsidR="00D35FF4" w:rsidRDefault="00C85D63" w:rsidP="00915863">
      <w:r w:rsidRPr="00C85D63">
        <w:t>Caution should be observed in seeking flow experiences</w:t>
      </w:r>
      <w:r w:rsidR="00FB44C3">
        <w:t xml:space="preserve"> due to </w:t>
      </w:r>
      <w:r w:rsidR="001832C1">
        <w:t>potential negative effects</w:t>
      </w:r>
      <w:r w:rsidRPr="00C85D63">
        <w:t>. The addictive nature of autotelic experiences</w:t>
      </w:r>
      <w:r w:rsidR="00D45EF9">
        <w:t>, such as flow,</w:t>
      </w:r>
      <w:r w:rsidRPr="00C85D63">
        <w:t xml:space="preserve"> could lead to neglect in other important areas of life</w:t>
      </w:r>
      <w:r w:rsidR="006925FD">
        <w:t xml:space="preserve"> (</w:t>
      </w:r>
      <w:r w:rsidR="00E62297" w:rsidRPr="006B7C61">
        <w:t>Csikszentmihalyi</w:t>
      </w:r>
      <w:r w:rsidR="006925FD">
        <w:t xml:space="preserve">, </w:t>
      </w:r>
      <w:r w:rsidR="00E62297" w:rsidRPr="006B7C61">
        <w:t>1997</w:t>
      </w:r>
      <w:r w:rsidR="00202BEA">
        <w:t xml:space="preserve">; </w:t>
      </w:r>
      <w:r w:rsidR="00202BEA" w:rsidRPr="00D91B67">
        <w:t>Wolfigiel &amp; Czerw, 2017</w:t>
      </w:r>
      <w:r w:rsidR="00E62297" w:rsidRPr="006B7C61">
        <w:t>)</w:t>
      </w:r>
      <w:r w:rsidR="006925FD">
        <w:t>.</w:t>
      </w:r>
      <w:r w:rsidR="00E62297" w:rsidRPr="006B7C61">
        <w:t xml:space="preserve"> </w:t>
      </w:r>
      <w:r w:rsidR="00D93EC7">
        <w:t xml:space="preserve">The experience of freedom and loss of </w:t>
      </w:r>
      <w:r w:rsidR="00166145">
        <w:t xml:space="preserve">self-criticism </w:t>
      </w:r>
      <w:r w:rsidR="00CC176B">
        <w:t xml:space="preserve">may cause individuals to </w:t>
      </w:r>
      <w:r w:rsidR="00FC2DC3" w:rsidRPr="006B7C61">
        <w:t xml:space="preserve">constantly seeking this flow state </w:t>
      </w:r>
      <w:r w:rsidR="00CC176B">
        <w:t>(</w:t>
      </w:r>
      <w:r w:rsidR="00FC2DC3" w:rsidRPr="006B7C61">
        <w:t>Partington, Partington, &amp; Olivier, 2009). This habit-forming tendency has been thoroughly explored in various fields such as athletics, music, art, and video gaming (Chou &amp; Ting, 2003)</w:t>
      </w:r>
      <w:r w:rsidR="00CC176B">
        <w:t>.</w:t>
      </w:r>
      <w:r w:rsidR="00FC2DC3" w:rsidRPr="006B7C61">
        <w:t xml:space="preserve"> </w:t>
      </w:r>
      <w:r w:rsidR="00D91B67" w:rsidRPr="00D91B67">
        <w:t>Therefore, to prevent negative consequences of flow</w:t>
      </w:r>
      <w:r w:rsidR="00202BEA">
        <w:t xml:space="preserve">, </w:t>
      </w:r>
      <w:r w:rsidR="00D91B67" w:rsidRPr="00D91B67">
        <w:t xml:space="preserve">e.g., addiction, antisocial behavior, neglect family or sleep, etc., it is worth </w:t>
      </w:r>
      <w:r w:rsidR="00202BEA">
        <w:t xml:space="preserve">the effort </w:t>
      </w:r>
      <w:r w:rsidR="00D91B67" w:rsidRPr="00D91B67">
        <w:t xml:space="preserve">to broaden the </w:t>
      </w:r>
      <w:r w:rsidR="007C04F2">
        <w:t>range</w:t>
      </w:r>
      <w:r w:rsidR="00D91B67" w:rsidRPr="00D91B67">
        <w:t xml:space="preserve"> of the flow experience onto various spheres of life, without focusing excessively on one of them (Schuler, 2012; Ramsay &amp; Lorenz, 2020; Wolfigiel &amp; Czerw, 2017).</w:t>
      </w:r>
      <w:r w:rsidR="00AB7967">
        <w:t xml:space="preserve"> However, t</w:t>
      </w:r>
      <w:r w:rsidR="00AB7967" w:rsidRPr="00AB7967">
        <w:t>he offered solution</w:t>
      </w:r>
      <w:r w:rsidR="00AB7967">
        <w:t xml:space="preserve"> of</w:t>
      </w:r>
      <w:r w:rsidR="00AB7967" w:rsidRPr="00AB7967">
        <w:t xml:space="preserve"> seeking flow in other areas of life to avoid the negative effects of flow does not naturally lead to spiritual engagement.</w:t>
      </w:r>
      <w:r w:rsidR="006925FD">
        <w:t xml:space="preserve"> </w:t>
      </w:r>
      <w:r w:rsidR="006925FD">
        <w:t>This highlights the importance of maintaining spiritual engagement, e.g., sabbath</w:t>
      </w:r>
      <w:r w:rsidR="006925FD" w:rsidRPr="00D45EF9">
        <w:t xml:space="preserve"> rest and meditatio</w:t>
      </w:r>
      <w:r w:rsidR="006925FD">
        <w:t>n, which</w:t>
      </w:r>
      <w:r w:rsidR="006925FD" w:rsidRPr="00D45EF9">
        <w:t xml:space="preserve"> could counteract the addictive nature and restore work-life balance.</w:t>
      </w:r>
    </w:p>
    <w:p w14:paraId="5E99EAB3" w14:textId="2D130CAB" w:rsidR="001257D0" w:rsidRPr="00C77A5C" w:rsidRDefault="001257D0" w:rsidP="009F1A21">
      <w:pPr>
        <w:tabs>
          <w:tab w:val="left" w:pos="720"/>
        </w:tabs>
      </w:pPr>
      <w:r>
        <w:rPr>
          <w:b/>
          <w:bCs/>
        </w:rPr>
        <w:t>Effort-Recovery Model</w:t>
      </w:r>
      <w:r w:rsidR="00C77A5C">
        <w:rPr>
          <w:b/>
          <w:bCs/>
        </w:rPr>
        <w:t xml:space="preserve">. </w:t>
      </w:r>
      <w:r w:rsidR="00C77A5C" w:rsidRPr="00C33877">
        <w:t>Provides another theory of human motivation that connects physiological systems and psychological systems</w:t>
      </w:r>
      <w:r w:rsidR="00C77A5C">
        <w:t xml:space="preserve">. </w:t>
      </w:r>
      <w:r w:rsidR="00C77A5C" w:rsidRPr="00C77A5C">
        <w:t>Three components of the Effort-Recovery Model: 1) employees use psychological resources to deal with work-related activity; 2) resouce usage leads to task performance and resource decline; and 3) recovery can begin when the work related-related demands end</w:t>
      </w:r>
      <w:r w:rsidR="001A7533">
        <w:t xml:space="preserve"> (</w:t>
      </w:r>
      <w:r w:rsidR="001A7533" w:rsidRPr="001A7533">
        <w:t>Meijman &amp; Mulder</w:t>
      </w:r>
      <w:r w:rsidR="001A7533">
        <w:t xml:space="preserve">, </w:t>
      </w:r>
      <w:r w:rsidR="001A7533" w:rsidRPr="001A7533">
        <w:t>1998)</w:t>
      </w:r>
      <w:r w:rsidR="00C77A5C" w:rsidRPr="00C77A5C">
        <w:t>.</w:t>
      </w:r>
      <w:r w:rsidR="00D86804">
        <w:t xml:space="preserve"> There are four classic recovery experiences: a) psychological detachment, which is not thinking about work during nonwork hours; b) relaxation, which is having a low </w:t>
      </w:r>
      <w:r w:rsidR="00D86804">
        <w:lastRenderedPageBreak/>
        <w:t>activation level; c) mastery, which is facing a positive challenge to learn something new; and d) control, which is having a feeling of control over nonwork time</w:t>
      </w:r>
      <w:r w:rsidR="009F1A21">
        <w:t xml:space="preserve"> (Sonnentag &amp; Fritz, 2007; Bennett, Bakker, &amp; Field, 2017)</w:t>
      </w:r>
      <w:r w:rsidR="00D86804">
        <w:t xml:space="preserve">. </w:t>
      </w:r>
      <w:r w:rsidR="00785E2D" w:rsidRPr="00785E2D">
        <w:t xml:space="preserve">The roots of the ERM can be found in several developments in organizational psychology. First, Lazarus &amp; Folkman's (1984) distinguished work demands as either challenge demands or hindrance demands. </w:t>
      </w:r>
      <w:r w:rsidR="00785E2D" w:rsidRPr="00DC2AA1">
        <w:t>Crawford et al. (2010) support</w:t>
      </w:r>
      <w:r w:rsidR="00785E2D" w:rsidRPr="00785E2D">
        <w:t xml:space="preserve"> these findings in their study.</w:t>
      </w:r>
      <w:r w:rsidR="00785E2D">
        <w:t xml:space="preserve"> </w:t>
      </w:r>
      <w:r w:rsidR="00785E2D" w:rsidRPr="00785E2D">
        <w:t>The stress-appraisal approach (Lazarus &amp; Folkman, 1984) shows that work demands could be positive or negative and helps recategorize work characteristics as challenge demands, hindrance demands, and job resources (Cavanaugh, Bowell, Roehling, &amp; Boudreau, 2000).</w:t>
      </w:r>
      <w:r w:rsidR="00E23D12">
        <w:t xml:space="preserve"> </w:t>
      </w:r>
      <w:r w:rsidR="00E23D12" w:rsidRPr="00E23D12">
        <w:t xml:space="preserve">Challenge demands are work demands (i.e., time constraints, workloads, etc.) that become stressful but also contribute to employee self-efficacy </w:t>
      </w:r>
      <w:r w:rsidR="0081711F">
        <w:t>(</w:t>
      </w:r>
      <w:r w:rsidR="00E23D12" w:rsidRPr="00E23D12">
        <w:t>Bennett, Bakker, &amp; Field, 2017), autonomous motivation, increased work engagement in problem-solving activity. However, problem-solving runmination during nonwork time is negatively related to psychological detachment (Querstret &amp; Cropley, 2012). Employees struggle to find relaxation experiences.</w:t>
      </w:r>
      <w:r w:rsidR="00E23D12">
        <w:t xml:space="preserve"> </w:t>
      </w:r>
      <w:r w:rsidR="00E23D12" w:rsidRPr="00E23D12">
        <w:t>Podsakoff, LePine, &amp; LePine (2007) demonstrated that work characteristics are positively related to long-term effects such as burnout and performance but have less to do with employee affect and energy resources.</w:t>
      </w:r>
      <w:r w:rsidR="00E23D12">
        <w:t xml:space="preserve"> </w:t>
      </w:r>
      <w:r w:rsidR="00CC360E" w:rsidRPr="00CC360E">
        <w:t xml:space="preserve">Emphasis is placed on employee's need for recovery after work in order to manage short-term effects of fatigue, exhaustion, and </w:t>
      </w:r>
      <w:r w:rsidR="00CC360E" w:rsidRPr="00CC360E">
        <w:lastRenderedPageBreak/>
        <w:t>vigor. Short-term effects vary on a daily basis</w:t>
      </w:r>
      <w:r w:rsidR="00CC360E">
        <w:t xml:space="preserve"> (</w:t>
      </w:r>
      <w:r w:rsidR="00CC360E" w:rsidRPr="00CC360E">
        <w:t>Sonnentag</w:t>
      </w:r>
      <w:r w:rsidR="00CC360E">
        <w:t xml:space="preserve">, </w:t>
      </w:r>
      <w:r w:rsidR="00CC360E" w:rsidRPr="00CC360E">
        <w:t>2012; Ten Brummelhuis &amp; Bakker</w:t>
      </w:r>
      <w:r w:rsidR="00CC360E">
        <w:t xml:space="preserve">, </w:t>
      </w:r>
      <w:r w:rsidR="00CC360E" w:rsidRPr="00CC360E">
        <w:t>2012).</w:t>
      </w:r>
    </w:p>
    <w:p w14:paraId="51FEE35C" w14:textId="77777777" w:rsidR="00D35FF4" w:rsidRDefault="00D35FF4" w:rsidP="008D3C73">
      <w:pPr>
        <w:pStyle w:val="APALevel2"/>
      </w:pPr>
      <w:r>
        <w:t>Current Societal Concern</w:t>
      </w:r>
    </w:p>
    <w:p w14:paraId="6D36A4D7" w14:textId="77777777" w:rsidR="00915863" w:rsidRDefault="00915863" w:rsidP="00915863">
      <w:pPr>
        <w:pStyle w:val="APALevel3"/>
      </w:pPr>
      <w:r>
        <w:t>Organizational Psychology Models</w:t>
      </w:r>
    </w:p>
    <w:p w14:paraId="645EC4D0" w14:textId="77777777" w:rsidR="00915863" w:rsidRDefault="00915863" w:rsidP="00915863">
      <w:pPr>
        <w:tabs>
          <w:tab w:val="left" w:pos="720"/>
        </w:tabs>
      </w:pPr>
      <w:r>
        <w:t>The two dominant work engagement models in organizational psychology are the Job-Demands Resources model (Demerouti et al., 2001) and the Job-Crafting Theory (Wrzesniewski &amp; Dutton, 2001). The Job-Demands Resources theory views all job characteristics (i.e., psychological, organizational, physical, and social) from an organizational perspective as either demands or resources. Job demands (e.g., high-pressure situations, emotionally demanding work, etc.) increase strain leading to cynicism, work-related stress, and potential burnout. Job resources help employees accomplish goals and mitigate the effects of job demands (Van Wingerden, Derks, &amp; Bakker, 2017). Job resources (e.g., compensation, career advancement, peer support, etc.) lead to employee motivation, engagement, and productivity (Zhang &amp; Parker, 2019). Employers use this top-down management approach to design jobs balancing demands and resources.</w:t>
      </w:r>
    </w:p>
    <w:p w14:paraId="22B15161" w14:textId="77777777" w:rsidR="00915863" w:rsidRDefault="00915863" w:rsidP="00915863">
      <w:pPr>
        <w:tabs>
          <w:tab w:val="left" w:pos="720"/>
        </w:tabs>
        <w:ind w:firstLine="0"/>
      </w:pPr>
      <w:r>
        <w:tab/>
        <w:t xml:space="preserve">The Job Demands-Resources (JD-R) model is a dominant perspective in organizational psychology. JD-R seems to be less about provoking strategies for change and more about describing dynamics of job effects on employees. By definition, the JD-R model is all of the job characteristics from an organization’s perspective that categorizes all characteristics as job demands or job resources. Research demonstrates that individual employees may vary on classifying a job demand as positive (i.e., challenge demand) or </w:t>
      </w:r>
      <w:r>
        <w:lastRenderedPageBreak/>
        <w:t xml:space="preserve">negative. Therefore, how can a job characteristic be inherently categorized as a challenge demand or a hindrance demand without factoring in the effect on the employee? </w:t>
      </w:r>
    </w:p>
    <w:p w14:paraId="078BCCB6" w14:textId="77777777" w:rsidR="00915863" w:rsidRDefault="00915863" w:rsidP="00915863">
      <w:pPr>
        <w:tabs>
          <w:tab w:val="left" w:pos="720"/>
        </w:tabs>
        <w:ind w:firstLine="0"/>
      </w:pPr>
      <w:r>
        <w:t xml:space="preserve">The Job-Crafting Theory is an employee-initiated approach to shaping the work environment to fit individual needs when and as the employee feels necessary (Wrzesniewski &amp; Dutton, 2001; Tims, Bakker, &amp; Derks 2012; Petrou et al., 2012). Employees engage in crafting through three domains, i.e., tasks, relationships, and cognitions. Job crafting presupposes that an employee has a proactive personality to initiate the job crafting process (Niessen, Weseler, &amp; Kostova, 2016). The job crafting process demonstrates positive benefits of employee work engagement, such as vigor, dedication, and absorption (Oprea et al., 2019). Research notes that job crafting has adverse side effects, such as misaligned goals, unequal access, overwork, and exploitation (Demerouti, Bakker, &amp; Halbesleben, 2015; Hood, 2019; Boehnlein &amp; Baum, 2022). </w:t>
      </w:r>
    </w:p>
    <w:p w14:paraId="193906C3" w14:textId="23AF9F4C" w:rsidR="00915863" w:rsidRPr="007E0052" w:rsidRDefault="00915863" w:rsidP="00915863">
      <w:pPr>
        <w:pStyle w:val="NormalWeb"/>
        <w:rPr>
          <w:rFonts w:eastAsia="Times New Roman"/>
        </w:rPr>
      </w:pPr>
      <w:r>
        <w:t xml:space="preserve">Several authors attempt to bring these two theories together. </w:t>
      </w:r>
      <w:r>
        <w:rPr>
          <w:rFonts w:eastAsia="Times New Roman"/>
        </w:rPr>
        <w:t>“</w:t>
      </w:r>
      <w:r w:rsidR="00CD069C">
        <w:rPr>
          <w:rFonts w:eastAsia="Times New Roman"/>
        </w:rPr>
        <w:t>J</w:t>
      </w:r>
      <w:r w:rsidRPr="00FA29FB">
        <w:rPr>
          <w:rFonts w:eastAsia="Times New Roman"/>
        </w:rPr>
        <w:t>ob crafting behaviors are characterized by four dimensions: increasing structural job resources, increasing social job resources, increasing challenging job demands, and decreasing hindering job demand</w:t>
      </w:r>
      <w:r>
        <w:rPr>
          <w:rFonts w:eastAsia="Times New Roman"/>
        </w:rPr>
        <w:t>s”</w:t>
      </w:r>
      <w:r w:rsidRPr="00FA29FB">
        <w:rPr>
          <w:rFonts w:eastAsia="Times New Roman"/>
        </w:rPr>
        <w:t xml:space="preserve"> (Ferreira et al., 2022, p. 9)</w:t>
      </w:r>
      <w:r>
        <w:rPr>
          <w:rFonts w:eastAsia="Times New Roman"/>
        </w:rPr>
        <w:t>. Yet, the Job Crafting model (</w:t>
      </w:r>
      <w:r w:rsidRPr="007E0052">
        <w:rPr>
          <w:rFonts w:eastAsia="Times New Roman"/>
        </w:rPr>
        <w:t xml:space="preserve">Wrzesniewski </w:t>
      </w:r>
      <w:r>
        <w:rPr>
          <w:rFonts w:eastAsia="Times New Roman"/>
        </w:rPr>
        <w:t>&amp;</w:t>
      </w:r>
      <w:r w:rsidRPr="007E0052">
        <w:rPr>
          <w:rFonts w:eastAsia="Times New Roman"/>
        </w:rPr>
        <w:t xml:space="preserve"> Dutton</w:t>
      </w:r>
      <w:r>
        <w:rPr>
          <w:rFonts w:eastAsia="Times New Roman"/>
        </w:rPr>
        <w:t xml:space="preserve">, </w:t>
      </w:r>
      <w:r w:rsidRPr="007E0052">
        <w:rPr>
          <w:rFonts w:eastAsia="Times New Roman"/>
        </w:rPr>
        <w:t>2001)</w:t>
      </w:r>
      <w:r>
        <w:rPr>
          <w:rFonts w:eastAsia="Times New Roman"/>
        </w:rPr>
        <w:t xml:space="preserve"> and Job-Demands Resources model (</w:t>
      </w:r>
      <w:r w:rsidRPr="007E0052">
        <w:rPr>
          <w:rFonts w:eastAsia="Times New Roman"/>
        </w:rPr>
        <w:t>Tims et al.</w:t>
      </w:r>
      <w:r>
        <w:rPr>
          <w:rFonts w:eastAsia="Times New Roman"/>
        </w:rPr>
        <w:t xml:space="preserve">, </w:t>
      </w:r>
      <w:r w:rsidRPr="007E0052">
        <w:rPr>
          <w:rFonts w:eastAsia="Times New Roman"/>
        </w:rPr>
        <w:t xml:space="preserve">2012) </w:t>
      </w:r>
      <w:r>
        <w:rPr>
          <w:rFonts w:eastAsia="Times New Roman"/>
        </w:rPr>
        <w:t xml:space="preserve">maintain significant differences. </w:t>
      </w:r>
      <w:r w:rsidRPr="007E0052">
        <w:rPr>
          <w:rFonts w:eastAsia="Times New Roman"/>
        </w:rPr>
        <w:t xml:space="preserve">They differ in how they define the content of crafting, with Wrzesniewski and Dutton (2001) focusing on changes in task/relational/cognitive boundaries, whereas Tims et al. (2012) focused on changes in job characteristics. They also differ with respect to the purpose or aims underpinning crafting, with Wrzesniewski and Dutton (2001) considering crafting as a way to improve meaning and work identity, </w:t>
      </w:r>
      <w:r w:rsidRPr="007E0052">
        <w:rPr>
          <w:rFonts w:eastAsia="Times New Roman"/>
        </w:rPr>
        <w:lastRenderedPageBreak/>
        <w:t>whereas Tims et al. (2012) considering crafting as a way to balance job resources and demands so as to achieve personjob fit</w:t>
      </w:r>
      <w:r>
        <w:rPr>
          <w:rFonts w:eastAsia="Times New Roman"/>
        </w:rPr>
        <w:t>"</w:t>
      </w:r>
      <w:r w:rsidRPr="007E0052">
        <w:rPr>
          <w:rFonts w:eastAsia="Times New Roman"/>
        </w:rPr>
        <w:t xml:space="preserve"> (Zhang and Parker, 2019, p. 127)</w:t>
      </w:r>
      <w:r>
        <w:rPr>
          <w:rFonts w:eastAsia="Times New Roman"/>
        </w:rPr>
        <w:t>.</w:t>
      </w:r>
    </w:p>
    <w:p w14:paraId="3BC5137F" w14:textId="77777777" w:rsidR="00915863" w:rsidRPr="00A05D53" w:rsidRDefault="00915863" w:rsidP="00915863">
      <w:r w:rsidRPr="00C33877">
        <w:t>J</w:t>
      </w:r>
      <w:r>
        <w:t xml:space="preserve">ob </w:t>
      </w:r>
      <w:r w:rsidRPr="00C33877">
        <w:t>D</w:t>
      </w:r>
      <w:r>
        <w:t>emands</w:t>
      </w:r>
      <w:r w:rsidRPr="00C33877">
        <w:t>-R</w:t>
      </w:r>
      <w:r>
        <w:t>esource</w:t>
      </w:r>
      <w:r w:rsidRPr="00C33877">
        <w:t xml:space="preserve"> </w:t>
      </w:r>
      <w:r>
        <w:t xml:space="preserve">theory </w:t>
      </w:r>
      <w:r w:rsidRPr="00C33877">
        <w:t xml:space="preserve">advocates borrow research </w:t>
      </w:r>
      <w:r>
        <w:t xml:space="preserve">and </w:t>
      </w:r>
      <w:r w:rsidRPr="00C33877">
        <w:t>conduct research that measures personal resources such as self-efficacy</w:t>
      </w:r>
      <w:r>
        <w:t xml:space="preserve"> and optimism. </w:t>
      </w:r>
      <w:r w:rsidRPr="007823F4">
        <w:t>Xanthopoulou et al.</w:t>
      </w:r>
      <w:r>
        <w:t>’s</w:t>
      </w:r>
      <w:r w:rsidRPr="007823F4">
        <w:t xml:space="preserve"> (2007) study</w:t>
      </w:r>
      <w:r>
        <w:t>, working with the JD-R theory,</w:t>
      </w:r>
      <w:r w:rsidRPr="007823F4">
        <w:t xml:space="preserve"> demonstrated that job resources tend to increase personal resources thus, resulting in positive individual and organizational outcomes. As job resources are more accessible to employees, then employees will sense greater personal resources (e.g., self-efficacy, optimism) and remain engaged in the organization. Xanthopoulou et al.</w:t>
      </w:r>
      <w:r>
        <w:t>’s</w:t>
      </w:r>
      <w:r w:rsidRPr="007823F4">
        <w:t xml:space="preserve"> (2007) study </w:t>
      </w:r>
      <w:r>
        <w:t>claims to confirm the JD-R model as well as expand the model by locating personal resources within the framework</w:t>
      </w:r>
      <w:r w:rsidRPr="007823F4">
        <w:t>.</w:t>
      </w:r>
      <w:r>
        <w:t xml:space="preserve"> Bakker &amp; Demerouti (2007) argue for the inclusion of personal resources with the JD-R model based on </w:t>
      </w:r>
      <w:r w:rsidRPr="007823F4">
        <w:t>Xanthopoulou et al.</w:t>
      </w:r>
      <w:r>
        <w:t>’s</w:t>
      </w:r>
      <w:r w:rsidRPr="007823F4">
        <w:t xml:space="preserve"> (2007)</w:t>
      </w:r>
      <w:r>
        <w:t xml:space="preserve"> study. Bakker &amp; Demerouti (2007) argue that “</w:t>
      </w:r>
      <w:r w:rsidRPr="007823F4">
        <w:t>personal resources partly mediated the relationship between job resources and work engagement, suggesting that job resources foster the development of personal resources</w:t>
      </w:r>
      <w:r>
        <w:t>”</w:t>
      </w:r>
      <w:r w:rsidRPr="007823F4">
        <w:t xml:space="preserve"> (Bakker &amp; Demerouti, 2007, p. 323). </w:t>
      </w:r>
      <w:r>
        <w:t xml:space="preserve">In another study, Bakker &amp; Demerouti (2008) explain the reasoning for expanding the JD-R model is based on the Xanthopoulou et al.’s (2007) study showing how personal resources affect work engagement and the that personal resources and job resources are interrelated. </w:t>
      </w:r>
      <w:r w:rsidRPr="007823F4">
        <w:t xml:space="preserve">Yet, the authors </w:t>
      </w:r>
      <w:r>
        <w:t xml:space="preserve">then </w:t>
      </w:r>
      <w:r w:rsidRPr="007823F4">
        <w:t xml:space="preserve">recommend further research to establish the inclusion of personal resources in the JD-R model. The fact that personal resources and job resources are </w:t>
      </w:r>
      <w:r>
        <w:t>both</w:t>
      </w:r>
      <w:r w:rsidRPr="007823F4">
        <w:t xml:space="preserve"> related to increased work engagement and decreased exhaustion is clear, however, the question is </w:t>
      </w:r>
      <w:r w:rsidRPr="00257E25">
        <w:t>whether the JD-R model is designed and intends to incorporate personal resources.</w:t>
      </w:r>
      <w:r>
        <w:t xml:space="preserve"> </w:t>
      </w:r>
      <w:r w:rsidRPr="007823F4">
        <w:t>Th</w:t>
      </w:r>
      <w:r>
        <w:t xml:space="preserve">ough the </w:t>
      </w:r>
      <w:r w:rsidRPr="007823F4">
        <w:t>origina</w:t>
      </w:r>
      <w:r>
        <w:t xml:space="preserve">l studies in Job Demands-Resource theory excluded personal resources, more recent </w:t>
      </w:r>
      <w:r>
        <w:lastRenderedPageBreak/>
        <w:t>studies have expanded the model to be more inclusive.</w:t>
      </w:r>
      <w:r w:rsidRPr="007823F4">
        <w:t xml:space="preserve"> their preference for resources to be exclusively organizational rather than personal.</w:t>
      </w:r>
      <w:r>
        <w:t xml:space="preserve"> Bakker &amp; Demerouti (2017) allow for the JD-R model to encompass personal resources and job crating.</w:t>
      </w:r>
    </w:p>
    <w:p w14:paraId="2F5BB163" w14:textId="53F36853" w:rsidR="005279ED" w:rsidRDefault="0014307E" w:rsidP="005279ED">
      <w:pPr>
        <w:pStyle w:val="APALevel2"/>
      </w:pPr>
      <w:r>
        <w:t>Current Research Relevant to Key Ideas and Phenomena</w:t>
      </w:r>
    </w:p>
    <w:p w14:paraId="31726648" w14:textId="14EBE177" w:rsidR="00D35FF4" w:rsidRDefault="00D35FF4" w:rsidP="00D35FF4">
      <w:pPr>
        <w:tabs>
          <w:tab w:val="left" w:pos="720"/>
        </w:tabs>
        <w:ind w:firstLine="0"/>
      </w:pPr>
      <w:r>
        <w:tab/>
        <w:t xml:space="preserve">Hobfoll bases the conservation of resources theory on an </w:t>
      </w:r>
      <w:r w:rsidR="00766033">
        <w:t>"</w:t>
      </w:r>
      <w:r>
        <w:t>evolutionary need to acquire</w:t>
      </w:r>
      <w:r w:rsidR="00766033">
        <w:t>"</w:t>
      </w:r>
      <w:r>
        <w:t xml:space="preserve"> resources (Hobfoll et al., 2018). However, In Matthew</w:t>
      </w:r>
      <w:r w:rsidR="00766033">
        <w:t>'</w:t>
      </w:r>
      <w:r>
        <w:t>s gospel, Jesus also connects the concept of stress to acquiring resources (</w:t>
      </w:r>
      <w:r>
        <w:rPr>
          <w:i/>
          <w:iCs/>
        </w:rPr>
        <w:t>New International Version,</w:t>
      </w:r>
      <w:r>
        <w:t xml:space="preserve"> </w:t>
      </w:r>
      <w:r>
        <w:rPr>
          <w:i/>
          <w:iCs/>
        </w:rPr>
        <w:t>1973/2011</w:t>
      </w:r>
      <w:r>
        <w:t>, Matthew 6). From a biblical perspective, stress increases with the preoccupation with more resources. Hobfoll and Jesus address the perception of a lack of available resources. The distinctive difference is that Jesus</w:t>
      </w:r>
      <w:r w:rsidR="00766033">
        <w:t>'</w:t>
      </w:r>
      <w:r>
        <w:t xml:space="preserve"> approach locates the provision of resources in God</w:t>
      </w:r>
      <w:r w:rsidR="00766033">
        <w:t>'</w:t>
      </w:r>
      <w:r>
        <w:t>s covenant with his people. In contrast, Hobfoll assumes that the world is a place of scarcity in which self-preservation strategies are necessary for survival. Perceiving the world as a threatening place where resources are scarce can be connected to the post-Fall reality in Genesis.</w:t>
      </w:r>
    </w:p>
    <w:p w14:paraId="0CCAB825" w14:textId="0DB51513" w:rsidR="00D35FF4" w:rsidRDefault="00D35FF4" w:rsidP="00D35FF4">
      <w:pPr>
        <w:tabs>
          <w:tab w:val="left" w:pos="720"/>
        </w:tabs>
      </w:pPr>
      <w:r>
        <w:t xml:space="preserve">The two dominant work engagement models in organizational psychology previously mentioned are the Job-Demands Resources model (Demerouti et al., 2001) and the Job-Crafting Theory (Wrzesniewski &amp; Dutton, 2001). Each model has significant inadequacies from a Christian worldview perspective. The theoretical model of the Job-Demands Resources theory is based on a unidirectional relationship between the employer/employee. As a top-down approach to organizational behavior, employers are responsible for designing jobs with a proper balance of demands and resources. It is believed that job resources help employees accomplish goals and mitigate the effects of job demands (Van Wingerden, Derks, &amp; Bakker, 2017). Job demands lead to eventual </w:t>
      </w:r>
      <w:r>
        <w:lastRenderedPageBreak/>
        <w:t xml:space="preserve">burnout, and job resources lead to work engagement. This dynamic presupposes a nonmutual, even adversarial, relationship between employer and employee. In this model, there is no room to recognize the potential of employees to have internal motives for productive work and accountability. The burden of accountability is placed on management, and the employee is considered a passive player in the relationship. This model does not allow for mutual goal setting and alignment between management and the employee. </w:t>
      </w:r>
    </w:p>
    <w:p w14:paraId="58070AB4" w14:textId="4694579F" w:rsidR="00D35FF4" w:rsidRDefault="00D35FF4" w:rsidP="00D35FF4">
      <w:pPr>
        <w:tabs>
          <w:tab w:val="left" w:pos="720"/>
        </w:tabs>
      </w:pPr>
      <w:r>
        <w:t>Though Job-Crafting takes an opposite bottom-up approach to organizational behavior, it is not entirely compatible with a Christian worldview perspective on work and employee well-being. First, the Job-Crafting theory presupposes a proactive employee to begin the process of job crafting (Teng &amp; Chen, 2019; Vermooten et al., 2019). The outcomes of job crafting could lead to greater work engagement and job satisfaction or potentially overwork and exploit the employee at the cost of the employee</w:t>
      </w:r>
      <w:r w:rsidR="00766033">
        <w:t>'</w:t>
      </w:r>
      <w:r>
        <w:t xml:space="preserve">s well-being (Bolino et al., 2016; Harju, Kaltiainen, &amp; Hakanen, 2021). Experts identify the potential for employee exploitation as the </w:t>
      </w:r>
      <w:r w:rsidR="00766033">
        <w:t>'</w:t>
      </w:r>
      <w:r>
        <w:t>dark side</w:t>
      </w:r>
      <w:r w:rsidR="00766033">
        <w:t>'</w:t>
      </w:r>
      <w:r>
        <w:t xml:space="preserve"> of Job-Crafting; however, there is not an adequate explanation for how to avoid this downside (Demerouti, Bakker, &amp; Halbesleben, 2015; Hood, 2019; Boehnlein &amp; Baum, 2022). The Job-Crafting model prioritizes work productivity as the Job-Demands Resources model over employee well-being. The burden of responsibility for rectifying an imbalance of demands and resources is left to the proactive employee. Employees without a proactive personality cannot access the Job-Crafting model</w:t>
      </w:r>
      <w:r w:rsidR="00766033">
        <w:t>'</w:t>
      </w:r>
      <w:r>
        <w:t xml:space="preserve">s benefits (Niessen, Weseler, &amp; Kostova, 2016; Vermooten et al., 2019). </w:t>
      </w:r>
      <w:r w:rsidR="00117143">
        <w:t xml:space="preserve">Studies show conflicting evidence about the ability of employees to job craft in all </w:t>
      </w:r>
      <w:r w:rsidR="001C75D4">
        <w:t xml:space="preserve">occupations. </w:t>
      </w:r>
      <w:r>
        <w:t xml:space="preserve">Some </w:t>
      </w:r>
      <w:r w:rsidR="001C75D4">
        <w:t xml:space="preserve">authors argue that certain </w:t>
      </w:r>
      <w:r>
        <w:t xml:space="preserve">work </w:t>
      </w:r>
      <w:r>
        <w:lastRenderedPageBreak/>
        <w:t>environments and industries may be hostile or incompatible with a proactive employee seeking job crafting (Rudolph et al., 2017)</w:t>
      </w:r>
      <w:r w:rsidR="001C75D4">
        <w:t>, whereas</w:t>
      </w:r>
      <w:r w:rsidR="009E1EDF">
        <w:t xml:space="preserve"> </w:t>
      </w:r>
      <w:r w:rsidR="00CE096B">
        <w:t xml:space="preserve">Petrou et al. (2012) </w:t>
      </w:r>
      <w:r w:rsidR="001C75D4">
        <w:t>s</w:t>
      </w:r>
      <w:r w:rsidR="00CE096B">
        <w:t>tat</w:t>
      </w:r>
      <w:r w:rsidR="001C75D4">
        <w:t>es</w:t>
      </w:r>
      <w:r w:rsidR="00CE096B">
        <w:t xml:space="preserve"> that</w:t>
      </w:r>
      <w:r w:rsidR="00BD2CE3">
        <w:t xml:space="preserve"> job crafting can occur in any occupational context</w:t>
      </w:r>
      <w:r>
        <w:t>.</w:t>
      </w:r>
    </w:p>
    <w:p w14:paraId="2E601987" w14:textId="77777777" w:rsidR="00915863" w:rsidRDefault="00915863" w:rsidP="00915863">
      <w:pPr>
        <w:pStyle w:val="APALevel3"/>
      </w:pPr>
      <w:r>
        <w:t>Spiritual Engagement</w:t>
      </w:r>
    </w:p>
    <w:p w14:paraId="37C02E61" w14:textId="77777777" w:rsidR="00915863" w:rsidRDefault="00915863" w:rsidP="00915863">
      <w:r w:rsidRPr="00EC3D7B">
        <w:t xml:space="preserve">Bickerton et al. (2014) was the first study to operationalize spiritual resources as a subcategory of personal resources within Hobfoll's (1989) </w:t>
      </w:r>
      <w:r>
        <w:t>Conservation of Resources (</w:t>
      </w:r>
      <w:r w:rsidRPr="00EC3D7B">
        <w:t>COR</w:t>
      </w:r>
      <w:r>
        <w:t>)</w:t>
      </w:r>
      <w:r w:rsidRPr="00EC3D7B">
        <w:t xml:space="preserve"> theory. Spiritual resources defined as beliefs, practices, and experiences</w:t>
      </w:r>
      <w:r>
        <w:t xml:space="preserve"> that result from connection to the divine, </w:t>
      </w:r>
      <w:r w:rsidRPr="00EC3D7B">
        <w:t xml:space="preserve">include secure attachment to God, collaborative religious coping, and calling (Bickerton et al., 2014). Atttachment to God is considered a personal resource at work because it </w:t>
      </w:r>
      <w:r>
        <w:t>buffers the demands of work</w:t>
      </w:r>
      <w:r w:rsidRPr="00EC3D7B">
        <w:t>, however, the authors do not define secure attachment to God. Collaborative religious coping is an "active coping style that combines self-help with seeking the support and involvement of God," and calling is defined as a "summons to a particular work activity that originates from a transcendent sacred source" (Bickerton et al., 2014, p. 372).</w:t>
      </w:r>
      <w:r>
        <w:t xml:space="preserve"> </w:t>
      </w:r>
    </w:p>
    <w:p w14:paraId="62C00D03" w14:textId="77777777" w:rsidR="00915863" w:rsidRDefault="00915863" w:rsidP="00915863">
      <w:r w:rsidRPr="00536BDC">
        <w:t xml:space="preserve">One of the more significant conclusions Bickerton et al. </w:t>
      </w:r>
      <w:r>
        <w:t xml:space="preserve">(2014) </w:t>
      </w:r>
      <w:r w:rsidRPr="00536BDC">
        <w:t>found was that spiritual resources had a greater effect on work engagement than job resources among religious workers. This finding supports personal resources within the conceptual framework of Job-Crafting and agrees with Demerouti et al.</w:t>
      </w:r>
      <w:r>
        <w:t>’s</w:t>
      </w:r>
      <w:r w:rsidRPr="00536BDC">
        <w:t xml:space="preserve"> (2001) insistence that </w:t>
      </w:r>
      <w:r>
        <w:t>Job Demands-Resources model (</w:t>
      </w:r>
      <w:r w:rsidRPr="00536BDC">
        <w:t>JD-R</w:t>
      </w:r>
      <w:r>
        <w:t>)</w:t>
      </w:r>
      <w:r w:rsidRPr="00536BDC">
        <w:t xml:space="preserve"> should only include organizational resources job control, autonomy, promotion, and task variety.</w:t>
      </w:r>
      <w:r>
        <w:t xml:space="preserve"> </w:t>
      </w:r>
      <w:r w:rsidRPr="00536BDC">
        <w:t>Though</w:t>
      </w:r>
      <w:r>
        <w:t xml:space="preserve"> the</w:t>
      </w:r>
      <w:r w:rsidRPr="00536BDC">
        <w:t xml:space="preserve"> Bickerton et al. (2014) study offers significant advancement of spiritual resources as a means to manage job demands, personal resources are not conceptually part of the JD-R model. The Job Demands-Resources model specifically identifies job characteristics as demands on the employee </w:t>
      </w:r>
      <w:r w:rsidRPr="00536BDC">
        <w:lastRenderedPageBreak/>
        <w:t xml:space="preserve">or a resource the employee can leverage against the demands, but the founding authors explicitly state that the demands and resources are considered inherent in the job design and cannot include individual employee characteristics (Demerouti et al, 2001). Employees can leverage spiritual resources to improve work engagement. This study would have done better to fit spiritual resources within the Job-Crafting model since it provides employees capacity to achieve work engagement from a bottom-up conceptual approach. </w:t>
      </w:r>
    </w:p>
    <w:p w14:paraId="7CC01AC1" w14:textId="77777777" w:rsidR="00915863" w:rsidRDefault="00915863" w:rsidP="00915863">
      <w:r w:rsidRPr="007823F4">
        <w:t>Bickerton et al. (2014) inaccurately cites Demerouti et al.</w:t>
      </w:r>
      <w:r>
        <w:t>’s</w:t>
      </w:r>
      <w:r w:rsidRPr="007823F4">
        <w:t xml:space="preserve"> (2001) founding study on JD-R </w:t>
      </w:r>
      <w:r>
        <w:t>model</w:t>
      </w:r>
      <w:r w:rsidRPr="007823F4">
        <w:t xml:space="preserve"> as claiming that job resources and personal resources promote work engagement (Bickerton et al., 2014, p. 371). However, Demerouti et al. (2001) take the position that "in our study, we focus on external resources because there is no general agreement regarding which internal resources can be considered stable or situation independent - and which can be changed by adequate job design" (p. 501). The full scope of job resources include feedback, job rewards, job control, participation, job security, and supervisor support (Demerout</w:t>
      </w:r>
      <w:r>
        <w:t>i</w:t>
      </w:r>
      <w:r w:rsidRPr="007823F4">
        <w:t xml:space="preserve"> et al., 2001) which are strictly confined to job characteristics rather than personal resources.</w:t>
      </w:r>
      <w:r>
        <w:t xml:space="preserve"> </w:t>
      </w:r>
    </w:p>
    <w:p w14:paraId="70CF692D" w14:textId="77777777" w:rsidR="00915863" w:rsidRDefault="00915863" w:rsidP="00915863">
      <w:r>
        <w:t xml:space="preserve">Defining spirituality "spirituality, the human craving for connection with the transcendent, the desire to integrate the self into a meaningful whole, and attaining one's potential…" (Nwanzu &amp; Babalola, 2021, p. 127). Spirituality can be loosely defined as "the basic feeling of being connected with one's complete self, others, and the entire universe" (Mitroff &amp; Denton, 1999, p. 83). Three factors compose spirituality: connecting to the work community, finding significance at work, and accessing individual hopefulness (Arokiasamy &amp; Tat, 2020). Cavanagh (1999) defined the concept as “the </w:t>
      </w:r>
      <w:r>
        <w:lastRenderedPageBreak/>
        <w:t>desire to find ultimate purpose in life, and to live accordingly.” Ashmos and Duchon (2000) defined spirituality at work as “recognition of an inner life that nourishes and is nourished by meaningful work that takes place in the context of community.” Workplace spirituality has been defined as “a framework of organizational values evidenced in the culture that promote employees’ experience of transcendence through the work process, facilitating their sense of being connected to others in a way that provides feelings of completeness and joy” (Giacalone &amp; Jurkiewicz, 2003). Pawar (2008) defined workplace spirituality as “employee experiences of self-transcendence, meaning, and community in the workplace and it also acknowledges that these experiences could come from various mechanisms including organizational ones.”</w:t>
      </w:r>
    </w:p>
    <w:p w14:paraId="6002E858" w14:textId="77777777" w:rsidR="00915863" w:rsidRDefault="00915863" w:rsidP="00915863">
      <w:r w:rsidRPr="00672DD8">
        <w:t>"According to the theory of workplace spirituality, employees feel connected to their colleagues and the institutions they work for and a congruence between their values and the values of the institution. They feel a sense of accomplishment in the job. All these factors are an indication that the employees feel as part of the system, they tend to work with a purpose, building esteem in the job and in a way feel a sense of belonging to the institution" (Arokiasamy &amp; Tat, 2020, p. 859).</w:t>
      </w:r>
    </w:p>
    <w:p w14:paraId="6A9861B1" w14:textId="77777777" w:rsidR="00915863" w:rsidRDefault="00915863" w:rsidP="00915863">
      <w:r w:rsidRPr="00672DD8">
        <w:t xml:space="preserve">"The study throws light on the fact that if the academic employees find the leadership style at the university is transformational with increase in idealized influence, inspirational motivation, intellectual stimulation and individualized consideration; this positively affects the intention of the employees to stay with their current institutions and </w:t>
      </w:r>
      <w:r w:rsidRPr="00672DD8">
        <w:lastRenderedPageBreak/>
        <w:t>achieve greater job satisfaction and enrichment thus reducing the turnover rate of academic employee’s departure to other institutions" (Arokiasamy &amp; Tat, 2020, p. 860).</w:t>
      </w:r>
    </w:p>
    <w:p w14:paraId="72E8A874" w14:textId="77777777" w:rsidR="00915863" w:rsidRPr="00EC3D7B" w:rsidRDefault="00915863" w:rsidP="00915863">
      <w:r w:rsidRPr="00EB5913">
        <w:t>As educators experience a need for recovery, school administrators should be looking for new ways to offer spiritual resources. This is additive to the role spirituality plays in well-being. The study shows well-being is affected by decreasing burnout and increasing job satisfaction. This study should provide a significant basis for advocating spiritual engagement.</w:t>
      </w:r>
      <w:r>
        <w:t xml:space="preserve"> </w:t>
      </w:r>
      <w:r w:rsidRPr="00EB5913">
        <w:t>“The proposed research model shows that spiritual resources have multiple simultaneous and cross-functional functions. This means that they simultaneously help to weaken emotional burnout and strengthen job enthusiasm, and then simultaneously and intermittently reduce redundancies and ultimately increase wellbeing” (</w:t>
      </w:r>
      <w:r>
        <w:t xml:space="preserve">Hashemi et al., 2017, </w:t>
      </w:r>
      <w:r w:rsidRPr="00EB5913">
        <w:t>p. 18).</w:t>
      </w:r>
      <w:r>
        <w:t xml:space="preserve"> "Spiritual resources are a class of personal resources derived from a connection with a sacred being. This includes beliefs, customs, and activities related to the sacred, and increase a person's flexibility as well as his perception of control and influence over his environment" (Hashemi et al., 2017, p. 2). "Meaningfulness can be defined as the value of a work that relates to the ideals or norms of individuals" (Hashemi et al., 2017, p. 4). "Secure attachment to God is defined as a sense of a supportive relationship from God or a divine experience in personal life or work. Religious coping strategies use religous behaviors and beliefs to facilitate problem-solving in order to prevent or reduce the emotional consequences of stressful living conditions (Koenig, Pargament, &amp; Nielsen, 1998). Sanctification of work is defined as the consideration of a particular work activity that originates from a transcendent sacred source (Estger, Pickering, Sheen, &amp; Dick, 2010)" (Hashemi et al., 2017, p. 5). </w:t>
      </w:r>
      <w:r w:rsidRPr="00FE5F93">
        <w:t xml:space="preserve">The results showed that the spiritual resources both directly and indirectly through emotional </w:t>
      </w:r>
      <w:r w:rsidRPr="00FE5F93">
        <w:lastRenderedPageBreak/>
        <w:t>exhaustion and work engagement have significant effects on the work well-being of employees and turnover intention. The results also indicated that spiritual resources, despite cultural and religious differences, can increase the perception of control, the sense of meaning and calling and flexibility in the employees, thereby reducing emotional exhaustion and increasing work engagement</w:t>
      </w:r>
      <w:r>
        <w:t xml:space="preserve"> (Hashemi et al., 2017)</w:t>
      </w:r>
      <w:r w:rsidRPr="00FE5F93">
        <w:t>.</w:t>
      </w:r>
    </w:p>
    <w:p w14:paraId="668084BF" w14:textId="77777777" w:rsidR="009E01E5" w:rsidRPr="0039613A" w:rsidRDefault="009E01E5" w:rsidP="002B599E">
      <w:r>
        <w:br w:type="page"/>
      </w:r>
      <w:bookmarkStart w:id="24" w:name="_Toc486409242"/>
      <w:r w:rsidRPr="0039613A">
        <w:lastRenderedPageBreak/>
        <w:t xml:space="preserve">CHAPTER 3: RESEARCH </w:t>
      </w:r>
      <w:r w:rsidR="00BA0D6B" w:rsidRPr="0039613A">
        <w:t>DESIGN</w:t>
      </w:r>
      <w:r w:rsidR="00D94AE4" w:rsidRPr="0039613A">
        <w:t xml:space="preserve"> AND METHODOLOGY</w:t>
      </w:r>
      <w:bookmarkEnd w:id="24"/>
    </w:p>
    <w:p w14:paraId="035E706F" w14:textId="21BD7636" w:rsidR="00B245EA" w:rsidRDefault="003D455F" w:rsidP="00933F34">
      <w:pPr>
        <w:pStyle w:val="BodyText"/>
        <w:keepNext w:val="0"/>
      </w:pPr>
      <w:r>
        <w:t>T</w:t>
      </w:r>
      <w:r w:rsidR="00841062">
        <w:t xml:space="preserve">his chapter </w:t>
      </w:r>
      <w:r w:rsidR="00B245EA">
        <w:t>presents</w:t>
      </w:r>
      <w:r w:rsidR="00841062">
        <w:t xml:space="preserve"> the research </w:t>
      </w:r>
      <w:r w:rsidR="00B245EA">
        <w:t xml:space="preserve">design and </w:t>
      </w:r>
      <w:r w:rsidR="00841062">
        <w:t xml:space="preserve">methodology for this quantitative </w:t>
      </w:r>
      <w:r w:rsidR="00360B3C">
        <w:t xml:space="preserve">correlational </w:t>
      </w:r>
      <w:r w:rsidR="00841062">
        <w:t>study</w:t>
      </w:r>
      <w:r w:rsidR="00B245EA">
        <w:t>. The problem statement summarizes the research followed by a thesis statement concerning what will be done in the research and a list of the null hypotheses that will be tested. Operational definitions explain the survey questions and responses used to describe variables in the hypothesis. Assumptions regarding the research methodology, limitations of the study, ethical compliance are explained. Procedures for gathering reserch are detailed and included a description of the population and sample groups. Two instruments…</w:t>
      </w:r>
    </w:p>
    <w:p w14:paraId="6B718414" w14:textId="09ACB6E4" w:rsidR="00D94AE4" w:rsidRDefault="00E5062F" w:rsidP="00933F34">
      <w:pPr>
        <w:pStyle w:val="BodyText"/>
        <w:keepNext w:val="0"/>
      </w:pPr>
      <w:r>
        <w:t xml:space="preserve"> regarding the relationship between spiritual resources and </w:t>
      </w:r>
      <w:r w:rsidR="00151643">
        <w:t xml:space="preserve">the need for recovery from </w:t>
      </w:r>
      <w:r>
        <w:t>work among adjunct faculty at online</w:t>
      </w:r>
      <w:r w:rsidR="004B6A48">
        <w:t xml:space="preserve"> universities. This approach </w:t>
      </w:r>
      <w:r w:rsidR="000E7A5D">
        <w:t xml:space="preserve">describes the extent </w:t>
      </w:r>
      <w:r w:rsidR="00890CA0">
        <w:t xml:space="preserve">to which predictor variables relate to outcome </w:t>
      </w:r>
      <w:r w:rsidR="00890CA0" w:rsidRPr="00E367DF">
        <w:t>variables (</w:t>
      </w:r>
      <w:r w:rsidR="005B24D7" w:rsidRPr="00E367DF">
        <w:t xml:space="preserve">Plano </w:t>
      </w:r>
      <w:r w:rsidR="00C57FB8" w:rsidRPr="00E367DF">
        <w:t>Clark</w:t>
      </w:r>
      <w:r w:rsidR="00890CA0" w:rsidRPr="00E367DF">
        <w:t xml:space="preserve">, </w:t>
      </w:r>
      <w:r w:rsidR="00933F34" w:rsidRPr="00E367DF">
        <w:t>2015).</w:t>
      </w:r>
      <w:r w:rsidR="00AF5DCE" w:rsidRPr="00E367DF">
        <w:t xml:space="preserve"> Th</w:t>
      </w:r>
      <w:r w:rsidR="00AF5DCE">
        <w:t xml:space="preserve">e applicability of a correlational design for this study </w:t>
      </w:r>
      <w:r w:rsidR="00F113E2">
        <w:t xml:space="preserve">are discussed in depth in this chapter. The research plan, including the methodology, study participants, procedures, </w:t>
      </w:r>
      <w:r w:rsidR="007D58C2">
        <w:t>analysis method, and ethical concerns are also primary components of this chapter.</w:t>
      </w:r>
    </w:p>
    <w:p w14:paraId="7CE4D44B" w14:textId="6EB04DD4" w:rsidR="003B532E" w:rsidRDefault="003B532E" w:rsidP="000B2D37">
      <w:pPr>
        <w:pStyle w:val="APALevel2"/>
        <w:keepNext w:val="0"/>
        <w:keepLines w:val="0"/>
      </w:pPr>
      <w:bookmarkStart w:id="25" w:name="_Toc486409243"/>
      <w:r>
        <w:t>Problem Statement</w:t>
      </w:r>
      <w:bookmarkEnd w:id="25"/>
    </w:p>
    <w:p w14:paraId="6D9E3335" w14:textId="4362F2D0" w:rsidR="008A661B" w:rsidRDefault="00A30441" w:rsidP="000B2D37">
      <w:pPr>
        <w:keepNext w:val="0"/>
      </w:pPr>
      <w:r>
        <w:t>The problem is that i</w:t>
      </w:r>
      <w:r w:rsidR="008A661B" w:rsidRPr="008A661B">
        <w:t xml:space="preserve">t is </w:t>
      </w:r>
      <w:r w:rsidR="002474F7">
        <w:t>un</w:t>
      </w:r>
      <w:r w:rsidR="008A661B" w:rsidRPr="008A661B">
        <w:t xml:space="preserve">known if </w:t>
      </w:r>
      <w:r w:rsidR="002474F7">
        <w:t xml:space="preserve">there is a relationship between </w:t>
      </w:r>
      <w:r w:rsidR="008A661B" w:rsidRPr="008A661B">
        <w:t xml:space="preserve">spiritual </w:t>
      </w:r>
      <w:r w:rsidR="002474F7">
        <w:t xml:space="preserve">engagement and </w:t>
      </w:r>
      <w:r w:rsidR="006826BD">
        <w:t>the need for r</w:t>
      </w:r>
      <w:r w:rsidR="008A661B" w:rsidRPr="008A661B">
        <w:t xml:space="preserve">ecovery from work </w:t>
      </w:r>
      <w:r w:rsidR="00E80BE6">
        <w:t>among adjunct faculty at online colleges</w:t>
      </w:r>
      <w:r w:rsidR="008A661B" w:rsidRPr="008A661B">
        <w:t>.</w:t>
      </w:r>
      <w:bookmarkStart w:id="26" w:name="_Toc486409244"/>
    </w:p>
    <w:p w14:paraId="567C9057" w14:textId="77777777" w:rsidR="00CF05A8" w:rsidRDefault="00CF05A8" w:rsidP="000B2D37">
      <w:pPr>
        <w:keepNext w:val="0"/>
      </w:pPr>
    </w:p>
    <w:p w14:paraId="1A8DBFFE" w14:textId="77777777" w:rsidR="00CF05A8" w:rsidRDefault="00CF05A8" w:rsidP="000B2D37">
      <w:pPr>
        <w:keepNext w:val="0"/>
      </w:pPr>
    </w:p>
    <w:p w14:paraId="077572EF" w14:textId="77777777" w:rsidR="00CF05A8" w:rsidRDefault="00CF05A8" w:rsidP="000B2D37">
      <w:pPr>
        <w:keepNext w:val="0"/>
      </w:pPr>
    </w:p>
    <w:p w14:paraId="7F99EB45" w14:textId="435EECA3" w:rsidR="005C2A39" w:rsidRDefault="005C2A39" w:rsidP="000B2D37">
      <w:pPr>
        <w:pStyle w:val="APALevel2"/>
        <w:keepNext w:val="0"/>
        <w:keepLines w:val="0"/>
      </w:pPr>
      <w:r>
        <w:t>Purpose Statement</w:t>
      </w:r>
    </w:p>
    <w:p w14:paraId="0BDBD94C" w14:textId="143D087E" w:rsidR="005C2A39" w:rsidRPr="005C2A39" w:rsidRDefault="003D455F" w:rsidP="005C2A39">
      <w:r w:rsidRPr="003D455F">
        <w:lastRenderedPageBreak/>
        <w:t>The purpose of this quantitative correlational study is to investigate the relationship between spiritual engagement and the need for recovery from work among adjunct faculty in online colleges.</w:t>
      </w:r>
    </w:p>
    <w:p w14:paraId="71B14A23" w14:textId="5AE2C58E" w:rsidR="00D94AE4" w:rsidRDefault="00D94AE4" w:rsidP="000B2D37">
      <w:pPr>
        <w:pStyle w:val="APALevel2"/>
        <w:keepNext w:val="0"/>
        <w:keepLines w:val="0"/>
      </w:pPr>
      <w:r>
        <w:t>Thesis Statement</w:t>
      </w:r>
      <w:bookmarkEnd w:id="26"/>
    </w:p>
    <w:p w14:paraId="7CDC4A6E" w14:textId="6CE48C6D" w:rsidR="00DE32C3" w:rsidRDefault="006826BD" w:rsidP="000B2D37">
      <w:pPr>
        <w:keepNext w:val="0"/>
      </w:pPr>
      <w:r>
        <w:t xml:space="preserve">This quantitative correlational study will </w:t>
      </w:r>
      <w:r w:rsidR="00FD2B35">
        <w:t>investigate</w:t>
      </w:r>
      <w:r>
        <w:t xml:space="preserve"> the relationship between s</w:t>
      </w:r>
      <w:r w:rsidR="00281FCE" w:rsidRPr="00281FCE">
        <w:t xml:space="preserve">piritual </w:t>
      </w:r>
      <w:r>
        <w:t xml:space="preserve">engagement </w:t>
      </w:r>
      <w:r w:rsidR="009533C0">
        <w:t>a</w:t>
      </w:r>
      <w:r w:rsidR="00281FCE" w:rsidRPr="00281FCE">
        <w:t xml:space="preserve">nd </w:t>
      </w:r>
      <w:r w:rsidR="009533C0">
        <w:t xml:space="preserve">the need for </w:t>
      </w:r>
      <w:r w:rsidR="00281FCE" w:rsidRPr="00281FCE">
        <w:t xml:space="preserve">recovery from work </w:t>
      </w:r>
      <w:r w:rsidR="00C622B8">
        <w:t>among adjunct faculty at online</w:t>
      </w:r>
      <w:r w:rsidR="00E80BE6">
        <w:t xml:space="preserve"> colleges</w:t>
      </w:r>
      <w:r w:rsidR="00281FCE" w:rsidRPr="00281FCE">
        <w:t>.</w:t>
      </w:r>
    </w:p>
    <w:p w14:paraId="39761B86" w14:textId="4400E534" w:rsidR="009E01E5" w:rsidRDefault="003B532E" w:rsidP="000B2D37">
      <w:pPr>
        <w:pStyle w:val="APALevel2"/>
        <w:keepNext w:val="0"/>
        <w:keepLines w:val="0"/>
      </w:pPr>
      <w:bookmarkStart w:id="27" w:name="_Toc486409245"/>
      <w:r>
        <w:t xml:space="preserve">Null </w:t>
      </w:r>
      <w:r w:rsidR="009E01E5">
        <w:t>Hypothes</w:t>
      </w:r>
      <w:r w:rsidR="0039613A">
        <w:t>e</w:t>
      </w:r>
      <w:r w:rsidR="009E01E5">
        <w:t>s</w:t>
      </w:r>
      <w:bookmarkEnd w:id="27"/>
    </w:p>
    <w:p w14:paraId="56155F24" w14:textId="45996F0D" w:rsidR="005B24D7" w:rsidRDefault="009533C0" w:rsidP="000B2D37">
      <w:pPr>
        <w:keepNext w:val="0"/>
      </w:pPr>
      <w:r>
        <w:t>H</w:t>
      </w:r>
      <w:r>
        <w:rPr>
          <w:vertAlign w:val="subscript"/>
        </w:rPr>
        <w:t>0</w:t>
      </w:r>
      <w:r>
        <w:t xml:space="preserve"> There is a no statistically significant correlation between spiritual engagement and the need for recovery from work among adjunct faculty in online colleges.</w:t>
      </w:r>
    </w:p>
    <w:p w14:paraId="1D1D57B3" w14:textId="77777777" w:rsidR="009533C0" w:rsidRDefault="009533C0" w:rsidP="009533C0">
      <w:pPr>
        <w:pStyle w:val="APALevel2"/>
        <w:keepNext w:val="0"/>
      </w:pPr>
      <w:bookmarkStart w:id="28" w:name="_Toc486409247"/>
      <w:r>
        <w:t>Alternative Hypotheses</w:t>
      </w:r>
    </w:p>
    <w:p w14:paraId="5C821DC5" w14:textId="0F70F0E7" w:rsidR="009144F2" w:rsidRDefault="009533C0" w:rsidP="009533C0">
      <w:pPr>
        <w:keepNext w:val="0"/>
      </w:pPr>
      <w:r>
        <w:t>H</w:t>
      </w:r>
      <w:r>
        <w:rPr>
          <w:vertAlign w:val="subscript"/>
        </w:rPr>
        <w:t>a1</w:t>
      </w:r>
      <w:r>
        <w:t xml:space="preserve"> There is a statistically significant correlation between spiritual engagement and the need for recovery from work among adjunct faculty in online colleges.</w:t>
      </w:r>
      <w:bookmarkEnd w:id="28"/>
    </w:p>
    <w:p w14:paraId="51F39031" w14:textId="0225E33B" w:rsidR="009E01E5" w:rsidRDefault="009E01E5" w:rsidP="000B2D37">
      <w:pPr>
        <w:pStyle w:val="APALevel2"/>
        <w:keepNext w:val="0"/>
        <w:keepLines w:val="0"/>
      </w:pPr>
      <w:bookmarkStart w:id="29" w:name="_Toc486409249"/>
      <w:r>
        <w:t>Operational Definitions</w:t>
      </w:r>
      <w:bookmarkEnd w:id="29"/>
    </w:p>
    <w:p w14:paraId="271563C8" w14:textId="3AF9A345" w:rsidR="0075744D" w:rsidRPr="00BB6F60" w:rsidRDefault="0075744D" w:rsidP="0075744D">
      <w:pPr>
        <w:keepNext w:val="0"/>
      </w:pPr>
      <w:r>
        <w:t>Spiritual engagement refers to practices that "</w:t>
      </w:r>
      <w:r w:rsidRPr="00BB6F60">
        <w:t>awaken, strengthen, or deepen a person</w:t>
      </w:r>
      <w:r>
        <w:t>'</w:t>
      </w:r>
      <w:r w:rsidRPr="00BB6F60">
        <w:t>s intimacy or connection with God, and are intended to refresh by connecting the heart with the head</w:t>
      </w:r>
      <w:r w:rsidR="001406D9">
        <w:t>”</w:t>
      </w:r>
      <w:r w:rsidRPr="00BB6F60">
        <w:t xml:space="preserve"> (Schwanda, 2010</w:t>
      </w:r>
      <w:r w:rsidR="001406D9">
        <w:t xml:space="preserve">, as cited in </w:t>
      </w:r>
      <w:r w:rsidRPr="00BB6F60">
        <w:t>Roof et al., 2017, p. 219)</w:t>
      </w:r>
      <w:r>
        <w:t>. The most widely accepted spiritual practices identified in the literature are meditation</w:t>
      </w:r>
      <w:r w:rsidRPr="00F722AA">
        <w:t>, prayer, reading sacred texts, fasting, worship, and spiritual rest or Sabbath (Roof et al., 2017, p. 220)</w:t>
      </w:r>
      <w:r>
        <w:t>.</w:t>
      </w:r>
    </w:p>
    <w:p w14:paraId="6D6CCACE" w14:textId="77777777" w:rsidR="0075744D" w:rsidRDefault="0075744D" w:rsidP="0075744D">
      <w:pPr>
        <w:keepNext w:val="0"/>
        <w:rPr>
          <w:rFonts w:eastAsia="Times New Roman"/>
        </w:rPr>
      </w:pPr>
      <w:r w:rsidRPr="008D5B63">
        <w:t>Sabbath rest</w:t>
      </w:r>
      <w:r>
        <w:t xml:space="preserve"> is</w:t>
      </w:r>
      <w:r w:rsidRPr="008D5B63">
        <w:t xml:space="preserve"> </w:t>
      </w:r>
      <w:r>
        <w:t>"</w:t>
      </w:r>
      <w:r w:rsidRPr="008F6EB4">
        <w:t>considered a blessed rest from toil and troubles; it is an engagement in the work of God, and a matter of obedience</w:t>
      </w:r>
      <w:r>
        <w:t xml:space="preserve">. </w:t>
      </w:r>
      <w:r w:rsidRPr="008D5B63">
        <w:t>The Sabbath rest was a reminder to God</w:t>
      </w:r>
      <w:r>
        <w:t>'</w:t>
      </w:r>
      <w:r w:rsidRPr="008D5B63">
        <w:t xml:space="preserve">s people that their lives and land belonged to God. Israelites interpreted </w:t>
      </w:r>
      <w:r w:rsidRPr="008D5B63">
        <w:lastRenderedPageBreak/>
        <w:t>the Sabbath as a right ordering of life, and keeping it signified a right relationship with God, with people, animals, and the land</w:t>
      </w:r>
      <w:r>
        <w:t>"</w:t>
      </w:r>
      <w:r w:rsidRPr="008D5B63">
        <w:t xml:space="preserve"> (Gallagher, 2019, p. 7)</w:t>
      </w:r>
      <w:r>
        <w:t xml:space="preserve">. In addition to the observance of an official stop from work activity, rest is also an </w:t>
      </w:r>
      <w:r>
        <w:rPr>
          <w:rFonts w:eastAsia="Times New Roman"/>
        </w:rPr>
        <w:t>"</w:t>
      </w:r>
      <w:r w:rsidRPr="002F0C64">
        <w:rPr>
          <w:rFonts w:eastAsia="Times New Roman"/>
        </w:rPr>
        <w:t>inward attitudinal respite and reflection on God. Virtuous rest involves the Sabbath heart--the orienting of our hearts and minds towards God, reflecting on His presence, enjoying His creation, and humbly admitting that He is sovereign</w:t>
      </w:r>
      <w:r>
        <w:rPr>
          <w:rFonts w:eastAsia="Times New Roman"/>
        </w:rPr>
        <w:t>"</w:t>
      </w:r>
      <w:r w:rsidRPr="002F0C64">
        <w:rPr>
          <w:rFonts w:eastAsia="Times New Roman"/>
        </w:rPr>
        <w:t xml:space="preserve"> (White et al., 2015, p. 2)</w:t>
      </w:r>
      <w:r>
        <w:rPr>
          <w:rFonts w:eastAsia="Times New Roman"/>
        </w:rPr>
        <w:t>.</w:t>
      </w:r>
    </w:p>
    <w:p w14:paraId="7588FA07" w14:textId="77777777" w:rsidR="0075744D" w:rsidRDefault="0075744D" w:rsidP="0075744D">
      <w:pPr>
        <w:keepNext w:val="0"/>
      </w:pPr>
      <w:r>
        <w:t>Spiritual resources are a "class of personal resources derived from a connection with a sacred being. This includes beliefs, customs, and activities related to the sacred, and increase a person's flexibility as well as his or her perception of control and influence over his or her environment" (Hashemi, 2017, p. 2).</w:t>
      </w:r>
    </w:p>
    <w:p w14:paraId="105E86C2" w14:textId="77777777" w:rsidR="0075744D" w:rsidRDefault="0075744D" w:rsidP="0075744D">
      <w:pPr>
        <w:keepNext w:val="0"/>
      </w:pPr>
      <w:r>
        <w:t>Recovery from work "</w:t>
      </w:r>
      <w:r w:rsidRPr="00E22301">
        <w:t>The four most researched recovery experiences are psychological detachment, not thinking about work during nonwork time; relaxation, having a low activation level; mastery, facing a positive challenge to learn something new; and control, having a feeling of control over nonwork time</w:t>
      </w:r>
      <w:r>
        <w:t>" (Bennett, Bakker, &amp; Field, 2017, p. 262)</w:t>
      </w:r>
      <w:r w:rsidRPr="00E22301">
        <w:t>.</w:t>
      </w:r>
    </w:p>
    <w:p w14:paraId="6ED3BB91" w14:textId="77777777" w:rsidR="00566C85" w:rsidRDefault="00566C85" w:rsidP="00566C85">
      <w:pPr>
        <w:keepNext w:val="0"/>
      </w:pPr>
      <w:r>
        <w:t xml:space="preserve">Work engagement is a "positive fulfilling psychological state characterized by a) vigor - high levels of energy and resilience; b) dedication – experiencing a sense of significance, pride, and challenge; and c) absorption – being fully concentrated and happily engrossed in one's work" (Schaufeli, 2017, p. 121). </w:t>
      </w:r>
    </w:p>
    <w:p w14:paraId="40AC55CE" w14:textId="58822755" w:rsidR="00DC15CB" w:rsidRDefault="00DC15CB" w:rsidP="00501FF2">
      <w:pPr>
        <w:keepNext w:val="0"/>
      </w:pPr>
      <w:r>
        <w:t>Burnout</w:t>
      </w:r>
      <w:r w:rsidR="009F5576">
        <w:t xml:space="preserve"> </w:t>
      </w:r>
      <w:r w:rsidR="00CF253C">
        <w:t xml:space="preserve">is </w:t>
      </w:r>
      <w:r w:rsidR="0041766B">
        <w:t xml:space="preserve">an </w:t>
      </w:r>
      <w:r w:rsidR="00916E99">
        <w:t>ever-increasing phenomenon</w:t>
      </w:r>
      <w:r w:rsidR="0041766B">
        <w:t xml:space="preserve"> </w:t>
      </w:r>
      <w:r w:rsidR="000E537A">
        <w:t xml:space="preserve">impacting employees who find themselves caught meeting the high employer demands for productivity </w:t>
      </w:r>
      <w:r w:rsidR="00BC79A4">
        <w:t>and maximum profit while neglecting the employees</w:t>
      </w:r>
      <w:r w:rsidR="00766033">
        <w:t>'</w:t>
      </w:r>
      <w:r w:rsidR="00BC79A4">
        <w:t xml:space="preserve"> overall well-being (</w:t>
      </w:r>
      <w:r w:rsidR="00916E99">
        <w:t xml:space="preserve">Gallagher, 2019). </w:t>
      </w:r>
      <w:r w:rsidR="002A4725">
        <w:t xml:space="preserve">Burnout has become part of </w:t>
      </w:r>
      <w:r w:rsidR="00D915B0">
        <w:t>common</w:t>
      </w:r>
      <w:r w:rsidR="002A4725">
        <w:t xml:space="preserve"> vernacular </w:t>
      </w:r>
      <w:r w:rsidR="00CF253C">
        <w:t xml:space="preserve">largely in part due to the groundbreaking work of </w:t>
      </w:r>
      <w:r w:rsidR="00CF253C" w:rsidRPr="005E4B45">
        <w:lastRenderedPageBreak/>
        <w:t>Masl</w:t>
      </w:r>
      <w:r w:rsidR="00D87ECC" w:rsidRPr="005E4B45">
        <w:t xml:space="preserve">ach </w:t>
      </w:r>
      <w:r w:rsidR="005E4B45" w:rsidRPr="005E4B45">
        <w:t xml:space="preserve">&amp; Jackson </w:t>
      </w:r>
      <w:r w:rsidR="00D87ECC" w:rsidRPr="005E4B45">
        <w:t>(198</w:t>
      </w:r>
      <w:r w:rsidR="005E4B45" w:rsidRPr="005E4B45">
        <w:t>1</w:t>
      </w:r>
      <w:r w:rsidR="00D87ECC" w:rsidRPr="005E4B45">
        <w:t>) study and</w:t>
      </w:r>
      <w:r w:rsidR="00D87ECC">
        <w:t xml:space="preserve"> development of an instrument measuring burnout among</w:t>
      </w:r>
      <w:r w:rsidR="00596C85">
        <w:t xml:space="preserve"> workers in the human services sectors. However, significant shortcomings of this instrument</w:t>
      </w:r>
      <w:r w:rsidR="00F609DA">
        <w:t xml:space="preserve"> have </w:t>
      </w:r>
      <w:r w:rsidR="00D915B0">
        <w:t>led</w:t>
      </w:r>
      <w:r w:rsidR="00F609DA">
        <w:t xml:space="preserve"> to reconceptualizing employee burnout to incorporate the strenous work performed </w:t>
      </w:r>
      <w:r w:rsidR="002F08A4">
        <w:t xml:space="preserve">in other fields. </w:t>
      </w:r>
      <w:r w:rsidR="003416B3">
        <w:t>In favor of the more inclusive conceptualization, the O</w:t>
      </w:r>
      <w:r w:rsidR="00B91575">
        <w:t>ldenburg Burnout In</w:t>
      </w:r>
      <w:r w:rsidR="00B91575" w:rsidRPr="00A82605">
        <w:t>ventory (OLBI; Demerouti</w:t>
      </w:r>
      <w:r w:rsidR="00A82605" w:rsidRPr="00A82605">
        <w:t xml:space="preserve"> et al.</w:t>
      </w:r>
      <w:r w:rsidR="00B91575" w:rsidRPr="00A82605">
        <w:t xml:space="preserve">, </w:t>
      </w:r>
      <w:r w:rsidR="00A82605" w:rsidRPr="00A82605">
        <w:t>2008</w:t>
      </w:r>
      <w:r w:rsidR="00B91575" w:rsidRPr="00A82605">
        <w:t>) was developed</w:t>
      </w:r>
      <w:r w:rsidR="00B91575">
        <w:t>.</w:t>
      </w:r>
      <w:r w:rsidR="00904EFD">
        <w:t xml:space="preserve"> </w:t>
      </w:r>
      <w:r w:rsidR="007A097D">
        <w:t>Demerouti</w:t>
      </w:r>
      <w:r w:rsidR="00B9179F">
        <w:t xml:space="preserve"> et al. (2001) explains that the OLBI includes two dimensions</w:t>
      </w:r>
      <w:r w:rsidR="004A3D5A">
        <w:t>, exhaustion and disengagement from work</w:t>
      </w:r>
      <w:r w:rsidR="00501FF2">
        <w:t>, where “</w:t>
      </w:r>
      <w:r w:rsidR="00904EFD">
        <w:t>Exhaustion is defined as a consequence of intensive physical, affective, and cognitive strain</w:t>
      </w:r>
      <w:r w:rsidR="003448ED">
        <w:t>…[and] disengagement</w:t>
      </w:r>
      <w:r w:rsidR="00FB41E7">
        <w:t xml:space="preserve"> refers to distancing oneself from one</w:t>
      </w:r>
      <w:r w:rsidR="00766033">
        <w:t>'</w:t>
      </w:r>
      <w:r w:rsidR="00FB41E7">
        <w:t>s work, and experiencing negative attitudes toward the work object, work content, or one</w:t>
      </w:r>
      <w:r w:rsidR="00766033">
        <w:t>'</w:t>
      </w:r>
      <w:r w:rsidR="00FB41E7">
        <w:t>s work in general</w:t>
      </w:r>
      <w:r w:rsidR="00501FF2">
        <w:t>”</w:t>
      </w:r>
      <w:r w:rsidR="00563552">
        <w:t xml:space="preserve"> (pp. </w:t>
      </w:r>
      <w:r w:rsidR="00E216CD">
        <w:t>499-501)</w:t>
      </w:r>
      <w:r w:rsidR="000454AF">
        <w:t>.</w:t>
      </w:r>
      <w:r w:rsidR="00501FF2">
        <w:t xml:space="preserve"> </w:t>
      </w:r>
      <w:r w:rsidR="00E04786">
        <w:t xml:space="preserve">This conceptual shift has led to </w:t>
      </w:r>
      <w:r w:rsidR="005D1A80">
        <w:t xml:space="preserve">social researchers </w:t>
      </w:r>
      <w:r w:rsidR="004E3931">
        <w:t>prefer</w:t>
      </w:r>
      <w:r w:rsidR="005D1A80">
        <w:t>ring the OLBI</w:t>
      </w:r>
      <w:r w:rsidR="008C045A">
        <w:t xml:space="preserve"> dimensions of exhaustion and disengagement to measure burnout</w:t>
      </w:r>
      <w:r w:rsidR="00315B3F">
        <w:t xml:space="preserve"> through the</w:t>
      </w:r>
      <w:r w:rsidR="00C067B2">
        <w:t xml:space="preserve"> symptoms of tiredness, </w:t>
      </w:r>
      <w:r w:rsidR="00A0471B">
        <w:t xml:space="preserve">mental weariness, emotional exhaustion, </w:t>
      </w:r>
      <w:r w:rsidR="00C27CDB">
        <w:t>extreme or prolonged fatigue</w:t>
      </w:r>
      <w:r w:rsidR="00C27CDB" w:rsidRPr="003B3FEE">
        <w:t xml:space="preserve">, </w:t>
      </w:r>
      <w:r w:rsidR="003150FF" w:rsidRPr="003B3FEE">
        <w:t>etc. (Bernales-Turpo et al., 2022).</w:t>
      </w:r>
      <w:r w:rsidR="00C067B2">
        <w:t xml:space="preserve"> </w:t>
      </w:r>
      <w:r w:rsidR="008C045A">
        <w:t xml:space="preserve"> </w:t>
      </w:r>
      <w:r w:rsidR="005D1A80">
        <w:t xml:space="preserve"> </w:t>
      </w:r>
    </w:p>
    <w:p w14:paraId="1C916145" w14:textId="1051D8AC" w:rsidR="007C27D0" w:rsidRDefault="007C27D0" w:rsidP="000B2D37">
      <w:pPr>
        <w:keepNext w:val="0"/>
      </w:pPr>
      <w:r>
        <w:t>Work-related flow</w:t>
      </w:r>
      <w:r w:rsidR="00150284">
        <w:t xml:space="preserve"> </w:t>
      </w:r>
      <w:r w:rsidR="00FA1476">
        <w:t xml:space="preserve">has been </w:t>
      </w:r>
      <w:r w:rsidR="00CF796F">
        <w:t xml:space="preserve">studied in various contexts over the past five decades. </w:t>
      </w:r>
      <w:r w:rsidR="006C043E">
        <w:t>Csikszentmihalyi (199</w:t>
      </w:r>
      <w:r w:rsidR="00105EDF">
        <w:t>0</w:t>
      </w:r>
      <w:r w:rsidR="006C043E">
        <w:t>) described flow as a mental state of operation in which a</w:t>
      </w:r>
      <w:r w:rsidR="00DB0D16">
        <w:t xml:space="preserve"> person is fully immersed in a feeling of energized focus, full involvement, and success during a specific athlethic or leisure activity.</w:t>
      </w:r>
      <w:r w:rsidR="006C043E">
        <w:t xml:space="preserve"> </w:t>
      </w:r>
      <w:r w:rsidR="00150284">
        <w:t xml:space="preserve">is an </w:t>
      </w:r>
      <w:r w:rsidR="00766033">
        <w:t>"</w:t>
      </w:r>
      <w:r w:rsidR="00150284">
        <w:t>autotelic experience, deep satisfaction or elation when the body or mind undertakes a large voluntary effort to accomplish something difficult and worthwhile</w:t>
      </w:r>
      <w:r w:rsidR="00766033">
        <w:t>"</w:t>
      </w:r>
      <w:r w:rsidR="00150284">
        <w:t xml:space="preserve"> (Wolf</w:t>
      </w:r>
      <w:r w:rsidR="00162D87">
        <w:t>igiel &amp; Czerw, 2017, p. 220).</w:t>
      </w:r>
      <w:r w:rsidR="00A80798">
        <w:t xml:space="preserve"> </w:t>
      </w:r>
      <w:r w:rsidR="001C6FBE">
        <w:t>The c</w:t>
      </w:r>
      <w:r w:rsidR="00A80798">
        <w:t>haracteristics of flow measured during work activity</w:t>
      </w:r>
      <w:r w:rsidR="001C6FBE">
        <w:t xml:space="preserve"> </w:t>
      </w:r>
      <w:r w:rsidR="00CC7BE9">
        <w:t>are described as</w:t>
      </w:r>
      <w:r w:rsidR="00A80798">
        <w:t xml:space="preserve">: a) </w:t>
      </w:r>
      <w:r w:rsidR="00CC7BE9">
        <w:t xml:space="preserve">task </w:t>
      </w:r>
      <w:r w:rsidR="00A80798">
        <w:t xml:space="preserve">absortion - a state of total concentration where employees are preoccupied with work; </w:t>
      </w:r>
      <w:r w:rsidR="001C6FBE">
        <w:t xml:space="preserve">b) </w:t>
      </w:r>
      <w:r w:rsidR="00A80798">
        <w:t xml:space="preserve">work enjoyment - an effect of cognitive and affective evaluation of experienced flow at work; </w:t>
      </w:r>
      <w:r w:rsidR="001C6FBE">
        <w:t xml:space="preserve">and c) </w:t>
      </w:r>
      <w:r w:rsidR="00A80798">
        <w:t xml:space="preserve">intrinsic work motivation - performing a professional task in order to experience </w:t>
      </w:r>
      <w:r w:rsidR="00A80798">
        <w:lastRenderedPageBreak/>
        <w:t>the pleasure and satisfaction that comes from this activity" (</w:t>
      </w:r>
      <w:r w:rsidR="001C6FBE">
        <w:t xml:space="preserve">Wolfigiel &amp; Czerw, 2017, </w:t>
      </w:r>
      <w:r w:rsidR="00A80798">
        <w:t>p. 221).</w:t>
      </w:r>
    </w:p>
    <w:p w14:paraId="6DD8509E" w14:textId="104B993D" w:rsidR="00AD273D" w:rsidRDefault="00AD273D" w:rsidP="000B2D37">
      <w:pPr>
        <w:keepNext w:val="0"/>
      </w:pPr>
      <w:r>
        <w:t>Job resources</w:t>
      </w:r>
      <w:r w:rsidR="00B86B4C">
        <w:t xml:space="preserve"> </w:t>
      </w:r>
      <w:r w:rsidR="00766033">
        <w:t>"</w:t>
      </w:r>
      <w:r w:rsidR="00B86B4C">
        <w:t xml:space="preserve">refer to those physical, psychological, social, or organizational aspects of the job that may do any of the following: </w:t>
      </w:r>
      <w:r w:rsidR="00C62896">
        <w:t>a) be functional in achieving work goals; b) reduce job demands at the associated physiological and psychological costs; and c) stimulate personal growth and development</w:t>
      </w:r>
      <w:r w:rsidR="00766033">
        <w:t>"</w:t>
      </w:r>
      <w:r w:rsidR="00C62896">
        <w:t xml:space="preserve"> (Demerouti et al., 2001, p. 501).</w:t>
      </w:r>
    </w:p>
    <w:p w14:paraId="7F4AA5D7" w14:textId="5F78755D" w:rsidR="00AD273D" w:rsidRDefault="00AD273D" w:rsidP="000B2D37">
      <w:pPr>
        <w:keepNext w:val="0"/>
      </w:pPr>
      <w:r>
        <w:t>Job demands</w:t>
      </w:r>
      <w:r w:rsidR="009B6A5B">
        <w:t xml:space="preserve"> </w:t>
      </w:r>
      <w:r w:rsidR="00766033">
        <w:t>"</w:t>
      </w:r>
      <w:r w:rsidR="009B6A5B">
        <w:t>refer</w:t>
      </w:r>
      <w:r w:rsidR="00EC4C50">
        <w:t xml:space="preserve"> to those physical, social, or organizational aspects of the job that require sustained physical or mental effort and are therefore associated with certain physiological and psychological costs (e.g., exhaustion)</w:t>
      </w:r>
      <w:r w:rsidR="00766033">
        <w:t>"</w:t>
      </w:r>
      <w:r w:rsidR="00EC4C50">
        <w:t xml:space="preserve"> (</w:t>
      </w:r>
      <w:r w:rsidR="00BB4378">
        <w:t xml:space="preserve">Demerouti et al., 2001, </w:t>
      </w:r>
      <w:r w:rsidR="00EC4C50">
        <w:t>p. 501).</w:t>
      </w:r>
    </w:p>
    <w:p w14:paraId="2FD8615A" w14:textId="2D998DD1" w:rsidR="005C70EC" w:rsidRDefault="00AD273D" w:rsidP="000B2D37">
      <w:pPr>
        <w:pStyle w:val="NormalWeb"/>
        <w:keepNext w:val="0"/>
        <w:rPr>
          <w:rFonts w:eastAsia="Times New Roman"/>
        </w:rPr>
      </w:pPr>
      <w:r w:rsidRPr="005D263F">
        <w:t>Job crafting</w:t>
      </w:r>
      <w:r w:rsidR="00F8540B">
        <w:t xml:space="preserve"> </w:t>
      </w:r>
      <w:r w:rsidR="0026746E">
        <w:t xml:space="preserve">is defined as </w:t>
      </w:r>
      <w:r w:rsidR="00766033">
        <w:rPr>
          <w:rFonts w:eastAsia="Times New Roman"/>
        </w:rPr>
        <w:t>"</w:t>
      </w:r>
      <w:r w:rsidR="005D263F" w:rsidRPr="005D263F">
        <w:rPr>
          <w:rFonts w:eastAsia="Times New Roman"/>
        </w:rPr>
        <w:t>the physical and cognitive changes individuals make in the task or relational boundaries of their work</w:t>
      </w:r>
      <w:r w:rsidR="00766033">
        <w:rPr>
          <w:rFonts w:eastAsia="Times New Roman"/>
        </w:rPr>
        <w:t>"</w:t>
      </w:r>
      <w:r w:rsidR="005D263F" w:rsidRPr="005D263F">
        <w:rPr>
          <w:rFonts w:eastAsia="Times New Roman"/>
        </w:rPr>
        <w:t xml:space="preserve"> (Wrzesniewski and Dutton, 2001, p. 179)</w:t>
      </w:r>
      <w:r w:rsidR="00EB789C">
        <w:rPr>
          <w:rFonts w:eastAsia="Times New Roman"/>
        </w:rPr>
        <w:t xml:space="preserve">. </w:t>
      </w:r>
      <w:r w:rsidR="00BA294A">
        <w:rPr>
          <w:rFonts w:eastAsia="Times New Roman"/>
        </w:rPr>
        <w:t xml:space="preserve">Through the proce of job crafting, employees </w:t>
      </w:r>
      <w:r w:rsidR="00766033">
        <w:rPr>
          <w:rFonts w:eastAsia="Times New Roman"/>
        </w:rPr>
        <w:t>"</w:t>
      </w:r>
      <w:r w:rsidR="00BA294A" w:rsidRPr="00BA294A">
        <w:rPr>
          <w:rFonts w:eastAsia="Times New Roman"/>
        </w:rPr>
        <w:t>shape the boundaries of their jobs and create a work environment that fits their preferences, skills, and competences</w:t>
      </w:r>
      <w:r w:rsidR="00766033">
        <w:rPr>
          <w:rFonts w:eastAsia="Times New Roman"/>
        </w:rPr>
        <w:t>"</w:t>
      </w:r>
      <w:r w:rsidR="00BA294A" w:rsidRPr="00BA294A">
        <w:rPr>
          <w:rFonts w:eastAsia="Times New Roman"/>
        </w:rPr>
        <w:t xml:space="preserve"> (Tims et al., 2015, p. 914)</w:t>
      </w:r>
      <w:r w:rsidR="005C70EC">
        <w:rPr>
          <w:rFonts w:eastAsia="Times New Roman"/>
        </w:rPr>
        <w:t xml:space="preserve">. </w:t>
      </w:r>
      <w:r w:rsidR="00766033">
        <w:rPr>
          <w:rFonts w:eastAsia="Times New Roman"/>
        </w:rPr>
        <w:t>"</w:t>
      </w:r>
      <w:r w:rsidR="005C70EC" w:rsidRPr="005C70EC">
        <w:rPr>
          <w:rFonts w:eastAsia="Times New Roman"/>
        </w:rPr>
        <w:t>Job crafting is the process whereby employees, through their personal initiative, adjust their work environment to ensure that their need for congruence with their environment is met and to improve the meaningfulness of their work-related activities (Wrzesniewski &amp; Dutton, 2001). As opposed to other bottom-up but reactive approaches to job redesign (e.g. employee participation in job redesign), job crafting denotes a self-initiated proactive work behaviour</w:t>
      </w:r>
      <w:r w:rsidR="00766033">
        <w:rPr>
          <w:rFonts w:eastAsia="Times New Roman"/>
        </w:rPr>
        <w:t>"</w:t>
      </w:r>
      <w:r w:rsidR="005C70EC" w:rsidRPr="005C70EC">
        <w:rPr>
          <w:rFonts w:eastAsia="Times New Roman"/>
        </w:rPr>
        <w:t xml:space="preserve"> (</w:t>
      </w:r>
      <w:r w:rsidR="00110BB8">
        <w:rPr>
          <w:rFonts w:eastAsia="Times New Roman"/>
        </w:rPr>
        <w:t xml:space="preserve">Craft 1995 as cited in, </w:t>
      </w:r>
      <w:r w:rsidR="005C70EC" w:rsidRPr="005C70EC">
        <w:rPr>
          <w:rFonts w:eastAsia="Times New Roman"/>
        </w:rPr>
        <w:t>Vermooten et al., 2019, p. 1)</w:t>
      </w:r>
      <w:r w:rsidR="005C70EC">
        <w:rPr>
          <w:rFonts w:eastAsia="Times New Roman"/>
        </w:rPr>
        <w:t>.</w:t>
      </w:r>
    </w:p>
    <w:p w14:paraId="07EF80F8" w14:textId="12A52D79" w:rsidR="009E01E5" w:rsidRDefault="00D94AE4" w:rsidP="000B2D37">
      <w:pPr>
        <w:pStyle w:val="APALevel2"/>
        <w:keepNext w:val="0"/>
        <w:keepLines w:val="0"/>
      </w:pPr>
      <w:bookmarkStart w:id="30" w:name="_Toc486409250"/>
      <w:r w:rsidRPr="001406D9">
        <w:t>Assumptions About Methodology</w:t>
      </w:r>
      <w:bookmarkEnd w:id="30"/>
    </w:p>
    <w:p w14:paraId="7F876929" w14:textId="3843C8BD" w:rsidR="000F01DC" w:rsidRPr="000F01DC" w:rsidRDefault="000F01DC" w:rsidP="00AB469F">
      <w:pPr>
        <w:keepNext w:val="0"/>
      </w:pPr>
      <w:r>
        <w:t xml:space="preserve">Quantitative research </w:t>
      </w:r>
      <w:r w:rsidR="001C29EC">
        <w:t>attempts</w:t>
      </w:r>
      <w:r>
        <w:t xml:space="preserve"> to </w:t>
      </w:r>
      <w:r w:rsidR="00340367">
        <w:t xml:space="preserve">establish </w:t>
      </w:r>
      <w:r w:rsidR="00A006E3">
        <w:t xml:space="preserve">relationships between variables within a population. </w:t>
      </w:r>
      <w:r w:rsidR="001C29EC">
        <w:t>Quantitative research requires researchers</w:t>
      </w:r>
      <w:r w:rsidR="00D30503">
        <w:t xml:space="preserve"> to use numeric data</w:t>
      </w:r>
      <w:r w:rsidR="000652E2">
        <w:t xml:space="preserve"> to describe </w:t>
      </w:r>
      <w:r w:rsidR="000652E2">
        <w:lastRenderedPageBreak/>
        <w:t>the attitudes, behaviors, or opinions of the sample population under study</w:t>
      </w:r>
      <w:r w:rsidR="00823F5F">
        <w:t xml:space="preserve"> (Creswell &amp; Creswell, </w:t>
      </w:r>
      <w:r w:rsidR="00487956">
        <w:t>2009).</w:t>
      </w:r>
      <w:r w:rsidR="00162C4E">
        <w:t xml:space="preserve"> The research </w:t>
      </w:r>
      <w:r w:rsidR="006B2CF9">
        <w:t>must strive for object</w:t>
      </w:r>
      <w:r w:rsidR="00D92629">
        <w:t>ivity and remains independent from the subjects under study</w:t>
      </w:r>
      <w:r w:rsidR="00EB4C8B">
        <w:t xml:space="preserve">. </w:t>
      </w:r>
      <w:r w:rsidR="00EA17AB">
        <w:t xml:space="preserve">This researcher </w:t>
      </w:r>
      <w:r w:rsidR="00783252">
        <w:t>assumes</w:t>
      </w:r>
      <w:r w:rsidR="009C2993">
        <w:t xml:space="preserve"> that the theoretical framework of the study is an accurate reflection of the phenomena being studied</w:t>
      </w:r>
      <w:r w:rsidR="00404F02">
        <w:t xml:space="preserve">. </w:t>
      </w:r>
      <w:r w:rsidR="00854C62">
        <w:t>The variables with this study are assumed to be measurable with validated and reliable instruments</w:t>
      </w:r>
      <w:r w:rsidR="00781EFC">
        <w:t xml:space="preserve"> measuring these variables. </w:t>
      </w:r>
      <w:r w:rsidR="00E77C68">
        <w:t xml:space="preserve">This quantitative study is </w:t>
      </w:r>
      <w:r w:rsidR="00DA735E">
        <w:t xml:space="preserve">addressing the potential correlations between the variables. </w:t>
      </w:r>
      <w:r w:rsidR="00AB469F">
        <w:t>Multiple variables are measured for each participant and statistics are used to determine the magnitude and direction of the associations among the variables (Plano Clark, 2015)</w:t>
      </w:r>
      <w:r w:rsidR="00F23CB2">
        <w:t>.</w:t>
      </w:r>
      <w:r w:rsidR="00AB469F">
        <w:t xml:space="preserve"> </w:t>
      </w:r>
      <w:r w:rsidR="00783252" w:rsidRPr="00783252">
        <w:t>The theoretical framework is assumed to be an accurate reflection of the phenomena being studied. Therefore, the results of your study are limited by the accuracy of the theoretical framework to reflect the phenomena under study.</w:t>
      </w:r>
    </w:p>
    <w:p w14:paraId="0A33636B" w14:textId="5E7D17D8" w:rsidR="00D94AE4" w:rsidRDefault="00D94AE4" w:rsidP="000B2D37">
      <w:pPr>
        <w:pStyle w:val="APALevel2"/>
        <w:keepNext w:val="0"/>
        <w:keepLines w:val="0"/>
      </w:pPr>
      <w:bookmarkStart w:id="31" w:name="_Toc486409251"/>
      <w:r w:rsidRPr="00CF05A8">
        <w:t>Limitations of the Study</w:t>
      </w:r>
      <w:bookmarkEnd w:id="31"/>
    </w:p>
    <w:p w14:paraId="20C04FF7" w14:textId="4B225B91" w:rsidR="00613C4B" w:rsidRPr="002F09AC" w:rsidRDefault="002F09AC" w:rsidP="000B2D37">
      <w:pPr>
        <w:keepNext w:val="0"/>
        <w:rPr>
          <w:i/>
          <w:iCs/>
        </w:rPr>
      </w:pPr>
      <w:r w:rsidRPr="002F09AC">
        <w:rPr>
          <w:i/>
          <w:iCs/>
        </w:rPr>
        <w:t>Limitations are those elements over which the researcher has no control. In most instances, any assumption you make becomes a limitation.</w:t>
      </w:r>
    </w:p>
    <w:p w14:paraId="7079B19F" w14:textId="3A8085FA" w:rsidR="00D94AE4" w:rsidRDefault="00E453AE" w:rsidP="000B2D37">
      <w:pPr>
        <w:pStyle w:val="APALevel2"/>
        <w:keepNext w:val="0"/>
        <w:keepLines w:val="0"/>
      </w:pPr>
      <w:bookmarkStart w:id="32" w:name="_Toc486409252"/>
      <w:r>
        <w:t>Ethical Compliance</w:t>
      </w:r>
      <w:bookmarkEnd w:id="32"/>
      <w:r w:rsidR="009477BE">
        <w:tab/>
      </w:r>
    </w:p>
    <w:p w14:paraId="14658080" w14:textId="7E3A8E76" w:rsidR="00CD7D94" w:rsidRDefault="00CD7D94" w:rsidP="00E318AC">
      <w:bookmarkStart w:id="33" w:name="_Toc486409253"/>
      <w:r>
        <w:t xml:space="preserve">In preparation for conducting this study I will complete the National Institutes of Health (NIH) training course, “Protecting Human Research Participants” (see Appendix </w:t>
      </w:r>
      <w:r>
        <w:lastRenderedPageBreak/>
        <w:t>XX). Additionally, I undertook to insure the protection of all participants through the use of a formal consent form that:</w:t>
      </w:r>
    </w:p>
    <w:p w14:paraId="4E20BCB7" w14:textId="2E3E169A" w:rsidR="00CD7D94" w:rsidRDefault="00CD7D94" w:rsidP="00CD7D94">
      <w:pPr>
        <w:pStyle w:val="ListParagraph"/>
        <w:numPr>
          <w:ilvl w:val="0"/>
          <w:numId w:val="20"/>
        </w:numPr>
      </w:pPr>
      <w:r>
        <w:t>Explained the purpose of the research;</w:t>
      </w:r>
    </w:p>
    <w:p w14:paraId="5AD67607" w14:textId="62F6462D" w:rsidR="00CD7D94" w:rsidRDefault="00CD7D94" w:rsidP="00CD7D94">
      <w:pPr>
        <w:pStyle w:val="ListParagraph"/>
        <w:numPr>
          <w:ilvl w:val="0"/>
          <w:numId w:val="20"/>
        </w:numPr>
      </w:pPr>
      <w:r>
        <w:t>Described the quantitative data collection procedures and expected interview lengths;</w:t>
      </w:r>
    </w:p>
    <w:p w14:paraId="1E451221" w14:textId="387D54F5" w:rsidR="00CD7D94" w:rsidRDefault="00CD7D94" w:rsidP="00CD7D94">
      <w:pPr>
        <w:pStyle w:val="ListParagraph"/>
        <w:numPr>
          <w:ilvl w:val="0"/>
          <w:numId w:val="20"/>
        </w:numPr>
      </w:pPr>
      <w:r>
        <w:t>Disclosed a participant’s right to withdraw from the research at any time and for any reason;</w:t>
      </w:r>
    </w:p>
    <w:p w14:paraId="62D74CB6" w14:textId="1D5E277A" w:rsidR="00CD7D94" w:rsidRDefault="00CD7D94" w:rsidP="00CD7D94">
      <w:pPr>
        <w:pStyle w:val="ListParagraph"/>
        <w:numPr>
          <w:ilvl w:val="0"/>
          <w:numId w:val="20"/>
        </w:numPr>
      </w:pPr>
      <w:r>
        <w:t>Described how a participant’s right to privacy were protected through the use of pseudonyms;</w:t>
      </w:r>
    </w:p>
    <w:p w14:paraId="3C20C95C" w14:textId="0A1E5BCB" w:rsidR="00CD7D94" w:rsidRDefault="00CD7D94" w:rsidP="00CD7D94">
      <w:pPr>
        <w:pStyle w:val="ListParagraph"/>
        <w:numPr>
          <w:ilvl w:val="0"/>
          <w:numId w:val="20"/>
        </w:numPr>
      </w:pPr>
      <w:r>
        <w:t>Included procedures for adhering to federally regulated institutional review board guidelines.</w:t>
      </w:r>
    </w:p>
    <w:p w14:paraId="2163A69D" w14:textId="5BB3FB8C" w:rsidR="00CD7D94" w:rsidRDefault="00CD7D94" w:rsidP="00CD7D94">
      <w:pPr>
        <w:ind w:firstLine="0"/>
      </w:pPr>
      <w:r>
        <w:t xml:space="preserve">I will secure all data on a web-based HIPPA compliant server monitored through a password-protected personal computer with limited </w:t>
      </w:r>
      <w:r w:rsidR="0025554E">
        <w:t>access and accessibility.</w:t>
      </w:r>
    </w:p>
    <w:p w14:paraId="3810BBF0" w14:textId="66D9142F" w:rsidR="00CF05A8" w:rsidRPr="00CF05A8" w:rsidRDefault="00E318AC" w:rsidP="00CF05A8">
      <w:r w:rsidRPr="00E318AC">
        <w:t>While conducting this study, the ethical rules and considerations for research with</w:t>
      </w:r>
      <w:r>
        <w:rPr>
          <w:b/>
        </w:rPr>
        <w:t xml:space="preserve"> </w:t>
      </w:r>
      <w:r w:rsidRPr="00E318AC">
        <w:t xml:space="preserve">humans currently enforced in </w:t>
      </w:r>
      <w:r>
        <w:t>the United States</w:t>
      </w:r>
      <w:r w:rsidRPr="00E318AC">
        <w:t xml:space="preserve"> and those outlined by the American Psychological</w:t>
      </w:r>
      <w:r>
        <w:rPr>
          <w:b/>
        </w:rPr>
        <w:t xml:space="preserve"> </w:t>
      </w:r>
      <w:r w:rsidRPr="00E318AC">
        <w:t xml:space="preserve">Association were followed. All </w:t>
      </w:r>
      <w:r w:rsidR="007949FC">
        <w:t>participants</w:t>
      </w:r>
      <w:r w:rsidRPr="00E318AC">
        <w:t xml:space="preserve"> w</w:t>
      </w:r>
      <w:r w:rsidR="007949FC">
        <w:t>ill be</w:t>
      </w:r>
      <w:r w:rsidRPr="00E318AC">
        <w:t xml:space="preserve"> informed of the objectives</w:t>
      </w:r>
      <w:r>
        <w:rPr>
          <w:b/>
        </w:rPr>
        <w:t xml:space="preserve"> </w:t>
      </w:r>
      <w:r w:rsidRPr="00E318AC">
        <w:t xml:space="preserve">and scope of the research and their rights according to </w:t>
      </w:r>
      <w:r w:rsidR="0054128C">
        <w:t>F</w:t>
      </w:r>
      <w:r w:rsidR="001E4B1C">
        <w:t xml:space="preserve">ederal </w:t>
      </w:r>
      <w:r w:rsidR="0054128C">
        <w:t>Policy for the Protection of Human Subjects in the United States</w:t>
      </w:r>
      <w:r w:rsidR="001E4B1C">
        <w:t xml:space="preserve"> (</w:t>
      </w:r>
      <w:r w:rsidR="004A3428">
        <w:t>Federal Register</w:t>
      </w:r>
      <w:r w:rsidR="006039AD">
        <w:t>,</w:t>
      </w:r>
      <w:r w:rsidR="004A3428">
        <w:t xml:space="preserve"> n.d.</w:t>
      </w:r>
      <w:r w:rsidR="006039AD">
        <w:t>,</w:t>
      </w:r>
      <w:r w:rsidR="008701A3">
        <w:t xml:space="preserve"> </w:t>
      </w:r>
      <w:hyperlink r:id="rId20" w:history="1">
        <w:r w:rsidR="001E4B1C" w:rsidRPr="00BC291E">
          <w:rPr>
            <w:rStyle w:val="Hyperlink"/>
          </w:rPr>
          <w:t xml:space="preserve">45 CFR </w:t>
        </w:r>
        <w:r w:rsidR="0054128C" w:rsidRPr="00BC291E">
          <w:rPr>
            <w:rStyle w:val="Hyperlink"/>
          </w:rPr>
          <w:t>46</w:t>
        </w:r>
        <w:r w:rsidR="0054128C" w:rsidRPr="00BC291E">
          <w:rPr>
            <w:rStyle w:val="Hyperlink"/>
          </w:rPr>
          <w:t>.</w:t>
        </w:r>
        <w:r w:rsidR="0054128C" w:rsidRPr="00BC291E">
          <w:rPr>
            <w:rStyle w:val="Hyperlink"/>
          </w:rPr>
          <w:t>116</w:t>
        </w:r>
      </w:hyperlink>
      <w:r w:rsidR="0054128C">
        <w:t>)</w:t>
      </w:r>
      <w:r w:rsidRPr="00E318AC">
        <w:t>.</w:t>
      </w:r>
      <w:r>
        <w:rPr>
          <w:b/>
        </w:rPr>
        <w:t xml:space="preserve"> </w:t>
      </w:r>
      <w:r w:rsidRPr="00E318AC">
        <w:t xml:space="preserve">The </w:t>
      </w:r>
      <w:r w:rsidR="000617CC">
        <w:t>participants</w:t>
      </w:r>
      <w:r w:rsidRPr="00E318AC">
        <w:t xml:space="preserve"> who agreed to participate in the study </w:t>
      </w:r>
      <w:r w:rsidR="000617CC">
        <w:t>will sign</w:t>
      </w:r>
      <w:r w:rsidRPr="00E318AC">
        <w:t xml:space="preserve"> an informed consent letter.</w:t>
      </w:r>
      <w:r>
        <w:rPr>
          <w:b/>
        </w:rPr>
        <w:t xml:space="preserve"> </w:t>
      </w:r>
      <w:r w:rsidRPr="00E318AC">
        <w:t xml:space="preserve">Participation in this study </w:t>
      </w:r>
      <w:r w:rsidR="000617CC">
        <w:t>is</w:t>
      </w:r>
      <w:r w:rsidRPr="00E318AC">
        <w:t xml:space="preserve"> voluntary and d</w:t>
      </w:r>
      <w:r w:rsidR="000617CC">
        <w:t>oes</w:t>
      </w:r>
      <w:r w:rsidRPr="00E318AC">
        <w:t xml:space="preserve"> not involve payment. </w:t>
      </w:r>
      <w:r w:rsidR="00CF05A8">
        <w:br w:type="page"/>
      </w:r>
    </w:p>
    <w:p w14:paraId="07A011FB" w14:textId="1CA18382" w:rsidR="00E453AE" w:rsidRDefault="00E453AE" w:rsidP="00E318AC">
      <w:pPr>
        <w:pStyle w:val="APALevel2"/>
        <w:keepNext w:val="0"/>
      </w:pPr>
      <w:r>
        <w:lastRenderedPageBreak/>
        <w:t>Procedures for Gathering</w:t>
      </w:r>
      <w:r w:rsidR="0039613A">
        <w:t xml:space="preserve"> Data</w:t>
      </w:r>
      <w:bookmarkEnd w:id="33"/>
    </w:p>
    <w:p w14:paraId="22DE8F58" w14:textId="77777777" w:rsidR="0039613A" w:rsidRDefault="0039613A" w:rsidP="000B2D37">
      <w:pPr>
        <w:pStyle w:val="APALevel3"/>
        <w:keepNext w:val="0"/>
        <w:keepLines w:val="0"/>
      </w:pPr>
      <w:bookmarkStart w:id="34" w:name="_Toc486409254"/>
      <w:r w:rsidRPr="00D618DC">
        <w:t>Population</w:t>
      </w:r>
      <w:bookmarkEnd w:id="34"/>
    </w:p>
    <w:p w14:paraId="16F2D745" w14:textId="39FAB350" w:rsidR="00E52A1A" w:rsidRPr="00E52A1A" w:rsidRDefault="009E1249" w:rsidP="009E1249">
      <w:pPr>
        <w:keepNext w:val="0"/>
      </w:pPr>
      <w:r>
        <w:t xml:space="preserve">The population consists of part-time and full-time adjunct faculty working in online colleges and universities in the midwest region of the United States. </w:t>
      </w:r>
      <w:r w:rsidR="00B050C4">
        <w:t xml:space="preserve">Some institutions offer online programs or online courses mixed with </w:t>
      </w:r>
      <w:r w:rsidR="00960386">
        <w:t>traditional face-to-face courses. Other institutions strictly offer online programs and courses</w:t>
      </w:r>
      <w:r w:rsidR="00E51F6A">
        <w:t xml:space="preserve">. This study will only be concerned with </w:t>
      </w:r>
      <w:r w:rsidR="00B245EA">
        <w:t>adjunct faculty</w:t>
      </w:r>
      <w:r w:rsidR="00E51F6A">
        <w:t xml:space="preserve"> who teach </w:t>
      </w:r>
      <w:r w:rsidR="00103430">
        <w:t xml:space="preserve">in online environments. Adjunct faculty, by definition, are considered part-time employees of the university. However, many adjunct faculty </w:t>
      </w:r>
      <w:r w:rsidR="00701662">
        <w:t xml:space="preserve">work at multiple universities or colleges to </w:t>
      </w:r>
      <w:r w:rsidR="00E90340">
        <w:t>collectively</w:t>
      </w:r>
      <w:r w:rsidR="00701662">
        <w:t xml:space="preserve"> obtain full-time workloads</w:t>
      </w:r>
      <w:r w:rsidR="00E90340">
        <w:t xml:space="preserve">. The population for this study will be any </w:t>
      </w:r>
      <w:r w:rsidR="00B245EA">
        <w:t>faculty</w:t>
      </w:r>
      <w:r w:rsidR="00E90340">
        <w:t xml:space="preserve"> with adjunct status</w:t>
      </w:r>
      <w:r w:rsidR="00251694">
        <w:t>.</w:t>
      </w:r>
      <w:r w:rsidR="00B050C4">
        <w:t xml:space="preserve"> </w:t>
      </w:r>
      <w:r w:rsidR="00E52A1A">
        <w:t xml:space="preserve"> </w:t>
      </w:r>
    </w:p>
    <w:p w14:paraId="4F2DEF8B" w14:textId="5D238618" w:rsidR="0039613A" w:rsidRDefault="00586CDB" w:rsidP="000B2D37">
      <w:pPr>
        <w:pStyle w:val="APALevel3"/>
        <w:keepNext w:val="0"/>
        <w:keepLines w:val="0"/>
      </w:pPr>
      <w:bookmarkStart w:id="35" w:name="_Toc486409255"/>
      <w:r w:rsidRPr="00D618DC">
        <w:t xml:space="preserve">The </w:t>
      </w:r>
      <w:r w:rsidR="0039613A" w:rsidRPr="00D618DC">
        <w:t>Sample</w:t>
      </w:r>
      <w:bookmarkEnd w:id="35"/>
    </w:p>
    <w:p w14:paraId="5BE51EFF" w14:textId="28D1C04B" w:rsidR="0039379F" w:rsidRPr="0039379F" w:rsidRDefault="0039379F" w:rsidP="0039379F">
      <w:pPr>
        <w:pStyle w:val="BodyText"/>
      </w:pPr>
      <w:r>
        <w:t xml:space="preserve">The sample will be taken from </w:t>
      </w:r>
      <w:r w:rsidR="007950C8">
        <w:t>three online colleges and universities</w:t>
      </w:r>
      <w:r w:rsidR="00B2230F">
        <w:t xml:space="preserve"> located in the midwestern United States</w:t>
      </w:r>
      <w:r w:rsidR="007950C8">
        <w:t>.</w:t>
      </w:r>
      <w:r w:rsidR="00B2230F">
        <w:t xml:space="preserve"> </w:t>
      </w:r>
      <w:r w:rsidR="00B245EA">
        <w:t>However,</w:t>
      </w:r>
      <w:r w:rsidR="00932ACF">
        <w:t xml:space="preserve"> the </w:t>
      </w:r>
      <w:r w:rsidR="00B245EA">
        <w:t>faculty</w:t>
      </w:r>
      <w:r w:rsidR="00932ACF">
        <w:t xml:space="preserve"> may be located across the country or international.</w:t>
      </w:r>
    </w:p>
    <w:p w14:paraId="304B99C3" w14:textId="38BFE2C3" w:rsidR="0039613A" w:rsidRDefault="0039613A" w:rsidP="000B2D37">
      <w:pPr>
        <w:pStyle w:val="APALevel3"/>
        <w:keepNext w:val="0"/>
        <w:keepLines w:val="0"/>
      </w:pPr>
      <w:bookmarkStart w:id="36" w:name="_Toc486409256"/>
      <w:r w:rsidRPr="00D618DC">
        <w:t>Instrument(s)</w:t>
      </w:r>
      <w:bookmarkEnd w:id="36"/>
    </w:p>
    <w:p w14:paraId="53A8A333" w14:textId="0513762E" w:rsidR="00282415" w:rsidRDefault="00282415" w:rsidP="000B2D37">
      <w:pPr>
        <w:keepNext w:val="0"/>
      </w:pPr>
      <w:r>
        <w:t>This research will use two validated instruments, the Spiritual Engagement Instrument (SpEI</w:t>
      </w:r>
      <w:r w:rsidR="001B3623">
        <w:t>; Roof</w:t>
      </w:r>
      <w:r w:rsidR="00AA0195">
        <w:t>,</w:t>
      </w:r>
      <w:r w:rsidR="001B3623">
        <w:t xml:space="preserve"> </w:t>
      </w:r>
      <w:r w:rsidR="00AA0195">
        <w:t>Bocarnea, &amp; Winston</w:t>
      </w:r>
      <w:r w:rsidR="001B3623">
        <w:t>, 2017</w:t>
      </w:r>
      <w:r>
        <w:t>) and the Need for Recovery Scale short-form (</w:t>
      </w:r>
      <w:r w:rsidR="001B3623">
        <w:t>NFR; Stevens et al., 2019).</w:t>
      </w:r>
      <w:r w:rsidR="00010FF9">
        <w:t xml:space="preserve"> The purpose of these two instruments is to measure </w:t>
      </w:r>
      <w:r w:rsidR="000803A5">
        <w:t xml:space="preserve">an individual’s spiritual engagement in correlation to that individual’s need for recovery from work. </w:t>
      </w:r>
    </w:p>
    <w:p w14:paraId="64E4AA0E" w14:textId="763E6B55" w:rsidR="00A304FC" w:rsidRDefault="001F796B" w:rsidP="000B2D37">
      <w:pPr>
        <w:keepNext w:val="0"/>
      </w:pPr>
      <w:r>
        <w:t xml:space="preserve">The </w:t>
      </w:r>
      <w:r w:rsidR="00A304FC" w:rsidRPr="00A304FC">
        <w:t>Spiritual Engagement Instrument (SpEI; Roof, Bocarnea, &amp; Winston, 2017)</w:t>
      </w:r>
      <w:r>
        <w:t xml:space="preserve"> </w:t>
      </w:r>
      <w:r w:rsidR="00946773">
        <w:t>is a tool that measures factors of spiritual engagement</w:t>
      </w:r>
      <w:r w:rsidR="006F2F70">
        <w:t xml:space="preserve"> in four dimensions (i.e., worship, meditation, fasting, and rest)</w:t>
      </w:r>
      <w:r w:rsidR="00A304FC">
        <w:t xml:space="preserve">. </w:t>
      </w:r>
      <w:r w:rsidR="006F2F70">
        <w:t>The SpEI</w:t>
      </w:r>
      <w:r w:rsidR="00775E13">
        <w:t xml:space="preserve"> is scored on a </w:t>
      </w:r>
      <w:r w:rsidR="007A192B">
        <w:t xml:space="preserve">six-point </w:t>
      </w:r>
      <w:r w:rsidR="00A304FC" w:rsidRPr="00A304FC">
        <w:t xml:space="preserve">Likert scale: </w:t>
      </w:r>
      <w:r w:rsidR="006F2F70" w:rsidRPr="00A304FC">
        <w:t xml:space="preserve">strongly </w:t>
      </w:r>
      <w:r w:rsidR="006F2F70" w:rsidRPr="00A304FC">
        <w:lastRenderedPageBreak/>
        <w:t>agree, moderately agree, mildly agree, mildly disagree, moderately disagree, and strongly disagree.</w:t>
      </w:r>
      <w:r w:rsidR="006F2F70">
        <w:t xml:space="preserve"> </w:t>
      </w:r>
      <w:r w:rsidR="00F221C9">
        <w:t>The SpEI can be used to measure the four dimensions in conjunction with</w:t>
      </w:r>
      <w:r w:rsidR="00A304FC" w:rsidRPr="00A304FC">
        <w:t xml:space="preserve"> other social constructs such as job satisfaction</w:t>
      </w:r>
      <w:r w:rsidR="00F221C9">
        <w:t xml:space="preserve"> </w:t>
      </w:r>
      <w:r w:rsidR="00A304FC" w:rsidRPr="00A304FC">
        <w:t>or leadership behaviors</w:t>
      </w:r>
      <w:r w:rsidR="003C5F46">
        <w:t xml:space="preserve"> in the workplace</w:t>
      </w:r>
      <w:r w:rsidR="00A304FC" w:rsidRPr="00A304FC">
        <w:t xml:space="preserve"> (Roof et al., 2017).</w:t>
      </w:r>
      <w:r w:rsidR="00EA75A5">
        <w:t xml:space="preserve"> </w:t>
      </w:r>
      <w:r w:rsidR="00224B2B" w:rsidRPr="00224B2B">
        <w:t xml:space="preserve">The </w:t>
      </w:r>
      <w:r w:rsidR="006F419C">
        <w:t>Cronbach alpha values for each of the four dimensions of the SpEI are</w:t>
      </w:r>
      <w:r w:rsidR="00826161">
        <w:t xml:space="preserve">: </w:t>
      </w:r>
      <w:r w:rsidR="00224B2B" w:rsidRPr="00224B2B">
        <w:t xml:space="preserve">worship </w:t>
      </w:r>
      <w:r w:rsidR="00692058">
        <w:t>0</w:t>
      </w:r>
      <w:r w:rsidR="00224B2B" w:rsidRPr="00224B2B">
        <w:t>.94, meditation</w:t>
      </w:r>
      <w:r w:rsidR="00692058">
        <w:t xml:space="preserve"> 0</w:t>
      </w:r>
      <w:r w:rsidR="00224B2B" w:rsidRPr="00224B2B">
        <w:t xml:space="preserve">.96, fasting </w:t>
      </w:r>
      <w:r w:rsidR="00C77950">
        <w:t>0</w:t>
      </w:r>
      <w:r w:rsidR="00224B2B" w:rsidRPr="00224B2B">
        <w:t xml:space="preserve">.98, and rest </w:t>
      </w:r>
      <w:r w:rsidR="00C77950">
        <w:t>0</w:t>
      </w:r>
      <w:r w:rsidR="00224B2B" w:rsidRPr="00224B2B">
        <w:t>.9</w:t>
      </w:r>
      <w:r w:rsidR="00FD26C1">
        <w:t>6</w:t>
      </w:r>
      <w:r w:rsidR="00224B2B" w:rsidRPr="00224B2B">
        <w:t>. The four factors together explain 85.24% of the variance (</w:t>
      </w:r>
      <w:r w:rsidR="003C5F46">
        <w:t>Roof et al., 2017</w:t>
      </w:r>
      <w:r w:rsidR="00224B2B" w:rsidRPr="00224B2B">
        <w:t>).</w:t>
      </w:r>
    </w:p>
    <w:p w14:paraId="0ECDF681" w14:textId="096FA119" w:rsidR="009914DA" w:rsidRDefault="005D12DA" w:rsidP="001F796B">
      <w:pPr>
        <w:keepNext w:val="0"/>
      </w:pPr>
      <w:r>
        <w:t xml:space="preserve">The Need for Recovery Scale (NFR) developed by </w:t>
      </w:r>
      <w:r w:rsidR="001F796B" w:rsidRPr="001F796B">
        <w:t>Stevens</w:t>
      </w:r>
      <w:r>
        <w:t xml:space="preserve"> et al. (2019)</w:t>
      </w:r>
      <w:r w:rsidR="001F796B" w:rsidRPr="001F796B">
        <w:t xml:space="preserve"> </w:t>
      </w:r>
      <w:r>
        <w:t xml:space="preserve">is a </w:t>
      </w:r>
      <w:r w:rsidR="00FA65C6">
        <w:t xml:space="preserve">validated </w:t>
      </w:r>
      <w:r w:rsidR="009715D2">
        <w:t xml:space="preserve">short-form version </w:t>
      </w:r>
      <w:r w:rsidR="004960A1">
        <w:t>o</w:t>
      </w:r>
      <w:r w:rsidR="001F796B" w:rsidRPr="001F796B">
        <w:t xml:space="preserve">f the Danish </w:t>
      </w:r>
      <w:r w:rsidR="004960A1">
        <w:t>N</w:t>
      </w:r>
      <w:r w:rsidR="001F796B" w:rsidRPr="001F796B">
        <w:t xml:space="preserve">eed for </w:t>
      </w:r>
      <w:r w:rsidR="004960A1">
        <w:t>R</w:t>
      </w:r>
      <w:r w:rsidR="001F796B" w:rsidRPr="001F796B">
        <w:t xml:space="preserve">ecovery </w:t>
      </w:r>
      <w:r w:rsidR="004960A1">
        <w:t>S</w:t>
      </w:r>
      <w:r w:rsidR="001F796B" w:rsidRPr="001F796B">
        <w:t>cale.</w:t>
      </w:r>
      <w:r w:rsidR="004960A1">
        <w:t xml:space="preserve"> The s</w:t>
      </w:r>
      <w:r w:rsidR="001F796B" w:rsidRPr="001F796B">
        <w:t>hort-form scales can reduce the burden on researchers and respondents</w:t>
      </w:r>
      <w:r w:rsidR="00925257">
        <w:t xml:space="preserve"> with the</w:t>
      </w:r>
      <w:r w:rsidR="001F796B" w:rsidRPr="001F796B">
        <w:t xml:space="preserve"> aim to create and validate a short-form Danish version of the NFR Scale</w:t>
      </w:r>
      <w:r w:rsidR="00925257">
        <w:t xml:space="preserve"> (Stevens et al., 2019)</w:t>
      </w:r>
      <w:r w:rsidR="001F796B" w:rsidRPr="001F796B">
        <w:t>.</w:t>
      </w:r>
      <w:r w:rsidR="00925257">
        <w:t xml:space="preserve"> The </w:t>
      </w:r>
      <w:r w:rsidR="001F796B" w:rsidRPr="001F796B">
        <w:t>short-form NFR scale consist</w:t>
      </w:r>
      <w:r w:rsidR="00925257">
        <w:t>s</w:t>
      </w:r>
      <w:r w:rsidR="001F796B" w:rsidRPr="001F796B">
        <w:t xml:space="preserve"> of three items (exhausted at the end of a work day, hard to find interest in other people after a work day, it takes over an hour to fully recover from a work day) </w:t>
      </w:r>
      <w:r w:rsidR="00925257">
        <w:t xml:space="preserve">demostrated </w:t>
      </w:r>
      <w:r w:rsidR="001F796B" w:rsidRPr="001F796B">
        <w:t xml:space="preserve">excellent validity and responsiveness compared to the </w:t>
      </w:r>
      <w:r w:rsidR="008F4278">
        <w:t xml:space="preserve">Danish </w:t>
      </w:r>
      <w:r w:rsidR="001F796B" w:rsidRPr="001F796B">
        <w:t>nine-item scale (</w:t>
      </w:r>
      <w:r w:rsidR="008F4278">
        <w:t xml:space="preserve">Stevens et al., </w:t>
      </w:r>
      <w:r w:rsidR="00B245EA">
        <w:t>2019</w:t>
      </w:r>
      <w:r w:rsidR="001F796B" w:rsidRPr="001F796B">
        <w:t>).</w:t>
      </w:r>
      <w:r w:rsidR="008F4278">
        <w:t xml:space="preserve"> The </w:t>
      </w:r>
      <w:r w:rsidR="008F4278" w:rsidRPr="001F796B">
        <w:t>Intraclass Correlation Coefficient</w:t>
      </w:r>
      <w:r w:rsidR="008F4278">
        <w:t xml:space="preserve"> (</w:t>
      </w:r>
      <w:r w:rsidR="001F796B" w:rsidRPr="001F796B">
        <w:t>ICC</w:t>
      </w:r>
      <w:r w:rsidR="008F4278">
        <w:t>)</w:t>
      </w:r>
      <w:r w:rsidR="001F796B" w:rsidRPr="001F796B">
        <w:t xml:space="preserve"> score is 0.88, which is identical </w:t>
      </w:r>
      <w:r w:rsidR="00B245EA">
        <w:t>a</w:t>
      </w:r>
      <w:r w:rsidR="001F796B" w:rsidRPr="001F796B">
        <w:t xml:space="preserve"> Cronbach alpha score. The ICC Responsiveness score is 0.80 (</w:t>
      </w:r>
      <w:r w:rsidR="00B245EA">
        <w:t xml:space="preserve">Stevens et al., 2019, </w:t>
      </w:r>
      <w:r w:rsidR="001F796B" w:rsidRPr="001F796B">
        <w:t>p. 11).</w:t>
      </w:r>
      <w:r w:rsidR="008F4278">
        <w:t xml:space="preserve"> </w:t>
      </w:r>
      <w:r w:rsidR="001F796B" w:rsidRPr="001F796B">
        <w:t>The authors state, “Moreover, our assessment of construct validity demonstrated that this short-form version is consistent with the full 9-item scale. Therefore, we assert that a short-form version consisting of items 2, 6, and 7, provides the best approximation of the underlying constructs captured by the full 9-item Danish NFR Scale” (</w:t>
      </w:r>
      <w:r w:rsidR="00B245EA">
        <w:t>Stevens et al., 2019</w:t>
      </w:r>
      <w:r w:rsidR="001F042B">
        <w:t>, p</w:t>
      </w:r>
      <w:r w:rsidR="001F796B" w:rsidRPr="001F796B">
        <w:t xml:space="preserve">. 12). </w:t>
      </w:r>
      <w:r w:rsidR="00B245EA">
        <w:t xml:space="preserve">The Need for Recovery short-form version is scored on a five-point Likert scale. </w:t>
      </w:r>
    </w:p>
    <w:p w14:paraId="5F56A7C1" w14:textId="69DD0122" w:rsidR="0039613A" w:rsidRDefault="0039613A" w:rsidP="000B2D37">
      <w:pPr>
        <w:pStyle w:val="APALevel3"/>
        <w:keepNext w:val="0"/>
        <w:keepLines w:val="0"/>
      </w:pPr>
      <w:bookmarkStart w:id="37" w:name="_Toc486409257"/>
      <w:r w:rsidRPr="00D618DC">
        <w:t>Data Collection</w:t>
      </w:r>
      <w:bookmarkEnd w:id="37"/>
    </w:p>
    <w:p w14:paraId="47E44555" w14:textId="7C14C52C" w:rsidR="00872E3F" w:rsidRPr="00872E3F" w:rsidRDefault="00E844F4" w:rsidP="00872E3F">
      <w:pPr>
        <w:pStyle w:val="BodyText"/>
      </w:pPr>
      <w:r>
        <w:lastRenderedPageBreak/>
        <w:t xml:space="preserve">Research participants will be given the option of completing the demographic survey </w:t>
      </w:r>
      <w:r w:rsidR="001C1A2A">
        <w:t>and assessment surveys through an online survey</w:t>
      </w:r>
      <w:r w:rsidR="002E5D33">
        <w:t xml:space="preserve"> application</w:t>
      </w:r>
      <w:r w:rsidR="003C3CAE">
        <w:t xml:space="preserve">. </w:t>
      </w:r>
      <w:r w:rsidR="00257306">
        <w:t>Survio survey software will host the online survey. Participants will be provided an email link with a unique code associated with each of the surveys</w:t>
      </w:r>
      <w:r w:rsidR="00D60EA4">
        <w:t>. Participants will answer a short survey consisting of questions associated with the two validated instruments</w:t>
      </w:r>
      <w:r w:rsidR="00242678">
        <w:t xml:space="preserve"> identified in this study (See Appendix </w:t>
      </w:r>
      <w:r w:rsidR="00CD7D94">
        <w:t>XX</w:t>
      </w:r>
      <w:r w:rsidR="00242678">
        <w:t xml:space="preserve">). Participants will be assigned </w:t>
      </w:r>
      <w:r w:rsidR="002942ED">
        <w:t xml:space="preserve">a unique identifier that will be associated with data collection and analysis. Personally identifying information will not be shared with the researcher. </w:t>
      </w:r>
    </w:p>
    <w:p w14:paraId="1A6E6FC2" w14:textId="1BB0685B" w:rsidR="0039613A" w:rsidRDefault="0039613A" w:rsidP="000B2D37">
      <w:pPr>
        <w:pStyle w:val="APALevel3"/>
        <w:keepNext w:val="0"/>
        <w:keepLines w:val="0"/>
      </w:pPr>
      <w:bookmarkStart w:id="38" w:name="_Toc486409258"/>
      <w:r w:rsidRPr="00D618DC">
        <w:t>Time Schedule</w:t>
      </w:r>
      <w:bookmarkEnd w:id="38"/>
    </w:p>
    <w:p w14:paraId="1FC6D03E" w14:textId="12E1DD93" w:rsidR="00B94C60" w:rsidRDefault="00B94C60" w:rsidP="00B94C60">
      <w:pPr>
        <w:pStyle w:val="BodyText"/>
      </w:pPr>
      <w:r>
        <w:t>Table x. Time Schedule</w:t>
      </w:r>
    </w:p>
    <w:tbl>
      <w:tblPr>
        <w:tblStyle w:val="TableGrid"/>
        <w:tblW w:w="0" w:type="auto"/>
        <w:tblLook w:val="04A0" w:firstRow="1" w:lastRow="0" w:firstColumn="1" w:lastColumn="0" w:noHBand="0" w:noVBand="1"/>
      </w:tblPr>
      <w:tblGrid>
        <w:gridCol w:w="4315"/>
        <w:gridCol w:w="4315"/>
      </w:tblGrid>
      <w:tr w:rsidR="00B94C60" w:rsidRPr="006A0963" w14:paraId="0D85CB35" w14:textId="77777777" w:rsidTr="00B94C60">
        <w:tc>
          <w:tcPr>
            <w:tcW w:w="4315" w:type="dxa"/>
          </w:tcPr>
          <w:p w14:paraId="1C60217F" w14:textId="13E3D470" w:rsidR="00B94C60" w:rsidRPr="006A0963" w:rsidRDefault="00B94C60" w:rsidP="006A0963">
            <w:pPr>
              <w:pStyle w:val="BodyText"/>
              <w:spacing w:line="276" w:lineRule="auto"/>
              <w:ind w:firstLine="0"/>
              <w:jc w:val="center"/>
              <w:rPr>
                <w:sz w:val="24"/>
                <w:szCs w:val="24"/>
              </w:rPr>
            </w:pPr>
            <w:r w:rsidRPr="006A0963">
              <w:rPr>
                <w:sz w:val="24"/>
                <w:szCs w:val="24"/>
              </w:rPr>
              <w:t>Task</w:t>
            </w:r>
          </w:p>
        </w:tc>
        <w:tc>
          <w:tcPr>
            <w:tcW w:w="4315" w:type="dxa"/>
          </w:tcPr>
          <w:p w14:paraId="2EF1CE58" w14:textId="46EB6726" w:rsidR="00B94C60" w:rsidRPr="006A0963" w:rsidRDefault="00B94C60" w:rsidP="006A0963">
            <w:pPr>
              <w:pStyle w:val="BodyText"/>
              <w:spacing w:line="276" w:lineRule="auto"/>
              <w:ind w:firstLine="0"/>
              <w:jc w:val="center"/>
              <w:rPr>
                <w:sz w:val="24"/>
                <w:szCs w:val="24"/>
              </w:rPr>
            </w:pPr>
            <w:r w:rsidRPr="006A0963">
              <w:rPr>
                <w:sz w:val="24"/>
                <w:szCs w:val="24"/>
              </w:rPr>
              <w:t>Date</w:t>
            </w:r>
          </w:p>
        </w:tc>
      </w:tr>
      <w:tr w:rsidR="00B94C60" w:rsidRPr="006A0963" w14:paraId="51472AE2" w14:textId="77777777" w:rsidTr="00B94C60">
        <w:tc>
          <w:tcPr>
            <w:tcW w:w="4315" w:type="dxa"/>
          </w:tcPr>
          <w:p w14:paraId="60D15D6F" w14:textId="025E1C06" w:rsidR="00B94C60" w:rsidRPr="006A0963" w:rsidRDefault="00F62380" w:rsidP="006A0963">
            <w:pPr>
              <w:pStyle w:val="BodyText"/>
              <w:spacing w:line="276" w:lineRule="auto"/>
              <w:ind w:firstLine="0"/>
              <w:rPr>
                <w:sz w:val="24"/>
                <w:szCs w:val="24"/>
              </w:rPr>
            </w:pPr>
            <w:r w:rsidRPr="006A0963">
              <w:rPr>
                <w:sz w:val="24"/>
                <w:szCs w:val="24"/>
              </w:rPr>
              <w:t>Pre-proposal development</w:t>
            </w:r>
          </w:p>
        </w:tc>
        <w:tc>
          <w:tcPr>
            <w:tcW w:w="4315" w:type="dxa"/>
          </w:tcPr>
          <w:p w14:paraId="5AFA5978" w14:textId="77777777" w:rsidR="00B94C60" w:rsidRPr="006A0963" w:rsidRDefault="00B94C60" w:rsidP="006A0963">
            <w:pPr>
              <w:pStyle w:val="BodyText"/>
              <w:spacing w:line="276" w:lineRule="auto"/>
              <w:ind w:firstLine="0"/>
              <w:rPr>
                <w:sz w:val="24"/>
                <w:szCs w:val="24"/>
              </w:rPr>
            </w:pPr>
          </w:p>
        </w:tc>
      </w:tr>
      <w:tr w:rsidR="00F62380" w:rsidRPr="006A0963" w14:paraId="082524C8" w14:textId="77777777" w:rsidTr="00B94C60">
        <w:tc>
          <w:tcPr>
            <w:tcW w:w="4315" w:type="dxa"/>
          </w:tcPr>
          <w:p w14:paraId="4BC08D95" w14:textId="76189438" w:rsidR="00F62380" w:rsidRPr="006A0963" w:rsidRDefault="00F62380" w:rsidP="006A0963">
            <w:pPr>
              <w:pStyle w:val="BodyText"/>
              <w:spacing w:line="276" w:lineRule="auto"/>
              <w:ind w:firstLine="0"/>
              <w:rPr>
                <w:sz w:val="24"/>
                <w:szCs w:val="24"/>
              </w:rPr>
            </w:pPr>
            <w:r w:rsidRPr="006A0963">
              <w:rPr>
                <w:sz w:val="24"/>
                <w:szCs w:val="24"/>
              </w:rPr>
              <w:t>Turn in proposal prior to defense</w:t>
            </w:r>
          </w:p>
        </w:tc>
        <w:tc>
          <w:tcPr>
            <w:tcW w:w="4315" w:type="dxa"/>
          </w:tcPr>
          <w:p w14:paraId="35047C66" w14:textId="77777777" w:rsidR="00F62380" w:rsidRPr="006A0963" w:rsidRDefault="00F62380" w:rsidP="006A0963">
            <w:pPr>
              <w:pStyle w:val="BodyText"/>
              <w:spacing w:line="276" w:lineRule="auto"/>
              <w:ind w:firstLine="0"/>
              <w:rPr>
                <w:sz w:val="24"/>
                <w:szCs w:val="24"/>
              </w:rPr>
            </w:pPr>
          </w:p>
        </w:tc>
      </w:tr>
      <w:tr w:rsidR="00F62380" w:rsidRPr="006A0963" w14:paraId="7E36C441" w14:textId="77777777" w:rsidTr="00B94C60">
        <w:tc>
          <w:tcPr>
            <w:tcW w:w="4315" w:type="dxa"/>
          </w:tcPr>
          <w:p w14:paraId="62D23BD7" w14:textId="1E31A8AB" w:rsidR="00F62380" w:rsidRPr="006A0963" w:rsidRDefault="00F62380" w:rsidP="006A0963">
            <w:pPr>
              <w:pStyle w:val="BodyText"/>
              <w:spacing w:line="276" w:lineRule="auto"/>
              <w:ind w:firstLine="0"/>
              <w:rPr>
                <w:sz w:val="24"/>
                <w:szCs w:val="24"/>
              </w:rPr>
            </w:pPr>
            <w:r w:rsidRPr="006A0963">
              <w:rPr>
                <w:sz w:val="24"/>
                <w:szCs w:val="24"/>
              </w:rPr>
              <w:t>Defend proposal</w:t>
            </w:r>
          </w:p>
        </w:tc>
        <w:tc>
          <w:tcPr>
            <w:tcW w:w="4315" w:type="dxa"/>
          </w:tcPr>
          <w:p w14:paraId="364E8AFC" w14:textId="77777777" w:rsidR="00F62380" w:rsidRPr="006A0963" w:rsidRDefault="00F62380" w:rsidP="006A0963">
            <w:pPr>
              <w:pStyle w:val="BodyText"/>
              <w:spacing w:line="276" w:lineRule="auto"/>
              <w:ind w:firstLine="0"/>
              <w:rPr>
                <w:sz w:val="24"/>
                <w:szCs w:val="24"/>
              </w:rPr>
            </w:pPr>
          </w:p>
        </w:tc>
      </w:tr>
      <w:tr w:rsidR="00F62380" w:rsidRPr="006A0963" w14:paraId="5CBF7BB9" w14:textId="77777777" w:rsidTr="00B94C60">
        <w:tc>
          <w:tcPr>
            <w:tcW w:w="4315" w:type="dxa"/>
          </w:tcPr>
          <w:p w14:paraId="60438CB7" w14:textId="367F26D7" w:rsidR="00F62380" w:rsidRPr="006A0963" w:rsidRDefault="00F62380" w:rsidP="006A0963">
            <w:pPr>
              <w:pStyle w:val="BodyText"/>
              <w:spacing w:line="276" w:lineRule="auto"/>
              <w:ind w:firstLine="0"/>
              <w:rPr>
                <w:sz w:val="24"/>
                <w:szCs w:val="24"/>
              </w:rPr>
            </w:pPr>
            <w:r w:rsidRPr="006A0963">
              <w:rPr>
                <w:sz w:val="24"/>
                <w:szCs w:val="24"/>
              </w:rPr>
              <w:t xml:space="preserve">Secure permision </w:t>
            </w:r>
            <w:r w:rsidR="00EF39AA" w:rsidRPr="006A0963">
              <w:rPr>
                <w:sz w:val="24"/>
                <w:szCs w:val="24"/>
              </w:rPr>
              <w:t>to distribute survey</w:t>
            </w:r>
          </w:p>
        </w:tc>
        <w:tc>
          <w:tcPr>
            <w:tcW w:w="4315" w:type="dxa"/>
          </w:tcPr>
          <w:p w14:paraId="1A7A313C" w14:textId="77777777" w:rsidR="00F62380" w:rsidRPr="006A0963" w:rsidRDefault="00F62380" w:rsidP="006A0963">
            <w:pPr>
              <w:pStyle w:val="BodyText"/>
              <w:spacing w:line="276" w:lineRule="auto"/>
              <w:ind w:firstLine="0"/>
              <w:rPr>
                <w:sz w:val="24"/>
                <w:szCs w:val="24"/>
              </w:rPr>
            </w:pPr>
          </w:p>
        </w:tc>
      </w:tr>
      <w:tr w:rsidR="00F62380" w:rsidRPr="006A0963" w14:paraId="0D51DE7B" w14:textId="77777777" w:rsidTr="00B94C60">
        <w:tc>
          <w:tcPr>
            <w:tcW w:w="4315" w:type="dxa"/>
          </w:tcPr>
          <w:p w14:paraId="01E17FB3" w14:textId="73BAE02B" w:rsidR="00F62380" w:rsidRPr="006A0963" w:rsidRDefault="00EF39AA" w:rsidP="006A0963">
            <w:pPr>
              <w:pStyle w:val="BodyText"/>
              <w:spacing w:line="276" w:lineRule="auto"/>
              <w:ind w:firstLine="0"/>
              <w:rPr>
                <w:sz w:val="24"/>
                <w:szCs w:val="24"/>
              </w:rPr>
            </w:pPr>
            <w:r w:rsidRPr="006A0963">
              <w:rPr>
                <w:sz w:val="24"/>
                <w:szCs w:val="24"/>
              </w:rPr>
              <w:t>Gather the survey data</w:t>
            </w:r>
          </w:p>
        </w:tc>
        <w:tc>
          <w:tcPr>
            <w:tcW w:w="4315" w:type="dxa"/>
          </w:tcPr>
          <w:p w14:paraId="42ECB112" w14:textId="77777777" w:rsidR="00F62380" w:rsidRPr="006A0963" w:rsidRDefault="00F62380" w:rsidP="006A0963">
            <w:pPr>
              <w:pStyle w:val="BodyText"/>
              <w:spacing w:line="276" w:lineRule="auto"/>
              <w:ind w:firstLine="0"/>
              <w:rPr>
                <w:sz w:val="24"/>
                <w:szCs w:val="24"/>
              </w:rPr>
            </w:pPr>
          </w:p>
        </w:tc>
      </w:tr>
      <w:tr w:rsidR="00F62380" w:rsidRPr="006A0963" w14:paraId="176806CE" w14:textId="77777777" w:rsidTr="00B94C60">
        <w:tc>
          <w:tcPr>
            <w:tcW w:w="4315" w:type="dxa"/>
          </w:tcPr>
          <w:p w14:paraId="380139D8" w14:textId="49FE7D2F" w:rsidR="00F62380" w:rsidRPr="006A0963" w:rsidRDefault="00EF39AA" w:rsidP="006A0963">
            <w:pPr>
              <w:pStyle w:val="BodyText"/>
              <w:spacing w:line="276" w:lineRule="auto"/>
              <w:ind w:firstLine="0"/>
              <w:rPr>
                <w:sz w:val="24"/>
                <w:szCs w:val="24"/>
              </w:rPr>
            </w:pPr>
            <w:r w:rsidRPr="006A0963">
              <w:rPr>
                <w:sz w:val="24"/>
                <w:szCs w:val="24"/>
              </w:rPr>
              <w:t>Organize and analyze the data</w:t>
            </w:r>
          </w:p>
        </w:tc>
        <w:tc>
          <w:tcPr>
            <w:tcW w:w="4315" w:type="dxa"/>
          </w:tcPr>
          <w:p w14:paraId="2214EA2A" w14:textId="77777777" w:rsidR="00F62380" w:rsidRPr="006A0963" w:rsidRDefault="00F62380" w:rsidP="006A0963">
            <w:pPr>
              <w:pStyle w:val="BodyText"/>
              <w:spacing w:line="276" w:lineRule="auto"/>
              <w:ind w:firstLine="0"/>
              <w:rPr>
                <w:sz w:val="24"/>
                <w:szCs w:val="24"/>
              </w:rPr>
            </w:pPr>
          </w:p>
        </w:tc>
      </w:tr>
      <w:tr w:rsidR="00F62380" w:rsidRPr="006A0963" w14:paraId="4CF6D0C4" w14:textId="77777777" w:rsidTr="00B94C60">
        <w:tc>
          <w:tcPr>
            <w:tcW w:w="4315" w:type="dxa"/>
          </w:tcPr>
          <w:p w14:paraId="33D30016" w14:textId="08668B14" w:rsidR="00F62380" w:rsidRPr="006A0963" w:rsidRDefault="00EF39AA" w:rsidP="006A0963">
            <w:pPr>
              <w:pStyle w:val="BodyText"/>
              <w:spacing w:line="276" w:lineRule="auto"/>
              <w:ind w:firstLine="0"/>
              <w:rPr>
                <w:sz w:val="24"/>
                <w:szCs w:val="24"/>
              </w:rPr>
            </w:pPr>
            <w:r w:rsidRPr="006A0963">
              <w:rPr>
                <w:sz w:val="24"/>
                <w:szCs w:val="24"/>
              </w:rPr>
              <w:t>Revised Chapters 1, 2, and 3</w:t>
            </w:r>
          </w:p>
        </w:tc>
        <w:tc>
          <w:tcPr>
            <w:tcW w:w="4315" w:type="dxa"/>
          </w:tcPr>
          <w:p w14:paraId="40B72442" w14:textId="77777777" w:rsidR="00F62380" w:rsidRPr="006A0963" w:rsidRDefault="00F62380" w:rsidP="006A0963">
            <w:pPr>
              <w:pStyle w:val="BodyText"/>
              <w:spacing w:line="276" w:lineRule="auto"/>
              <w:ind w:firstLine="0"/>
              <w:rPr>
                <w:sz w:val="24"/>
                <w:szCs w:val="24"/>
              </w:rPr>
            </w:pPr>
          </w:p>
        </w:tc>
      </w:tr>
      <w:tr w:rsidR="00F62380" w:rsidRPr="006A0963" w14:paraId="228C07C1" w14:textId="77777777" w:rsidTr="00B94C60">
        <w:tc>
          <w:tcPr>
            <w:tcW w:w="4315" w:type="dxa"/>
          </w:tcPr>
          <w:p w14:paraId="31CC2849" w14:textId="7C5CA380" w:rsidR="00F62380" w:rsidRPr="006A0963" w:rsidRDefault="00EF39AA" w:rsidP="006A0963">
            <w:pPr>
              <w:pStyle w:val="BodyText"/>
              <w:spacing w:line="276" w:lineRule="auto"/>
              <w:ind w:firstLine="0"/>
              <w:rPr>
                <w:sz w:val="24"/>
                <w:szCs w:val="24"/>
              </w:rPr>
            </w:pPr>
            <w:r w:rsidRPr="006A0963">
              <w:rPr>
                <w:sz w:val="24"/>
                <w:szCs w:val="24"/>
              </w:rPr>
              <w:t>Write Chapter 4</w:t>
            </w:r>
          </w:p>
        </w:tc>
        <w:tc>
          <w:tcPr>
            <w:tcW w:w="4315" w:type="dxa"/>
          </w:tcPr>
          <w:p w14:paraId="00323E48" w14:textId="77777777" w:rsidR="00F62380" w:rsidRPr="006A0963" w:rsidRDefault="00F62380" w:rsidP="006A0963">
            <w:pPr>
              <w:pStyle w:val="BodyText"/>
              <w:spacing w:line="276" w:lineRule="auto"/>
              <w:ind w:firstLine="0"/>
              <w:rPr>
                <w:sz w:val="24"/>
                <w:szCs w:val="24"/>
              </w:rPr>
            </w:pPr>
          </w:p>
        </w:tc>
      </w:tr>
      <w:tr w:rsidR="00F62380" w:rsidRPr="006A0963" w14:paraId="2D7E3D63" w14:textId="77777777" w:rsidTr="00B94C60">
        <w:tc>
          <w:tcPr>
            <w:tcW w:w="4315" w:type="dxa"/>
          </w:tcPr>
          <w:p w14:paraId="7BE5C5C5" w14:textId="1035783A" w:rsidR="00F62380" w:rsidRPr="006A0963" w:rsidRDefault="009C75E6" w:rsidP="006A0963">
            <w:pPr>
              <w:pStyle w:val="BodyText"/>
              <w:spacing w:line="276" w:lineRule="auto"/>
              <w:ind w:firstLine="0"/>
              <w:rPr>
                <w:sz w:val="24"/>
                <w:szCs w:val="24"/>
              </w:rPr>
            </w:pPr>
            <w:r w:rsidRPr="006A0963">
              <w:rPr>
                <w:sz w:val="24"/>
                <w:szCs w:val="24"/>
              </w:rPr>
              <w:t>Write Chapter 5</w:t>
            </w:r>
          </w:p>
        </w:tc>
        <w:tc>
          <w:tcPr>
            <w:tcW w:w="4315" w:type="dxa"/>
          </w:tcPr>
          <w:p w14:paraId="38E1120D" w14:textId="77777777" w:rsidR="00F62380" w:rsidRPr="006A0963" w:rsidRDefault="00F62380" w:rsidP="006A0963">
            <w:pPr>
              <w:pStyle w:val="BodyText"/>
              <w:spacing w:line="276" w:lineRule="auto"/>
              <w:ind w:firstLine="0"/>
              <w:rPr>
                <w:sz w:val="24"/>
                <w:szCs w:val="24"/>
              </w:rPr>
            </w:pPr>
          </w:p>
        </w:tc>
      </w:tr>
      <w:tr w:rsidR="00EF39AA" w:rsidRPr="006A0963" w14:paraId="1933AD9C" w14:textId="77777777" w:rsidTr="00B94C60">
        <w:tc>
          <w:tcPr>
            <w:tcW w:w="4315" w:type="dxa"/>
          </w:tcPr>
          <w:p w14:paraId="4E4AD2D9" w14:textId="17347356" w:rsidR="00EF39AA" w:rsidRPr="006A0963" w:rsidRDefault="009C75E6" w:rsidP="006A0963">
            <w:pPr>
              <w:pStyle w:val="BodyText"/>
              <w:spacing w:line="276" w:lineRule="auto"/>
              <w:ind w:firstLine="0"/>
              <w:rPr>
                <w:sz w:val="24"/>
                <w:szCs w:val="24"/>
              </w:rPr>
            </w:pPr>
            <w:r w:rsidRPr="006A0963">
              <w:rPr>
                <w:sz w:val="24"/>
                <w:szCs w:val="24"/>
              </w:rPr>
              <w:t>Send Chapters 4 and 5 to advisor</w:t>
            </w:r>
          </w:p>
        </w:tc>
        <w:tc>
          <w:tcPr>
            <w:tcW w:w="4315" w:type="dxa"/>
          </w:tcPr>
          <w:p w14:paraId="2787A0E1" w14:textId="77777777" w:rsidR="00EF39AA" w:rsidRPr="006A0963" w:rsidRDefault="00EF39AA" w:rsidP="006A0963">
            <w:pPr>
              <w:pStyle w:val="BodyText"/>
              <w:spacing w:line="276" w:lineRule="auto"/>
              <w:ind w:firstLine="0"/>
              <w:rPr>
                <w:sz w:val="24"/>
                <w:szCs w:val="24"/>
              </w:rPr>
            </w:pPr>
          </w:p>
        </w:tc>
      </w:tr>
      <w:tr w:rsidR="00EF39AA" w:rsidRPr="006A0963" w14:paraId="72700019" w14:textId="77777777" w:rsidTr="00B94C60">
        <w:tc>
          <w:tcPr>
            <w:tcW w:w="4315" w:type="dxa"/>
          </w:tcPr>
          <w:p w14:paraId="6696FC19" w14:textId="70A5D170" w:rsidR="00EF39AA" w:rsidRPr="006A0963" w:rsidRDefault="009C75E6" w:rsidP="006A0963">
            <w:pPr>
              <w:pStyle w:val="BodyText"/>
              <w:spacing w:line="276" w:lineRule="auto"/>
              <w:ind w:firstLine="0"/>
              <w:rPr>
                <w:sz w:val="24"/>
                <w:szCs w:val="24"/>
              </w:rPr>
            </w:pPr>
            <w:r w:rsidRPr="006A0963">
              <w:rPr>
                <w:sz w:val="24"/>
                <w:szCs w:val="24"/>
              </w:rPr>
              <w:t>Add front and back matter</w:t>
            </w:r>
          </w:p>
        </w:tc>
        <w:tc>
          <w:tcPr>
            <w:tcW w:w="4315" w:type="dxa"/>
          </w:tcPr>
          <w:p w14:paraId="49523960" w14:textId="77777777" w:rsidR="00EF39AA" w:rsidRPr="006A0963" w:rsidRDefault="00EF39AA" w:rsidP="006A0963">
            <w:pPr>
              <w:pStyle w:val="BodyText"/>
              <w:spacing w:line="276" w:lineRule="auto"/>
              <w:ind w:firstLine="0"/>
              <w:rPr>
                <w:sz w:val="24"/>
                <w:szCs w:val="24"/>
              </w:rPr>
            </w:pPr>
          </w:p>
        </w:tc>
      </w:tr>
      <w:tr w:rsidR="00EF39AA" w:rsidRPr="006A0963" w14:paraId="66209965" w14:textId="77777777" w:rsidTr="00B94C60">
        <w:tc>
          <w:tcPr>
            <w:tcW w:w="4315" w:type="dxa"/>
          </w:tcPr>
          <w:p w14:paraId="0CFD82D2" w14:textId="51F33135" w:rsidR="00EF39AA" w:rsidRPr="006A0963" w:rsidRDefault="000252F8" w:rsidP="006A0963">
            <w:pPr>
              <w:pStyle w:val="BodyText"/>
              <w:spacing w:line="276" w:lineRule="auto"/>
              <w:ind w:firstLine="0"/>
              <w:rPr>
                <w:sz w:val="24"/>
                <w:szCs w:val="24"/>
              </w:rPr>
            </w:pPr>
            <w:r w:rsidRPr="006A0963">
              <w:rPr>
                <w:sz w:val="24"/>
                <w:szCs w:val="24"/>
              </w:rPr>
              <w:t>Submission of dissertation</w:t>
            </w:r>
          </w:p>
        </w:tc>
        <w:tc>
          <w:tcPr>
            <w:tcW w:w="4315" w:type="dxa"/>
          </w:tcPr>
          <w:p w14:paraId="74907D37" w14:textId="77777777" w:rsidR="00EF39AA" w:rsidRPr="006A0963" w:rsidRDefault="00EF39AA" w:rsidP="006A0963">
            <w:pPr>
              <w:pStyle w:val="BodyText"/>
              <w:spacing w:line="276" w:lineRule="auto"/>
              <w:ind w:firstLine="0"/>
              <w:rPr>
                <w:sz w:val="24"/>
                <w:szCs w:val="24"/>
              </w:rPr>
            </w:pPr>
          </w:p>
        </w:tc>
      </w:tr>
      <w:tr w:rsidR="000252F8" w:rsidRPr="006A0963" w14:paraId="1F6AD142" w14:textId="77777777" w:rsidTr="00B94C60">
        <w:tc>
          <w:tcPr>
            <w:tcW w:w="4315" w:type="dxa"/>
          </w:tcPr>
          <w:p w14:paraId="47B05D98" w14:textId="598DEFCF" w:rsidR="000252F8" w:rsidRPr="006A0963" w:rsidRDefault="000252F8" w:rsidP="006A0963">
            <w:pPr>
              <w:pStyle w:val="BodyText"/>
              <w:spacing w:line="276" w:lineRule="auto"/>
              <w:ind w:firstLine="0"/>
              <w:rPr>
                <w:sz w:val="24"/>
                <w:szCs w:val="24"/>
              </w:rPr>
            </w:pPr>
            <w:r w:rsidRPr="006A0963">
              <w:rPr>
                <w:sz w:val="24"/>
                <w:szCs w:val="24"/>
              </w:rPr>
              <w:t>Defense of dissertation</w:t>
            </w:r>
          </w:p>
        </w:tc>
        <w:tc>
          <w:tcPr>
            <w:tcW w:w="4315" w:type="dxa"/>
          </w:tcPr>
          <w:p w14:paraId="54035899" w14:textId="77777777" w:rsidR="000252F8" w:rsidRPr="006A0963" w:rsidRDefault="000252F8" w:rsidP="006A0963">
            <w:pPr>
              <w:pStyle w:val="BodyText"/>
              <w:spacing w:line="276" w:lineRule="auto"/>
              <w:ind w:firstLine="0"/>
              <w:rPr>
                <w:sz w:val="24"/>
                <w:szCs w:val="24"/>
              </w:rPr>
            </w:pPr>
          </w:p>
        </w:tc>
      </w:tr>
      <w:tr w:rsidR="000252F8" w:rsidRPr="006A0963" w14:paraId="12AAE89B" w14:textId="77777777" w:rsidTr="00B94C60">
        <w:tc>
          <w:tcPr>
            <w:tcW w:w="4315" w:type="dxa"/>
          </w:tcPr>
          <w:p w14:paraId="4B284500" w14:textId="77F4682C" w:rsidR="000252F8" w:rsidRPr="006A0963" w:rsidRDefault="000252F8" w:rsidP="006A0963">
            <w:pPr>
              <w:pStyle w:val="BodyText"/>
              <w:spacing w:line="276" w:lineRule="auto"/>
              <w:ind w:firstLine="0"/>
              <w:rPr>
                <w:sz w:val="24"/>
                <w:szCs w:val="24"/>
              </w:rPr>
            </w:pPr>
            <w:r w:rsidRPr="006A0963">
              <w:rPr>
                <w:sz w:val="24"/>
                <w:szCs w:val="24"/>
              </w:rPr>
              <w:t>Submission of error-free dissertation</w:t>
            </w:r>
          </w:p>
        </w:tc>
        <w:tc>
          <w:tcPr>
            <w:tcW w:w="4315" w:type="dxa"/>
          </w:tcPr>
          <w:p w14:paraId="62EBFF38" w14:textId="77777777" w:rsidR="000252F8" w:rsidRPr="006A0963" w:rsidRDefault="000252F8" w:rsidP="006A0963">
            <w:pPr>
              <w:pStyle w:val="BodyText"/>
              <w:spacing w:line="276" w:lineRule="auto"/>
              <w:ind w:firstLine="0"/>
              <w:rPr>
                <w:sz w:val="24"/>
                <w:szCs w:val="24"/>
              </w:rPr>
            </w:pPr>
          </w:p>
        </w:tc>
      </w:tr>
    </w:tbl>
    <w:p w14:paraId="15B3B73B" w14:textId="77777777" w:rsidR="00B94C60" w:rsidRPr="00B94C60" w:rsidRDefault="00B94C60" w:rsidP="00B94C60">
      <w:pPr>
        <w:pStyle w:val="BodyText"/>
        <w:ind w:firstLine="0"/>
      </w:pPr>
    </w:p>
    <w:p w14:paraId="19C21462" w14:textId="38F8A771" w:rsidR="009E01E5" w:rsidRDefault="00E453AE" w:rsidP="000B2D37">
      <w:pPr>
        <w:pStyle w:val="APALevel2"/>
        <w:keepNext w:val="0"/>
        <w:keepLines w:val="0"/>
      </w:pPr>
      <w:bookmarkStart w:id="39" w:name="_Toc486409259"/>
      <w:r>
        <w:t xml:space="preserve">Procedures for </w:t>
      </w:r>
      <w:r w:rsidR="0039613A">
        <w:t>Analyzing Data</w:t>
      </w:r>
      <w:bookmarkEnd w:id="39"/>
    </w:p>
    <w:p w14:paraId="783EB58F" w14:textId="1F6CEBC3" w:rsidR="006C406F" w:rsidRDefault="007B3983" w:rsidP="007B3983">
      <w:r w:rsidRPr="007B3983">
        <w:lastRenderedPageBreak/>
        <w:t xml:space="preserve">This researcher believed that the </w:t>
      </w:r>
      <w:r w:rsidR="00AD7B0F">
        <w:t xml:space="preserve">spiritual engagement practices could improve </w:t>
      </w:r>
      <w:r w:rsidR="0020771C">
        <w:t xml:space="preserve">work engagement and job satisfaction thereby alleviating the </w:t>
      </w:r>
      <w:r w:rsidR="00AD7B0F">
        <w:t>need for recovery from work</w:t>
      </w:r>
      <w:r w:rsidR="00E67678">
        <w:t xml:space="preserve"> adjunct faculty</w:t>
      </w:r>
      <w:r w:rsidR="00AD7B0F">
        <w:t xml:space="preserve">. </w:t>
      </w:r>
      <w:r w:rsidR="00E67678">
        <w:t xml:space="preserve">The </w:t>
      </w:r>
      <w:r w:rsidRPr="007B3983">
        <w:t>hypothes</w:t>
      </w:r>
      <w:r w:rsidR="00E67678">
        <w:t>i</w:t>
      </w:r>
      <w:r w:rsidRPr="007B3983">
        <w:t>s created to test this belief</w:t>
      </w:r>
      <w:r w:rsidR="00DB3474">
        <w:t xml:space="preserve"> </w:t>
      </w:r>
      <w:r w:rsidRPr="007B3983">
        <w:t>is shown here.</w:t>
      </w:r>
    </w:p>
    <w:p w14:paraId="4594C234" w14:textId="6F79B8A4" w:rsidR="0039613A" w:rsidRDefault="0039613A" w:rsidP="000B2D37">
      <w:pPr>
        <w:pStyle w:val="APALevel3"/>
        <w:keepNext w:val="0"/>
        <w:keepLines w:val="0"/>
      </w:pPr>
      <w:bookmarkStart w:id="40" w:name="_Toc486409260"/>
      <w:r w:rsidRPr="00D618DC">
        <w:t>Organization of the Data</w:t>
      </w:r>
      <w:bookmarkEnd w:id="40"/>
    </w:p>
    <w:p w14:paraId="76EB0D1E" w14:textId="77777777" w:rsidR="006A71DE" w:rsidRPr="006A71DE" w:rsidRDefault="006A71DE" w:rsidP="000B2D37">
      <w:pPr>
        <w:pStyle w:val="APALevel3"/>
        <w:keepNext w:val="0"/>
        <w:keepLines w:val="0"/>
      </w:pPr>
      <w:bookmarkStart w:id="41" w:name="_Toc486409261"/>
      <w:r>
        <w:t>Analysis of the Data</w:t>
      </w:r>
      <w:bookmarkEnd w:id="41"/>
    </w:p>
    <w:p w14:paraId="32633C00" w14:textId="77777777" w:rsidR="009E01E5" w:rsidRDefault="009E01E5" w:rsidP="009258A7">
      <w:pPr>
        <w:pStyle w:val="APALevel1"/>
      </w:pPr>
      <w:bookmarkStart w:id="42" w:name="Chapter_4"/>
      <w:bookmarkEnd w:id="42"/>
      <w:r>
        <w:br w:type="page"/>
      </w:r>
      <w:bookmarkStart w:id="43" w:name="_Toc486409262"/>
      <w:r>
        <w:lastRenderedPageBreak/>
        <w:t xml:space="preserve">CHAPTER 4: </w:t>
      </w:r>
      <w:r w:rsidR="00526FDE">
        <w:t>SUMMARY OF RESULTS</w:t>
      </w:r>
      <w:bookmarkEnd w:id="43"/>
    </w:p>
    <w:p w14:paraId="24018878" w14:textId="77777777" w:rsidR="00400465" w:rsidRDefault="00400465" w:rsidP="009258A7">
      <w:pPr>
        <w:pStyle w:val="APALevel2"/>
      </w:pPr>
      <w:bookmarkStart w:id="44" w:name="_Toc486409263"/>
      <w:r>
        <w:t>[Brief introductory paragraph.]</w:t>
      </w:r>
      <w:bookmarkEnd w:id="44"/>
    </w:p>
    <w:p w14:paraId="69DD2D79" w14:textId="77777777" w:rsidR="00526FDE" w:rsidRDefault="00526FDE" w:rsidP="009258A7">
      <w:pPr>
        <w:pStyle w:val="APALevel2"/>
      </w:pPr>
      <w:bookmarkStart w:id="45" w:name="_Toc486409264"/>
      <w:r>
        <w:t>Descriptions of the Sample</w:t>
      </w:r>
      <w:bookmarkEnd w:id="45"/>
    </w:p>
    <w:p w14:paraId="6526588A" w14:textId="77777777" w:rsidR="00167DD1" w:rsidRPr="00D618DC" w:rsidRDefault="00526FDE" w:rsidP="009258A7">
      <w:pPr>
        <w:pStyle w:val="APALevel3"/>
      </w:pPr>
      <w:bookmarkStart w:id="46" w:name="_Toc486409265"/>
      <w:r w:rsidRPr="00D618DC">
        <w:t>Response Level</w:t>
      </w:r>
      <w:bookmarkEnd w:id="46"/>
    </w:p>
    <w:p w14:paraId="0B1FA152" w14:textId="77777777" w:rsidR="00526FDE" w:rsidRPr="00D618DC" w:rsidRDefault="00526FDE" w:rsidP="009258A7">
      <w:pPr>
        <w:pStyle w:val="APALevel3"/>
      </w:pPr>
      <w:bookmarkStart w:id="47" w:name="_Toc486409266"/>
      <w:r w:rsidRPr="00D618DC">
        <w:t>Demographic Data</w:t>
      </w:r>
      <w:bookmarkEnd w:id="47"/>
    </w:p>
    <w:p w14:paraId="577C6B94" w14:textId="77777777" w:rsidR="00526FDE" w:rsidRPr="00400465" w:rsidRDefault="00526FDE" w:rsidP="009258A7">
      <w:pPr>
        <w:pStyle w:val="APALevel2"/>
      </w:pPr>
      <w:bookmarkStart w:id="48" w:name="_Toc486409267"/>
      <w:r w:rsidRPr="00400465">
        <w:t>Tests of the Hypotheses</w:t>
      </w:r>
      <w:bookmarkEnd w:id="48"/>
    </w:p>
    <w:p w14:paraId="5B37EDB9" w14:textId="77777777" w:rsidR="00526FDE" w:rsidRPr="00D618DC" w:rsidRDefault="00526FDE" w:rsidP="009258A7">
      <w:pPr>
        <w:pStyle w:val="APALevel3"/>
      </w:pPr>
      <w:bookmarkStart w:id="49" w:name="_Toc486409268"/>
      <w:r w:rsidRPr="00D618DC">
        <w:t>Tests and Results of Hypothesis 1</w:t>
      </w:r>
      <w:bookmarkEnd w:id="49"/>
    </w:p>
    <w:p w14:paraId="0BA7ADB3" w14:textId="77777777" w:rsidR="00526FDE" w:rsidRPr="00D618DC" w:rsidRDefault="00526FDE" w:rsidP="009258A7">
      <w:pPr>
        <w:pStyle w:val="APALevel3"/>
      </w:pPr>
      <w:bookmarkStart w:id="50" w:name="_Toc486409269"/>
      <w:r w:rsidRPr="00D618DC">
        <w:t>Tests and Results of Hypothesis 2</w:t>
      </w:r>
      <w:bookmarkEnd w:id="50"/>
    </w:p>
    <w:p w14:paraId="3ABF5730" w14:textId="77777777" w:rsidR="00526FDE" w:rsidRPr="00D618DC" w:rsidRDefault="00526FDE" w:rsidP="009258A7">
      <w:pPr>
        <w:pStyle w:val="APALevel3"/>
      </w:pPr>
      <w:bookmarkStart w:id="51" w:name="_Toc486409270"/>
      <w:r w:rsidRPr="00D618DC">
        <w:t>Tests and Results of Hypothesis 3</w:t>
      </w:r>
      <w:bookmarkEnd w:id="51"/>
    </w:p>
    <w:p w14:paraId="598097E4" w14:textId="77777777" w:rsidR="000E6542" w:rsidRDefault="00526FDE" w:rsidP="009258A7">
      <w:pPr>
        <w:pStyle w:val="APALevel2"/>
      </w:pPr>
      <w:bookmarkStart w:id="52" w:name="_Toc486409271"/>
      <w:r>
        <w:t>Other Observations</w:t>
      </w:r>
      <w:bookmarkEnd w:id="52"/>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53" w:name="_Toc486409272"/>
      <w:r>
        <w:lastRenderedPageBreak/>
        <w:t xml:space="preserve">CHAPTER 5: </w:t>
      </w:r>
      <w:r w:rsidR="003263B2">
        <w:t>CONCLUSIONS AND RECOMMENDATIONS</w:t>
      </w:r>
      <w:bookmarkEnd w:id="53"/>
    </w:p>
    <w:p w14:paraId="7EE0CC0D" w14:textId="77777777" w:rsidR="00066326" w:rsidRPr="00586CDB" w:rsidRDefault="00400465" w:rsidP="00586CDB">
      <w:pPr>
        <w:pStyle w:val="BodyText"/>
      </w:pPr>
      <w:r w:rsidRPr="00586CDB">
        <w:t>[Brief paragraph of introduction to the chapter without a heading.]</w:t>
      </w:r>
    </w:p>
    <w:p w14:paraId="110118D2" w14:textId="145C7CAC" w:rsidR="009E01E5" w:rsidRDefault="003263B2" w:rsidP="009258A7">
      <w:pPr>
        <w:pStyle w:val="APALevel2"/>
        <w:rPr>
          <w:rFonts w:eastAsiaTheme="minorEastAsia"/>
        </w:rPr>
      </w:pPr>
      <w:bookmarkStart w:id="54" w:name="_Toc486409273"/>
      <w:r>
        <w:rPr>
          <w:rFonts w:eastAsiaTheme="minorEastAsia"/>
        </w:rPr>
        <w:t>Conclusions</w:t>
      </w:r>
      <w:bookmarkEnd w:id="54"/>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55" w:name="_Toc486409274"/>
      <w:r>
        <w:rPr>
          <w:rFonts w:eastAsiaTheme="minorEastAsia"/>
        </w:rPr>
        <w:t>Interpretation</w:t>
      </w:r>
      <w:bookmarkEnd w:id="55"/>
    </w:p>
    <w:p w14:paraId="17D2B766" w14:textId="77777777" w:rsidR="003263B2" w:rsidRDefault="003263B2" w:rsidP="009258A7">
      <w:pPr>
        <w:pStyle w:val="APALevel2"/>
        <w:rPr>
          <w:rFonts w:eastAsiaTheme="minorEastAsia"/>
        </w:rPr>
      </w:pPr>
      <w:bookmarkStart w:id="56" w:name="_Toc486409275"/>
      <w:r>
        <w:rPr>
          <w:rFonts w:eastAsiaTheme="minorEastAsia"/>
        </w:rPr>
        <w:t>Recommendation</w:t>
      </w:r>
      <w:r w:rsidR="00400465">
        <w:rPr>
          <w:rFonts w:eastAsiaTheme="minorEastAsia"/>
        </w:rPr>
        <w:t>s</w:t>
      </w:r>
      <w:bookmarkEnd w:id="56"/>
    </w:p>
    <w:p w14:paraId="09D2730A" w14:textId="77777777" w:rsidR="00400465" w:rsidRPr="00400465" w:rsidRDefault="00586CDB" w:rsidP="009258A7">
      <w:pPr>
        <w:pStyle w:val="APALevel3"/>
        <w:rPr>
          <w:rFonts w:eastAsiaTheme="minorEastAsia"/>
        </w:rPr>
      </w:pPr>
      <w:bookmarkStart w:id="57" w:name="_Toc486409276"/>
      <w:r>
        <w:rPr>
          <w:rFonts w:eastAsiaTheme="minorEastAsia"/>
        </w:rPr>
        <w:t>[Appropriate Level 2</w:t>
      </w:r>
      <w:r w:rsidR="00400465">
        <w:rPr>
          <w:rFonts w:eastAsiaTheme="minorEastAsia"/>
        </w:rPr>
        <w:t xml:space="preserve"> Headings of Your Choice]</w:t>
      </w:r>
      <w:bookmarkEnd w:id="57"/>
    </w:p>
    <w:p w14:paraId="6993F5D6" w14:textId="77777777" w:rsidR="003263B2" w:rsidRDefault="003263B2" w:rsidP="009258A7">
      <w:pPr>
        <w:pStyle w:val="APALevel2"/>
        <w:rPr>
          <w:rFonts w:eastAsiaTheme="minorEastAsia"/>
        </w:rPr>
      </w:pPr>
      <w:bookmarkStart w:id="58" w:name="_Toc486409277"/>
      <w:r>
        <w:rPr>
          <w:rFonts w:eastAsiaTheme="minorEastAsia"/>
        </w:rPr>
        <w:t>Suggestions for Further Research</w:t>
      </w:r>
      <w:bookmarkEnd w:id="58"/>
    </w:p>
    <w:p w14:paraId="6C4AFD37" w14:textId="77777777" w:rsidR="009E01E5" w:rsidRDefault="009E01E5" w:rsidP="009E01E5">
      <w:pPr>
        <w:pStyle w:val="BodyText"/>
      </w:pPr>
    </w:p>
    <w:p w14:paraId="13E10518" w14:textId="77777777" w:rsidR="009E01E5" w:rsidRDefault="009E01E5" w:rsidP="009258A7">
      <w:pPr>
        <w:pStyle w:val="APALevel1"/>
      </w:pPr>
      <w:bookmarkStart w:id="59" w:name="References"/>
      <w:bookmarkEnd w:id="59"/>
      <w:r>
        <w:br w:type="page"/>
      </w:r>
    </w:p>
    <w:p w14:paraId="3A8D2297" w14:textId="77777777" w:rsidR="009E01E5" w:rsidRPr="00586CDB" w:rsidRDefault="009E01E5" w:rsidP="009258A7">
      <w:pPr>
        <w:pStyle w:val="APALevel1"/>
      </w:pPr>
      <w:bookmarkStart w:id="60" w:name="_Toc486409278"/>
      <w:r w:rsidRPr="00586CDB">
        <w:lastRenderedPageBreak/>
        <w:t>[</w:t>
      </w:r>
      <w:r w:rsidR="00797921" w:rsidRPr="00586CDB">
        <w:t>BACK MATTER</w:t>
      </w:r>
      <w:r w:rsidRPr="00586CDB">
        <w:t>]</w:t>
      </w:r>
      <w:bookmarkEnd w:id="60"/>
      <w:r w:rsidRPr="00586CDB">
        <w:t xml:space="preserve"> </w:t>
      </w:r>
    </w:p>
    <w:p w14:paraId="5374CF86" w14:textId="23D5AA35" w:rsidR="00C8403D" w:rsidRPr="00C8403D" w:rsidRDefault="00C8403D" w:rsidP="00C8403D">
      <w:pPr>
        <w:rPr>
          <w:rFonts w:cs="Times New Roman"/>
        </w:rPr>
      </w:pPr>
      <w:r w:rsidRPr="00C8403D">
        <w:rPr>
          <w:rFonts w:cs="Times New Roman"/>
        </w:rPr>
        <w:t>Many details are compiled in a section known as back matter. This information is more detailed</w:t>
      </w:r>
      <w:r>
        <w:rPr>
          <w:rFonts w:cs="Times New Roman"/>
        </w:rPr>
        <w:t xml:space="preserve"> </w:t>
      </w:r>
      <w:r w:rsidRPr="00C8403D">
        <w:rPr>
          <w:rFonts w:cs="Times New Roman"/>
        </w:rPr>
        <w:t>than is needed for general comprehension of the purpose and outcomes of the research but is</w:t>
      </w:r>
      <w:r>
        <w:rPr>
          <w:rFonts w:cs="Times New Roman"/>
        </w:rPr>
        <w:t xml:space="preserve"> </w:t>
      </w:r>
      <w:r w:rsidRPr="00C8403D">
        <w:rPr>
          <w:rFonts w:cs="Times New Roman"/>
        </w:rPr>
        <w:t>preserved in the report so that the entire process can be verified or repeated. Include all elements</w:t>
      </w:r>
      <w:r>
        <w:rPr>
          <w:rFonts w:cs="Times New Roman"/>
        </w:rPr>
        <w:t xml:space="preserve"> </w:t>
      </w:r>
      <w:r w:rsidRPr="00C8403D">
        <w:rPr>
          <w:rFonts w:cs="Times New Roman"/>
        </w:rPr>
        <w:t>that were part of your research. These pages all carry page numbers.</w:t>
      </w:r>
    </w:p>
    <w:p w14:paraId="434A2B42" w14:textId="573192B2" w:rsidR="00C8403D" w:rsidRPr="00C8403D" w:rsidRDefault="00C8403D" w:rsidP="00C8403D">
      <w:pPr>
        <w:rPr>
          <w:rFonts w:cs="Times New Roman"/>
        </w:rPr>
      </w:pPr>
      <w:r w:rsidRPr="00C8403D">
        <w:rPr>
          <w:rFonts w:cs="Times New Roman"/>
        </w:rPr>
        <w:t>Works Cited. All materials referred to in the text.</w:t>
      </w:r>
    </w:p>
    <w:p w14:paraId="0F6A6C2E" w14:textId="52425E89" w:rsidR="00C8403D" w:rsidRPr="00C8403D" w:rsidRDefault="00C8403D" w:rsidP="00C8403D">
      <w:pPr>
        <w:rPr>
          <w:rFonts w:cs="Times New Roman"/>
        </w:rPr>
      </w:pPr>
      <w:r w:rsidRPr="00C8403D">
        <w:rPr>
          <w:rFonts w:cs="Times New Roman"/>
        </w:rPr>
        <w:t>Related Works. (Rarely used). Materials used in the development of the project, but not</w:t>
      </w:r>
      <w:r>
        <w:rPr>
          <w:rFonts w:cs="Times New Roman"/>
        </w:rPr>
        <w:t xml:space="preserve"> </w:t>
      </w:r>
      <w:r w:rsidRPr="00C8403D">
        <w:rPr>
          <w:rFonts w:cs="Times New Roman"/>
        </w:rPr>
        <w:t>cited in the text. These materials provide prerequisite or supplemental information</w:t>
      </w:r>
      <w:r>
        <w:rPr>
          <w:rFonts w:cs="Times New Roman"/>
        </w:rPr>
        <w:t xml:space="preserve"> </w:t>
      </w:r>
      <w:r w:rsidRPr="00C8403D">
        <w:rPr>
          <w:rFonts w:cs="Times New Roman"/>
        </w:rPr>
        <w:t>not used in the research but that is closely related to the topic.</w:t>
      </w:r>
    </w:p>
    <w:p w14:paraId="00C4D517" w14:textId="56EF6A2D" w:rsidR="00C8403D" w:rsidRPr="00C8403D" w:rsidRDefault="00C8403D" w:rsidP="00C8403D">
      <w:pPr>
        <w:rPr>
          <w:rFonts w:cs="Times New Roman"/>
        </w:rPr>
      </w:pPr>
      <w:r w:rsidRPr="00C8403D">
        <w:rPr>
          <w:rFonts w:cs="Times New Roman"/>
        </w:rPr>
        <w:t>Appendixes</w:t>
      </w:r>
    </w:p>
    <w:p w14:paraId="1A2F858F" w14:textId="344744BC" w:rsidR="00C8403D" w:rsidRPr="00C8403D" w:rsidRDefault="00C8403D" w:rsidP="00C8403D">
      <w:pPr>
        <w:rPr>
          <w:rFonts w:cs="Times New Roman"/>
        </w:rPr>
      </w:pPr>
      <w:r w:rsidRPr="00C8403D">
        <w:rPr>
          <w:rFonts w:cs="Times New Roman"/>
        </w:rPr>
        <w:t>The author</w:t>
      </w:r>
      <w:r w:rsidR="00766033">
        <w:rPr>
          <w:rFonts w:cs="Times New Roman"/>
        </w:rPr>
        <w:t>'</w:t>
      </w:r>
      <w:r w:rsidRPr="00C8403D">
        <w:rPr>
          <w:rFonts w:cs="Times New Roman"/>
        </w:rPr>
        <w:t>s vita</w:t>
      </w:r>
    </w:p>
    <w:p w14:paraId="2C238D41" w14:textId="73D04BAA" w:rsidR="00C8403D" w:rsidRDefault="00C8403D" w:rsidP="00C8403D">
      <w:pPr>
        <w:rPr>
          <w:rFonts w:cs="Times New Roman"/>
        </w:rPr>
      </w:pPr>
      <w:r w:rsidRPr="00C8403D">
        <w:rPr>
          <w:rFonts w:cs="Times New Roman"/>
        </w:rPr>
        <w:t>Index (Rarely used)</w:t>
      </w:r>
    </w:p>
    <w:p w14:paraId="6AEEAE78" w14:textId="3FC875CF" w:rsidR="00EF5D95" w:rsidRDefault="00EF5D95" w:rsidP="009258A7">
      <w:pPr>
        <w:pStyle w:val="APALevel2"/>
      </w:pPr>
      <w:bookmarkStart w:id="61" w:name="_Toc486409279"/>
      <w:r>
        <w:t>[OTHER BACK MATTER]</w:t>
      </w:r>
      <w:bookmarkEnd w:id="61"/>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cs="Times New Roman"/>
          <w:sz w:val="23"/>
          <w:szCs w:val="23"/>
        </w:rPr>
      </w:pPr>
      <w:r>
        <w:br w:type="page"/>
      </w:r>
    </w:p>
    <w:p w14:paraId="542FA2A7" w14:textId="11D168BD" w:rsidR="00457B7B" w:rsidRPr="00400465" w:rsidRDefault="009E01E5" w:rsidP="009258A7">
      <w:pPr>
        <w:pStyle w:val="APALevel1"/>
      </w:pPr>
      <w:bookmarkStart w:id="62" w:name="_Toc486409280"/>
      <w:r w:rsidRPr="00400465">
        <w:lastRenderedPageBreak/>
        <w:t>WORKS CITED</w:t>
      </w:r>
      <w:bookmarkEnd w:id="62"/>
    </w:p>
    <w:p w14:paraId="65C7ABF6" w14:textId="0E8E5813" w:rsidR="002638F7" w:rsidRPr="002638F7" w:rsidRDefault="002638F7" w:rsidP="004769A9">
      <w:pPr>
        <w:keepNext w:val="0"/>
        <w:ind w:left="720" w:hanging="720"/>
      </w:pPr>
      <w:r w:rsidRPr="002638F7">
        <w:t xml:space="preserve">APA (American Psychological Association). (2020). </w:t>
      </w:r>
      <w:r w:rsidRPr="002638F7">
        <w:rPr>
          <w:i/>
          <w:iCs/>
        </w:rPr>
        <w:t>Stress in America</w:t>
      </w:r>
      <w:r w:rsidRPr="002638F7">
        <w:rPr>
          <w:i/>
          <w:iCs/>
          <w:vertAlign w:val="superscript"/>
        </w:rPr>
        <w:t>TM</w:t>
      </w:r>
      <w:r w:rsidRPr="002638F7">
        <w:rPr>
          <w:i/>
          <w:iCs/>
        </w:rPr>
        <w:t xml:space="preserve"> 2020: A national mental health crisis</w:t>
      </w:r>
      <w:r w:rsidRPr="002638F7">
        <w:t xml:space="preserve">. </w:t>
      </w:r>
      <w:r w:rsidR="00891574">
        <w:t>h</w:t>
      </w:r>
      <w:r w:rsidRPr="002638F7">
        <w:t>ttps://</w:t>
      </w:r>
      <w:r w:rsidR="00891574">
        <w:t>w</w:t>
      </w:r>
      <w:r w:rsidRPr="002638F7">
        <w:t xml:space="preserve">ww.Apa.Org. </w:t>
      </w:r>
      <w:hyperlink r:id="rId21" w:history="1">
        <w:r w:rsidRPr="002638F7">
          <w:rPr>
            <w:rStyle w:val="Hyperlink"/>
          </w:rPr>
          <w:t>https://www.apa.org/news/press/releases/stress/2020/report-october</w:t>
        </w:r>
      </w:hyperlink>
    </w:p>
    <w:p w14:paraId="381CE724" w14:textId="77777777" w:rsidR="002638F7" w:rsidRPr="002638F7" w:rsidRDefault="002638F7" w:rsidP="004769A9">
      <w:pPr>
        <w:keepNext w:val="0"/>
        <w:ind w:left="720" w:hanging="720"/>
      </w:pPr>
      <w:r w:rsidRPr="002638F7">
        <w:t xml:space="preserve">Arokiasamy, A., &amp; Tat, H. (2020). Exploring the influence of transformational leadership on work engagement and workplace spirituality of academic employees in the private higher education institutions in Malaysia. </w:t>
      </w:r>
      <w:r w:rsidRPr="002638F7">
        <w:rPr>
          <w:i/>
          <w:iCs/>
        </w:rPr>
        <w:t>Management Science Letters</w:t>
      </w:r>
      <w:r w:rsidRPr="002638F7">
        <w:t xml:space="preserve">, </w:t>
      </w:r>
      <w:r w:rsidRPr="002638F7">
        <w:rPr>
          <w:i/>
          <w:iCs/>
        </w:rPr>
        <w:t>10</w:t>
      </w:r>
      <w:r w:rsidRPr="002638F7">
        <w:t>(4), 855–864.</w:t>
      </w:r>
    </w:p>
    <w:p w14:paraId="47DC23B3" w14:textId="77777777" w:rsidR="002638F7" w:rsidRPr="002638F7" w:rsidRDefault="002638F7" w:rsidP="004769A9">
      <w:pPr>
        <w:keepNext w:val="0"/>
        <w:ind w:left="720" w:hanging="720"/>
      </w:pPr>
      <w:r w:rsidRPr="002638F7">
        <w:t xml:space="preserve">Ashmos, D. P., &amp; Duchon, D. (2000). Spirituality at work: A conceptualization and measure. </w:t>
      </w:r>
      <w:r w:rsidRPr="002638F7">
        <w:rPr>
          <w:i/>
          <w:iCs/>
        </w:rPr>
        <w:t>Journal of Management Inquiry</w:t>
      </w:r>
      <w:r w:rsidRPr="002638F7">
        <w:t xml:space="preserve">, </w:t>
      </w:r>
      <w:r w:rsidRPr="002638F7">
        <w:rPr>
          <w:i/>
          <w:iCs/>
        </w:rPr>
        <w:t>9</w:t>
      </w:r>
      <w:r w:rsidRPr="002638F7">
        <w:t xml:space="preserve">, 134–145. </w:t>
      </w:r>
      <w:hyperlink r:id="rId22" w:history="1">
        <w:r w:rsidRPr="002638F7">
          <w:rPr>
            <w:rStyle w:val="Hyperlink"/>
          </w:rPr>
          <w:t>https://doi.org/10.1177/105649260092008</w:t>
        </w:r>
      </w:hyperlink>
    </w:p>
    <w:p w14:paraId="635258C6" w14:textId="77777777" w:rsidR="002638F7" w:rsidRPr="002638F7" w:rsidRDefault="002638F7" w:rsidP="004769A9">
      <w:pPr>
        <w:keepNext w:val="0"/>
        <w:ind w:left="720" w:hanging="720"/>
      </w:pPr>
      <w:r w:rsidRPr="002638F7">
        <w:t xml:space="preserve">Bakker, A. B. (2008). The work-related flow inventory: Construction and initial validation of the WOLF. </w:t>
      </w:r>
      <w:r w:rsidRPr="002638F7">
        <w:rPr>
          <w:i/>
          <w:iCs/>
        </w:rPr>
        <w:t>Journal of Vocational Behavior</w:t>
      </w:r>
      <w:r w:rsidRPr="002638F7">
        <w:t xml:space="preserve">, </w:t>
      </w:r>
      <w:r w:rsidRPr="002638F7">
        <w:rPr>
          <w:i/>
          <w:iCs/>
        </w:rPr>
        <w:t>72</w:t>
      </w:r>
      <w:r w:rsidRPr="002638F7">
        <w:t xml:space="preserve">(3), 400–414. </w:t>
      </w:r>
      <w:hyperlink r:id="rId23" w:history="1">
        <w:r w:rsidRPr="002638F7">
          <w:rPr>
            <w:rStyle w:val="Hyperlink"/>
          </w:rPr>
          <w:t>https://doi.org/10.1016/j.jvb.2007.11.007</w:t>
        </w:r>
      </w:hyperlink>
    </w:p>
    <w:p w14:paraId="6924A075" w14:textId="77777777" w:rsidR="002638F7" w:rsidRPr="002638F7" w:rsidRDefault="002638F7" w:rsidP="004769A9">
      <w:pPr>
        <w:keepNext w:val="0"/>
        <w:ind w:left="720" w:hanging="720"/>
      </w:pPr>
      <w:r w:rsidRPr="002638F7">
        <w:t xml:space="preserve">Bakker, A. B., &amp; Demerouti, E. (2007). The job demands‐resources model: State of the art. </w:t>
      </w:r>
      <w:r w:rsidRPr="002638F7">
        <w:rPr>
          <w:i/>
          <w:iCs/>
        </w:rPr>
        <w:t>Journal of Managerial Psychology</w:t>
      </w:r>
      <w:r w:rsidRPr="002638F7">
        <w:t xml:space="preserve">, </w:t>
      </w:r>
      <w:r w:rsidRPr="002638F7">
        <w:rPr>
          <w:i/>
          <w:iCs/>
        </w:rPr>
        <w:t>22</w:t>
      </w:r>
      <w:r w:rsidRPr="002638F7">
        <w:t xml:space="preserve">(3), 309–328. </w:t>
      </w:r>
      <w:hyperlink r:id="rId24" w:history="1">
        <w:r w:rsidRPr="002638F7">
          <w:rPr>
            <w:rStyle w:val="Hyperlink"/>
          </w:rPr>
          <w:t>https://doi.org/10.1108/02683940710733115</w:t>
        </w:r>
      </w:hyperlink>
    </w:p>
    <w:p w14:paraId="3D2CA45C" w14:textId="77777777" w:rsidR="002638F7" w:rsidRPr="002638F7" w:rsidRDefault="002638F7" w:rsidP="004769A9">
      <w:pPr>
        <w:keepNext w:val="0"/>
        <w:ind w:left="720" w:hanging="720"/>
      </w:pPr>
      <w:r w:rsidRPr="002638F7">
        <w:t xml:space="preserve">Bakker, A. B., &amp; Demerouti, E. (2008). Towards a model of work engagement. </w:t>
      </w:r>
      <w:r w:rsidRPr="002638F7">
        <w:rPr>
          <w:i/>
          <w:iCs/>
        </w:rPr>
        <w:t>Career Development International</w:t>
      </w:r>
      <w:r w:rsidRPr="002638F7">
        <w:t xml:space="preserve">, </w:t>
      </w:r>
      <w:r w:rsidRPr="002638F7">
        <w:rPr>
          <w:i/>
          <w:iCs/>
        </w:rPr>
        <w:t>13</w:t>
      </w:r>
      <w:r w:rsidRPr="002638F7">
        <w:t xml:space="preserve">(3), 209–223. </w:t>
      </w:r>
      <w:hyperlink r:id="rId25" w:history="1">
        <w:r w:rsidRPr="002638F7">
          <w:rPr>
            <w:rStyle w:val="Hyperlink"/>
          </w:rPr>
          <w:t>https://doi.org/10.1108/13620430810870476</w:t>
        </w:r>
      </w:hyperlink>
    </w:p>
    <w:p w14:paraId="74AA40EC" w14:textId="77777777" w:rsidR="002638F7" w:rsidRPr="002638F7" w:rsidRDefault="002638F7" w:rsidP="004769A9">
      <w:pPr>
        <w:keepNext w:val="0"/>
        <w:ind w:left="720" w:hanging="720"/>
      </w:pPr>
      <w:r w:rsidRPr="002638F7">
        <w:t xml:space="preserve">Bennett, A., Bakker, A. B., &amp; Field, J. G. (2017). Recovery from work-related effort: A meta-analysis. </w:t>
      </w:r>
      <w:r w:rsidRPr="002638F7">
        <w:rPr>
          <w:i/>
          <w:iCs/>
        </w:rPr>
        <w:t>Journal of Organizational Behavior</w:t>
      </w:r>
      <w:r w:rsidRPr="002638F7">
        <w:t xml:space="preserve">, </w:t>
      </w:r>
      <w:r w:rsidRPr="002638F7">
        <w:rPr>
          <w:i/>
          <w:iCs/>
        </w:rPr>
        <w:t>39</w:t>
      </w:r>
      <w:r w:rsidRPr="002638F7">
        <w:t xml:space="preserve">(3), 262–275. </w:t>
      </w:r>
      <w:hyperlink r:id="rId26" w:history="1">
        <w:r w:rsidRPr="002638F7">
          <w:rPr>
            <w:rStyle w:val="Hyperlink"/>
          </w:rPr>
          <w:t>https://doi.org/10.1002/job.2217</w:t>
        </w:r>
      </w:hyperlink>
    </w:p>
    <w:p w14:paraId="4289A654" w14:textId="77777777" w:rsidR="002638F7" w:rsidRPr="002638F7" w:rsidRDefault="002638F7" w:rsidP="004769A9">
      <w:pPr>
        <w:keepNext w:val="0"/>
        <w:ind w:left="720" w:hanging="720"/>
      </w:pPr>
      <w:r w:rsidRPr="002638F7">
        <w:lastRenderedPageBreak/>
        <w:t xml:space="preserve">Bernales-Turpo, D., Quispe-Velasquez, R., Flores-Ticona, D., Saintila, J., Ruiz Mamani, P. G., Huancahuire-Vega, S., Morales-García, M., &amp; Morales-García, W. C. (2022). Burnout, professional self-efficacy, and life satisfaction as predictors of job performance in health care workers: The mediating role of work engagement. </w:t>
      </w:r>
      <w:r w:rsidRPr="002638F7">
        <w:rPr>
          <w:i/>
          <w:iCs/>
        </w:rPr>
        <w:t>Journal of Primary Care &amp; Community Health</w:t>
      </w:r>
      <w:r w:rsidRPr="002638F7">
        <w:t xml:space="preserve">, </w:t>
      </w:r>
      <w:r w:rsidRPr="002638F7">
        <w:rPr>
          <w:i/>
          <w:iCs/>
        </w:rPr>
        <w:t>13</w:t>
      </w:r>
      <w:r w:rsidRPr="002638F7">
        <w:t xml:space="preserve">, 21501319221101844. </w:t>
      </w:r>
      <w:hyperlink r:id="rId27" w:history="1">
        <w:r w:rsidRPr="002638F7">
          <w:rPr>
            <w:rStyle w:val="Hyperlink"/>
          </w:rPr>
          <w:t>https://doi.org/10.1177/21501319221101845</w:t>
        </w:r>
      </w:hyperlink>
    </w:p>
    <w:p w14:paraId="35BEC373" w14:textId="77777777" w:rsidR="002638F7" w:rsidRPr="002638F7" w:rsidRDefault="002638F7" w:rsidP="004769A9">
      <w:pPr>
        <w:keepNext w:val="0"/>
        <w:ind w:left="720" w:hanging="720"/>
      </w:pPr>
      <w:r w:rsidRPr="002638F7">
        <w:t xml:space="preserve">Bickerton, G. R., Miner, M. H., Dowson, M., &amp; Griffin, B. (2014). Spiritual resources and work engagement among religious workers: A three-wave longitudinal study. </w:t>
      </w:r>
      <w:r w:rsidRPr="002638F7">
        <w:rPr>
          <w:i/>
          <w:iCs/>
        </w:rPr>
        <w:t>Journal of Occupational and Organizational Psychology</w:t>
      </w:r>
      <w:r w:rsidRPr="002638F7">
        <w:t xml:space="preserve">, </w:t>
      </w:r>
      <w:r w:rsidRPr="002638F7">
        <w:rPr>
          <w:i/>
          <w:iCs/>
        </w:rPr>
        <w:t>87</w:t>
      </w:r>
      <w:r w:rsidRPr="002638F7">
        <w:t xml:space="preserve">(2), 370–391. </w:t>
      </w:r>
      <w:hyperlink r:id="rId28" w:history="1">
        <w:r w:rsidRPr="002638F7">
          <w:rPr>
            <w:rStyle w:val="Hyperlink"/>
          </w:rPr>
          <w:t>https://doi.org/10.1111/joop.12052</w:t>
        </w:r>
      </w:hyperlink>
    </w:p>
    <w:p w14:paraId="725CF1EF" w14:textId="77777777" w:rsidR="002638F7" w:rsidRPr="002638F7" w:rsidRDefault="002638F7" w:rsidP="004769A9">
      <w:pPr>
        <w:keepNext w:val="0"/>
        <w:ind w:left="720" w:hanging="720"/>
      </w:pPr>
      <w:r w:rsidRPr="002638F7">
        <w:t xml:space="preserve">Boehnlein, P., &amp; Baum, M. (2022). Does job crafting always lead to employee well-being and performance? Meta-analytical evidence on the moderating role of societal culture. </w:t>
      </w:r>
      <w:r w:rsidRPr="002638F7">
        <w:rPr>
          <w:i/>
          <w:iCs/>
        </w:rPr>
        <w:t>The International Journal of Human Resource Management</w:t>
      </w:r>
      <w:r w:rsidRPr="002638F7">
        <w:t xml:space="preserve">, </w:t>
      </w:r>
      <w:r w:rsidRPr="002638F7">
        <w:rPr>
          <w:i/>
          <w:iCs/>
        </w:rPr>
        <w:t>33</w:t>
      </w:r>
      <w:r w:rsidRPr="002638F7">
        <w:t xml:space="preserve">(4), 647–685. </w:t>
      </w:r>
      <w:hyperlink r:id="rId29" w:history="1">
        <w:r w:rsidRPr="002638F7">
          <w:rPr>
            <w:rStyle w:val="Hyperlink"/>
          </w:rPr>
          <w:t>https://doi.org/10.1080/09585192.2020.1737177</w:t>
        </w:r>
      </w:hyperlink>
    </w:p>
    <w:p w14:paraId="72BA51E3" w14:textId="520DD3BA" w:rsidR="002638F7" w:rsidRPr="002638F7" w:rsidRDefault="002638F7" w:rsidP="004769A9">
      <w:pPr>
        <w:keepNext w:val="0"/>
        <w:ind w:left="720" w:hanging="720"/>
      </w:pPr>
      <w:r w:rsidRPr="002638F7">
        <w:t xml:space="preserve">Bolino, M. C., Turnley, W. H., &amp; Anderson, H. J. (2017). The dark side of proactive behavior: When being proactive may hurt oneself, others, or the organization. In S. K. Parker &amp; U. K. Bindl (Eds.), </w:t>
      </w:r>
      <w:r w:rsidRPr="002638F7">
        <w:rPr>
          <w:i/>
          <w:iCs/>
        </w:rPr>
        <w:t xml:space="preserve">Proactivity at Work: Making Things </w:t>
      </w:r>
      <w:r w:rsidR="00A81FD0">
        <w:rPr>
          <w:i/>
          <w:iCs/>
        </w:rPr>
        <w:t>H</w:t>
      </w:r>
      <w:r w:rsidRPr="002638F7">
        <w:rPr>
          <w:i/>
          <w:iCs/>
        </w:rPr>
        <w:t xml:space="preserve">appen in </w:t>
      </w:r>
      <w:r w:rsidR="00A81FD0">
        <w:rPr>
          <w:i/>
          <w:iCs/>
        </w:rPr>
        <w:t>O</w:t>
      </w:r>
      <w:r w:rsidRPr="002638F7">
        <w:rPr>
          <w:i/>
          <w:iCs/>
        </w:rPr>
        <w:t>rganizations</w:t>
      </w:r>
      <w:r w:rsidRPr="002638F7">
        <w:t xml:space="preserve"> (pp. 499–529). Routledge.</w:t>
      </w:r>
    </w:p>
    <w:p w14:paraId="70E4593D" w14:textId="77777777" w:rsidR="002638F7" w:rsidRPr="002638F7" w:rsidRDefault="002638F7" w:rsidP="004769A9">
      <w:pPr>
        <w:keepNext w:val="0"/>
        <w:ind w:left="720" w:hanging="720"/>
      </w:pPr>
      <w:r w:rsidRPr="002638F7">
        <w:t xml:space="preserve">Cavanagh, G. F. (1999). Spirituality for managers: Context and critique. </w:t>
      </w:r>
      <w:r w:rsidRPr="002638F7">
        <w:rPr>
          <w:i/>
          <w:iCs/>
        </w:rPr>
        <w:t>Journal of Organizational Change Management</w:t>
      </w:r>
      <w:r w:rsidRPr="002638F7">
        <w:t xml:space="preserve">, </w:t>
      </w:r>
      <w:r w:rsidRPr="002638F7">
        <w:rPr>
          <w:i/>
          <w:iCs/>
        </w:rPr>
        <w:t>12</w:t>
      </w:r>
      <w:r w:rsidRPr="002638F7">
        <w:t xml:space="preserve">(3), 186–199. </w:t>
      </w:r>
      <w:hyperlink r:id="rId30" w:history="1">
        <w:r w:rsidRPr="002638F7">
          <w:rPr>
            <w:rStyle w:val="Hyperlink"/>
          </w:rPr>
          <w:t>https://doi.org/10.1108/09534819910273793</w:t>
        </w:r>
      </w:hyperlink>
    </w:p>
    <w:p w14:paraId="03406908" w14:textId="77777777" w:rsidR="002638F7" w:rsidRPr="002638F7" w:rsidRDefault="002638F7" w:rsidP="004769A9">
      <w:pPr>
        <w:keepNext w:val="0"/>
        <w:ind w:left="720" w:hanging="720"/>
      </w:pPr>
      <w:r w:rsidRPr="002638F7">
        <w:lastRenderedPageBreak/>
        <w:t xml:space="preserve">Cavanaugh, M. A., Boswell, W. R., Roehling, M. V., &amp; Boudreau, J. W. (2000). An empirical examination of self-reported work stress among U.S. managers. </w:t>
      </w:r>
      <w:r w:rsidRPr="002638F7">
        <w:rPr>
          <w:i/>
          <w:iCs/>
        </w:rPr>
        <w:t>Journal of Applied Psychology</w:t>
      </w:r>
      <w:r w:rsidRPr="002638F7">
        <w:t xml:space="preserve">, </w:t>
      </w:r>
      <w:r w:rsidRPr="002638F7">
        <w:rPr>
          <w:i/>
          <w:iCs/>
        </w:rPr>
        <w:t>85</w:t>
      </w:r>
      <w:r w:rsidRPr="002638F7">
        <w:t xml:space="preserve">, 65–74. </w:t>
      </w:r>
      <w:hyperlink r:id="rId31" w:history="1">
        <w:r w:rsidRPr="002638F7">
          <w:rPr>
            <w:rStyle w:val="Hyperlink"/>
          </w:rPr>
          <w:t>https://doi.org/10.1037/0021-9010.85.1.65</w:t>
        </w:r>
      </w:hyperlink>
    </w:p>
    <w:p w14:paraId="590A12B9" w14:textId="77777777" w:rsidR="002638F7" w:rsidRPr="002638F7" w:rsidRDefault="002638F7" w:rsidP="004769A9">
      <w:pPr>
        <w:keepNext w:val="0"/>
        <w:ind w:left="720" w:hanging="720"/>
      </w:pPr>
      <w:r w:rsidRPr="002638F7">
        <w:t xml:space="preserve">Choe, H., Kim, Y., &amp; Moon, S. (2022). The effect of labor flexibility on financial performance in Korea: The moderating effect of labor relations climate. </w:t>
      </w:r>
      <w:r w:rsidRPr="002638F7">
        <w:rPr>
          <w:i/>
          <w:iCs/>
        </w:rPr>
        <w:t>Sustainability</w:t>
      </w:r>
      <w:r w:rsidRPr="002638F7">
        <w:t xml:space="preserve">, </w:t>
      </w:r>
      <w:r w:rsidRPr="002638F7">
        <w:rPr>
          <w:i/>
          <w:iCs/>
        </w:rPr>
        <w:t>14</w:t>
      </w:r>
      <w:r w:rsidRPr="002638F7">
        <w:t xml:space="preserve">(4), 2121. </w:t>
      </w:r>
      <w:hyperlink r:id="rId32" w:history="1">
        <w:r w:rsidRPr="002638F7">
          <w:rPr>
            <w:rStyle w:val="Hyperlink"/>
          </w:rPr>
          <w:t>https://doi.org/10.3390/su14042121</w:t>
        </w:r>
      </w:hyperlink>
    </w:p>
    <w:p w14:paraId="727D3399" w14:textId="77777777" w:rsidR="002638F7" w:rsidRPr="002638F7" w:rsidRDefault="002638F7" w:rsidP="004769A9">
      <w:pPr>
        <w:keepNext w:val="0"/>
        <w:ind w:left="720" w:hanging="720"/>
      </w:pPr>
      <w:r w:rsidRPr="002638F7">
        <w:t xml:space="preserve">Corbatto, D. (2018). </w:t>
      </w:r>
      <w:r w:rsidRPr="002638F7">
        <w:rPr>
          <w:i/>
          <w:iCs/>
        </w:rPr>
        <w:t>Trust as a precursor of flow: A social cognitive view of flow in elite coach/athlete dyads.</w:t>
      </w:r>
      <w:r w:rsidRPr="002638F7">
        <w:t xml:space="preserve"> [Doctoral Dissertation, George Mason University]. </w:t>
      </w:r>
      <w:hyperlink r:id="rId33" w:history="1">
        <w:r w:rsidRPr="002638F7">
          <w:rPr>
            <w:rStyle w:val="Hyperlink"/>
          </w:rPr>
          <w:t>https://www.proquest.com/dissertations-theses/trust-as-precursor-flow-social-cognitive-view/docview/2067507903/se-2</w:t>
        </w:r>
      </w:hyperlink>
    </w:p>
    <w:p w14:paraId="4831771B" w14:textId="77777777" w:rsidR="002638F7" w:rsidRPr="002638F7" w:rsidRDefault="002638F7" w:rsidP="004769A9">
      <w:pPr>
        <w:keepNext w:val="0"/>
        <w:ind w:left="720" w:hanging="720"/>
      </w:pPr>
      <w:r w:rsidRPr="002638F7">
        <w:t xml:space="preserve">Crawford, W. (2019). </w:t>
      </w:r>
      <w:r w:rsidRPr="002638F7">
        <w:rPr>
          <w:i/>
          <w:iCs/>
        </w:rPr>
        <w:t>The relationship between JD-R, burnout, and engagement in municipal workers</w:t>
      </w:r>
      <w:r w:rsidRPr="002638F7">
        <w:t xml:space="preserve"> [Doctoral Dissertation]. Grand Canyon University.</w:t>
      </w:r>
    </w:p>
    <w:p w14:paraId="2CB330D5" w14:textId="77777777" w:rsidR="002638F7" w:rsidRPr="002638F7" w:rsidRDefault="002638F7" w:rsidP="004769A9">
      <w:pPr>
        <w:keepNext w:val="0"/>
        <w:ind w:left="720" w:hanging="720"/>
      </w:pPr>
      <w:r w:rsidRPr="002638F7">
        <w:t xml:space="preserve">Creswell, D., &amp; Creswell, J. (2009). </w:t>
      </w:r>
      <w:r w:rsidRPr="002638F7">
        <w:rPr>
          <w:i/>
          <w:iCs/>
        </w:rPr>
        <w:t>Research design: Qualitative, quantitative, and mixed methods</w:t>
      </w:r>
      <w:r w:rsidRPr="002638F7">
        <w:t xml:space="preserve"> (3rd ed.). Sage.</w:t>
      </w:r>
    </w:p>
    <w:p w14:paraId="7165360A" w14:textId="77777777" w:rsidR="002638F7" w:rsidRPr="002638F7" w:rsidRDefault="002638F7" w:rsidP="004769A9">
      <w:pPr>
        <w:keepNext w:val="0"/>
        <w:ind w:left="720" w:hanging="720"/>
      </w:pPr>
      <w:r w:rsidRPr="002638F7">
        <w:t xml:space="preserve">Csikszentmihalyi, M. (1990). </w:t>
      </w:r>
      <w:r w:rsidRPr="002638F7">
        <w:rPr>
          <w:i/>
          <w:iCs/>
        </w:rPr>
        <w:t>Flow: The psychology of optimal experience</w:t>
      </w:r>
      <w:r w:rsidRPr="002638F7">
        <w:t>. Harper &amp; Row.</w:t>
      </w:r>
    </w:p>
    <w:p w14:paraId="52D71598" w14:textId="77777777" w:rsidR="002638F7" w:rsidRPr="002638F7" w:rsidRDefault="002638F7" w:rsidP="004769A9">
      <w:pPr>
        <w:keepNext w:val="0"/>
        <w:ind w:left="720" w:hanging="720"/>
      </w:pPr>
      <w:r w:rsidRPr="002638F7">
        <w:t xml:space="preserve">Csikszentmihalyi, M. (1997). Finding flow. </w:t>
      </w:r>
      <w:r w:rsidRPr="002638F7">
        <w:rPr>
          <w:i/>
          <w:iCs/>
        </w:rPr>
        <w:t>Psychology Today</w:t>
      </w:r>
      <w:r w:rsidRPr="002638F7">
        <w:t xml:space="preserve">, </w:t>
      </w:r>
      <w:r w:rsidRPr="002638F7">
        <w:rPr>
          <w:i/>
          <w:iCs/>
        </w:rPr>
        <w:t>30</w:t>
      </w:r>
      <w:r w:rsidRPr="002638F7">
        <w:t>(4).</w:t>
      </w:r>
    </w:p>
    <w:p w14:paraId="20643AB8" w14:textId="77777777" w:rsidR="002638F7" w:rsidRPr="002638F7" w:rsidRDefault="002638F7" w:rsidP="004769A9">
      <w:pPr>
        <w:keepNext w:val="0"/>
        <w:ind w:left="720" w:hanging="720"/>
      </w:pPr>
      <w:r w:rsidRPr="002638F7">
        <w:t xml:space="preserve">Danauskė, E., Raišienė, A. G., &amp; Korsakienė, R. (2023). Coping with burnout? Measuring the links between workplace conflicts, work-related stress, and burnout. </w:t>
      </w:r>
      <w:r w:rsidRPr="002638F7">
        <w:rPr>
          <w:i/>
          <w:iCs/>
        </w:rPr>
        <w:t>Business: Theory and Practice</w:t>
      </w:r>
      <w:r w:rsidRPr="002638F7">
        <w:t xml:space="preserve">, </w:t>
      </w:r>
      <w:r w:rsidRPr="002638F7">
        <w:rPr>
          <w:i/>
          <w:iCs/>
        </w:rPr>
        <w:t>24</w:t>
      </w:r>
      <w:r w:rsidRPr="002638F7">
        <w:t xml:space="preserve">(1), Article 1. </w:t>
      </w:r>
      <w:hyperlink r:id="rId34" w:history="1">
        <w:r w:rsidRPr="002638F7">
          <w:rPr>
            <w:rStyle w:val="Hyperlink"/>
          </w:rPr>
          <w:t>https://doi.org/10.3846/btp.2023.16953</w:t>
        </w:r>
      </w:hyperlink>
    </w:p>
    <w:p w14:paraId="402D57CC" w14:textId="77777777" w:rsidR="002638F7" w:rsidRPr="002638F7" w:rsidRDefault="002638F7" w:rsidP="004769A9">
      <w:pPr>
        <w:keepNext w:val="0"/>
        <w:ind w:left="720" w:hanging="720"/>
      </w:pPr>
      <w:r w:rsidRPr="002638F7">
        <w:lastRenderedPageBreak/>
        <w:t xml:space="preserve">Deci, E., &amp; Ryan, R. (2000). The “what” and “why” of goal pursuits: Human needs and the self-determination of behavior. </w:t>
      </w:r>
      <w:r w:rsidRPr="002638F7">
        <w:rPr>
          <w:i/>
          <w:iCs/>
        </w:rPr>
        <w:t>Psychological Inquiry</w:t>
      </w:r>
      <w:r w:rsidRPr="002638F7">
        <w:t xml:space="preserve">, </w:t>
      </w:r>
      <w:r w:rsidRPr="002638F7">
        <w:rPr>
          <w:i/>
          <w:iCs/>
        </w:rPr>
        <w:t>11</w:t>
      </w:r>
      <w:r w:rsidRPr="002638F7">
        <w:t xml:space="preserve">(4), 227–268. </w:t>
      </w:r>
      <w:hyperlink r:id="rId35" w:history="1">
        <w:r w:rsidRPr="002638F7">
          <w:rPr>
            <w:rStyle w:val="Hyperlink"/>
          </w:rPr>
          <w:t>https://doi.org/10.1207/S15327965PLI1104_01</w:t>
        </w:r>
      </w:hyperlink>
    </w:p>
    <w:p w14:paraId="268DF45E" w14:textId="77777777" w:rsidR="002638F7" w:rsidRPr="002638F7" w:rsidRDefault="002638F7" w:rsidP="004769A9">
      <w:pPr>
        <w:keepNext w:val="0"/>
        <w:ind w:left="720" w:hanging="720"/>
      </w:pPr>
      <w:r w:rsidRPr="002638F7">
        <w:t xml:space="preserve">Demerouti, E., Bakker, A. B., &amp; Halbesleben, J. R. B. (2015). Productive and counterproductive job crafting: A daily diary study. </w:t>
      </w:r>
      <w:r w:rsidRPr="002638F7">
        <w:rPr>
          <w:i/>
          <w:iCs/>
        </w:rPr>
        <w:t>Journal of Occupational Health Psychology</w:t>
      </w:r>
      <w:r w:rsidRPr="002638F7">
        <w:t xml:space="preserve">, </w:t>
      </w:r>
      <w:r w:rsidRPr="002638F7">
        <w:rPr>
          <w:i/>
          <w:iCs/>
        </w:rPr>
        <w:t>20</w:t>
      </w:r>
      <w:r w:rsidRPr="002638F7">
        <w:t xml:space="preserve">(4), 457–469. </w:t>
      </w:r>
      <w:hyperlink r:id="rId36" w:history="1">
        <w:r w:rsidRPr="002638F7">
          <w:rPr>
            <w:rStyle w:val="Hyperlink"/>
          </w:rPr>
          <w:t>https://doi.org/10.1037/a0039002</w:t>
        </w:r>
      </w:hyperlink>
    </w:p>
    <w:p w14:paraId="2EE48A06" w14:textId="77777777" w:rsidR="002638F7" w:rsidRPr="002638F7" w:rsidRDefault="002638F7" w:rsidP="004769A9">
      <w:pPr>
        <w:keepNext w:val="0"/>
        <w:ind w:left="720" w:hanging="720"/>
      </w:pPr>
      <w:r w:rsidRPr="002638F7">
        <w:t xml:space="preserve">Demerouti, E., Bakker, A. B., Nachreiner, F., &amp; Schaufeli, W. B. (2001). The job demands-resources model of burnout. </w:t>
      </w:r>
      <w:r w:rsidRPr="002638F7">
        <w:rPr>
          <w:i/>
          <w:iCs/>
        </w:rPr>
        <w:t>Journal of Applied Psychology</w:t>
      </w:r>
      <w:r w:rsidRPr="002638F7">
        <w:t xml:space="preserve">, </w:t>
      </w:r>
      <w:r w:rsidRPr="002638F7">
        <w:rPr>
          <w:i/>
          <w:iCs/>
        </w:rPr>
        <w:t>86</w:t>
      </w:r>
      <w:r w:rsidRPr="002638F7">
        <w:t xml:space="preserve">(3), 499–512. </w:t>
      </w:r>
      <w:hyperlink r:id="rId37" w:history="1">
        <w:r w:rsidRPr="002638F7">
          <w:rPr>
            <w:rStyle w:val="Hyperlink"/>
          </w:rPr>
          <w:t>https://doi.org/10.1037/0021-9010.86.3.499</w:t>
        </w:r>
      </w:hyperlink>
    </w:p>
    <w:p w14:paraId="108FD3C9" w14:textId="038BBE78" w:rsidR="002638F7" w:rsidRPr="002638F7" w:rsidRDefault="002638F7" w:rsidP="004769A9">
      <w:pPr>
        <w:keepNext w:val="0"/>
        <w:ind w:left="720" w:hanging="720"/>
      </w:pPr>
      <w:r w:rsidRPr="002638F7">
        <w:t>Demerouti, E</w:t>
      </w:r>
      <w:r w:rsidR="00A64775">
        <w:t>.</w:t>
      </w:r>
      <w:r w:rsidRPr="002638F7">
        <w:t>, Bakker, A</w:t>
      </w:r>
      <w:r w:rsidR="00A64775">
        <w:t>. B.</w:t>
      </w:r>
      <w:r w:rsidRPr="002638F7">
        <w:t xml:space="preserve">, Halbesleben, J., &amp; Erasmus School of Economics. (2008). The Oldenburg Burnout Inventory: A good alternative to measure burnout and engagement. In </w:t>
      </w:r>
      <w:r w:rsidRPr="002638F7">
        <w:rPr>
          <w:i/>
          <w:iCs/>
        </w:rPr>
        <w:t>Stress and burnout in health care</w:t>
      </w:r>
      <w:r w:rsidRPr="002638F7">
        <w:t xml:space="preserve">. Nova Science Publishers, Inc. </w:t>
      </w:r>
      <w:hyperlink r:id="rId38" w:history="1">
        <w:r w:rsidRPr="002638F7">
          <w:rPr>
            <w:rStyle w:val="Hyperlink"/>
          </w:rPr>
          <w:t>https://pure.eur.nl/en/publications/e66c9942-aece-4fff-9316-4b8b8f4a9bf6</w:t>
        </w:r>
      </w:hyperlink>
    </w:p>
    <w:p w14:paraId="78BC840F" w14:textId="77777777" w:rsidR="002638F7" w:rsidRPr="002638F7" w:rsidRDefault="002638F7" w:rsidP="004769A9">
      <w:pPr>
        <w:keepNext w:val="0"/>
        <w:ind w:left="720" w:hanging="720"/>
      </w:pPr>
      <w:r w:rsidRPr="002638F7">
        <w:t xml:space="preserve">Dewe, P., &amp; Cooper, C. (2021). </w:t>
      </w:r>
      <w:r w:rsidRPr="002638F7">
        <w:rPr>
          <w:i/>
          <w:iCs/>
        </w:rPr>
        <w:t>Work and stress: A research overview</w:t>
      </w:r>
      <w:r w:rsidRPr="002638F7">
        <w:t>. Routledge.</w:t>
      </w:r>
    </w:p>
    <w:p w14:paraId="73231C92" w14:textId="77777777" w:rsidR="002638F7" w:rsidRPr="002638F7" w:rsidRDefault="002638F7" w:rsidP="004769A9">
      <w:pPr>
        <w:keepNext w:val="0"/>
        <w:ind w:left="720" w:hanging="720"/>
      </w:pPr>
      <w:r w:rsidRPr="002638F7">
        <w:t xml:space="preserve">Diener, E., Suh, E., Lucas, R., &amp; Smith, H. (1999). Subjective well-being: Three decades of progress. </w:t>
      </w:r>
      <w:r w:rsidRPr="002638F7">
        <w:rPr>
          <w:i/>
          <w:iCs/>
        </w:rPr>
        <w:t>Psychological Bulletin</w:t>
      </w:r>
      <w:r w:rsidRPr="002638F7">
        <w:t xml:space="preserve">, </w:t>
      </w:r>
      <w:r w:rsidRPr="002638F7">
        <w:rPr>
          <w:i/>
          <w:iCs/>
        </w:rPr>
        <w:t>125</w:t>
      </w:r>
      <w:r w:rsidRPr="002638F7">
        <w:t>(2).</w:t>
      </w:r>
    </w:p>
    <w:p w14:paraId="250C0740" w14:textId="77777777" w:rsidR="002638F7" w:rsidRPr="002638F7" w:rsidRDefault="002638F7" w:rsidP="004769A9">
      <w:pPr>
        <w:keepNext w:val="0"/>
        <w:ind w:left="720" w:hanging="720"/>
      </w:pPr>
      <w:r w:rsidRPr="002638F7">
        <w:rPr>
          <w:i/>
          <w:iCs/>
        </w:rPr>
        <w:t>Federal Register: Federal Policy for the Protection of Human Subjects</w:t>
      </w:r>
      <w:r w:rsidRPr="002638F7">
        <w:t xml:space="preserve">. (n.d.). Retrieved April 14, 2023, from </w:t>
      </w:r>
      <w:hyperlink r:id="rId39" w:anchor="p-818" w:history="1">
        <w:r w:rsidRPr="002638F7">
          <w:rPr>
            <w:rStyle w:val="Hyperlink"/>
          </w:rPr>
          <w:t>https://www.federalregister.gov/documents/2017/01/19/2017-01058/federal-policy-for-the-protection-of-human-subjects#p-818</w:t>
        </w:r>
      </w:hyperlink>
    </w:p>
    <w:p w14:paraId="597EDF9D" w14:textId="77777777" w:rsidR="002638F7" w:rsidRPr="002638F7" w:rsidRDefault="002638F7" w:rsidP="004769A9">
      <w:pPr>
        <w:keepNext w:val="0"/>
        <w:ind w:left="720" w:hanging="720"/>
      </w:pPr>
      <w:r w:rsidRPr="002638F7">
        <w:t xml:space="preserve">Ferreira, M. C., de Carvalho Chinelato, R. S., &amp; Mendonça, H. (2022). Job crafting measures. In M. O. Macambira, H. Mendonça, &amp; M. das G. T. Paz (Eds.), </w:t>
      </w:r>
      <w:r w:rsidRPr="002638F7">
        <w:rPr>
          <w:i/>
          <w:iCs/>
        </w:rPr>
        <w:t xml:space="preserve">Assessing Organizational Behaviors: A Critical Analysis of Measuring </w:t>
      </w:r>
      <w:r w:rsidRPr="002638F7">
        <w:rPr>
          <w:i/>
          <w:iCs/>
        </w:rPr>
        <w:lastRenderedPageBreak/>
        <w:t>Instruments</w:t>
      </w:r>
      <w:r w:rsidRPr="002638F7">
        <w:t xml:space="preserve"> (pp. 3–29). Springer International Publishing. </w:t>
      </w:r>
      <w:hyperlink r:id="rId40" w:history="1">
        <w:r w:rsidRPr="002638F7">
          <w:rPr>
            <w:rStyle w:val="Hyperlink"/>
          </w:rPr>
          <w:t>https://doi.org/10.1007/978-3-030-81311-6_1</w:t>
        </w:r>
      </w:hyperlink>
    </w:p>
    <w:p w14:paraId="7355812B" w14:textId="77777777" w:rsidR="002638F7" w:rsidRPr="002638F7" w:rsidRDefault="002638F7" w:rsidP="004769A9">
      <w:pPr>
        <w:keepNext w:val="0"/>
        <w:ind w:left="720" w:hanging="720"/>
      </w:pPr>
      <w:r w:rsidRPr="002638F7">
        <w:t xml:space="preserve">Gagne, M., &amp; Deci, E. (2005). Self-determination theory and work motivation. </w:t>
      </w:r>
      <w:r w:rsidRPr="002638F7">
        <w:rPr>
          <w:i/>
          <w:iCs/>
        </w:rPr>
        <w:t>Journal of Organizational Behavior</w:t>
      </w:r>
      <w:r w:rsidRPr="002638F7">
        <w:t xml:space="preserve">, </w:t>
      </w:r>
      <w:r w:rsidRPr="002638F7">
        <w:rPr>
          <w:i/>
          <w:iCs/>
        </w:rPr>
        <w:t>26</w:t>
      </w:r>
      <w:r w:rsidRPr="002638F7">
        <w:t xml:space="preserve">(4), 331–362. </w:t>
      </w:r>
      <w:hyperlink r:id="rId41" w:history="1">
        <w:r w:rsidRPr="002638F7">
          <w:rPr>
            <w:rStyle w:val="Hyperlink"/>
          </w:rPr>
          <w:t>https://doi.org/htts://doi.org/10.1002/job.322</w:t>
        </w:r>
      </w:hyperlink>
    </w:p>
    <w:p w14:paraId="3249477B" w14:textId="77777777" w:rsidR="002638F7" w:rsidRPr="002638F7" w:rsidRDefault="002638F7" w:rsidP="004769A9">
      <w:pPr>
        <w:keepNext w:val="0"/>
        <w:ind w:left="720" w:hanging="720"/>
      </w:pPr>
      <w:r w:rsidRPr="002638F7">
        <w:t xml:space="preserve">Gagné, M., Parker, S. K., Griffin, M. A., Dunlop, P. D., Knight, C., Klonek, F. E., &amp; Parent-Rocheleau, X. (2022). Understanding and shaping the future of work with self-determination theory. </w:t>
      </w:r>
      <w:r w:rsidRPr="002638F7">
        <w:rPr>
          <w:i/>
          <w:iCs/>
        </w:rPr>
        <w:t>Nature Reviews Psychology</w:t>
      </w:r>
      <w:r w:rsidRPr="002638F7">
        <w:t xml:space="preserve">, </w:t>
      </w:r>
      <w:r w:rsidRPr="002638F7">
        <w:rPr>
          <w:i/>
          <w:iCs/>
        </w:rPr>
        <w:t>1</w:t>
      </w:r>
      <w:r w:rsidRPr="002638F7">
        <w:t xml:space="preserve">(7), Article 7. </w:t>
      </w:r>
      <w:hyperlink r:id="rId42" w:history="1">
        <w:r w:rsidRPr="002638F7">
          <w:rPr>
            <w:rStyle w:val="Hyperlink"/>
          </w:rPr>
          <w:t>https://doi.org/10.1038/s44159-022-00056-w</w:t>
        </w:r>
      </w:hyperlink>
    </w:p>
    <w:p w14:paraId="40481313" w14:textId="77777777" w:rsidR="002638F7" w:rsidRPr="002638F7" w:rsidRDefault="002638F7" w:rsidP="004769A9">
      <w:pPr>
        <w:keepNext w:val="0"/>
        <w:ind w:left="720" w:hanging="720"/>
      </w:pPr>
      <w:r w:rsidRPr="002638F7">
        <w:t xml:space="preserve">Gallagher, L. J. (2019). A theology of rest: Sabbath principles for ministry. </w:t>
      </w:r>
      <w:r w:rsidRPr="002638F7">
        <w:rPr>
          <w:i/>
          <w:iCs/>
        </w:rPr>
        <w:t>Christian Education Journal</w:t>
      </w:r>
      <w:r w:rsidRPr="002638F7">
        <w:t xml:space="preserve">, </w:t>
      </w:r>
      <w:r w:rsidRPr="002638F7">
        <w:rPr>
          <w:i/>
          <w:iCs/>
        </w:rPr>
        <w:t>16</w:t>
      </w:r>
      <w:r w:rsidRPr="002638F7">
        <w:t xml:space="preserve">(1), 134–149. </w:t>
      </w:r>
      <w:hyperlink r:id="rId43" w:history="1">
        <w:r w:rsidRPr="002638F7">
          <w:rPr>
            <w:rStyle w:val="Hyperlink"/>
          </w:rPr>
          <w:t>https://doi.org/10.1177/0739891318821124</w:t>
        </w:r>
      </w:hyperlink>
    </w:p>
    <w:p w14:paraId="28108E21" w14:textId="77777777" w:rsidR="002638F7" w:rsidRPr="002638F7" w:rsidRDefault="002638F7" w:rsidP="004769A9">
      <w:pPr>
        <w:keepNext w:val="0"/>
        <w:ind w:left="720" w:hanging="720"/>
      </w:pPr>
      <w:r w:rsidRPr="002638F7">
        <w:t xml:space="preserve">Giacalone, R. A., &amp; Jurkiewicz, C. L. (2003). Right from wrong: The influence of spirituality on perceptions of unethical business activities. </w:t>
      </w:r>
      <w:r w:rsidRPr="002638F7">
        <w:rPr>
          <w:i/>
          <w:iCs/>
        </w:rPr>
        <w:t>Journal of Business Ethics</w:t>
      </w:r>
      <w:r w:rsidRPr="002638F7">
        <w:t xml:space="preserve">, </w:t>
      </w:r>
      <w:r w:rsidRPr="002638F7">
        <w:rPr>
          <w:i/>
          <w:iCs/>
        </w:rPr>
        <w:t>46</w:t>
      </w:r>
      <w:r w:rsidRPr="002638F7">
        <w:t>(1), 85–97.</w:t>
      </w:r>
    </w:p>
    <w:p w14:paraId="1E2953BE" w14:textId="77777777" w:rsidR="002638F7" w:rsidRPr="002638F7" w:rsidRDefault="002638F7" w:rsidP="004769A9">
      <w:pPr>
        <w:keepNext w:val="0"/>
        <w:ind w:left="720" w:hanging="720"/>
      </w:pPr>
      <w:r w:rsidRPr="002638F7">
        <w:t xml:space="preserve">Goštautaitė, B., Bučiūnienė, I., &amp; Milašauskienė, Ž. (2022). HRM and work outcomes: The role of basic need satisfaction and age. </w:t>
      </w:r>
      <w:r w:rsidRPr="002638F7">
        <w:rPr>
          <w:i/>
          <w:iCs/>
        </w:rPr>
        <w:t>The International Journal of Human Resource Management</w:t>
      </w:r>
      <w:r w:rsidRPr="002638F7">
        <w:t xml:space="preserve">, </w:t>
      </w:r>
      <w:r w:rsidRPr="002638F7">
        <w:rPr>
          <w:i/>
          <w:iCs/>
        </w:rPr>
        <w:t>33</w:t>
      </w:r>
      <w:r w:rsidRPr="002638F7">
        <w:t xml:space="preserve">(2), 169–202. </w:t>
      </w:r>
      <w:hyperlink r:id="rId44" w:history="1">
        <w:r w:rsidRPr="002638F7">
          <w:rPr>
            <w:rStyle w:val="Hyperlink"/>
          </w:rPr>
          <w:t>https://doi.org/10.1080/09585192.2019.1683049</w:t>
        </w:r>
      </w:hyperlink>
    </w:p>
    <w:p w14:paraId="327E6C00" w14:textId="77777777" w:rsidR="002638F7" w:rsidRPr="002638F7" w:rsidRDefault="002638F7" w:rsidP="004769A9">
      <w:pPr>
        <w:keepNext w:val="0"/>
        <w:ind w:left="720" w:hanging="720"/>
      </w:pPr>
      <w:r w:rsidRPr="002638F7">
        <w:t xml:space="preserve">Han, J., Yin, H., Wang, J., &amp; Zhang, J. (2020). Job demands and resources as antecedents of university teachers’ exhaustion, engagement and job satisfaction. </w:t>
      </w:r>
      <w:r w:rsidRPr="002638F7">
        <w:rPr>
          <w:i/>
          <w:iCs/>
        </w:rPr>
        <w:t>Educational Psychology</w:t>
      </w:r>
      <w:r w:rsidRPr="002638F7">
        <w:t xml:space="preserve">, </w:t>
      </w:r>
      <w:r w:rsidRPr="002638F7">
        <w:rPr>
          <w:i/>
          <w:iCs/>
        </w:rPr>
        <w:t>40</w:t>
      </w:r>
      <w:r w:rsidRPr="002638F7">
        <w:t xml:space="preserve">(3), 318–335. </w:t>
      </w:r>
      <w:hyperlink r:id="rId45" w:history="1">
        <w:r w:rsidRPr="002638F7">
          <w:rPr>
            <w:rStyle w:val="Hyperlink"/>
          </w:rPr>
          <w:t>https://doi.org/10.1080/01443410.2019.1674249</w:t>
        </w:r>
      </w:hyperlink>
    </w:p>
    <w:p w14:paraId="37021CE2" w14:textId="77777777" w:rsidR="002638F7" w:rsidRPr="002638F7" w:rsidRDefault="002638F7" w:rsidP="004769A9">
      <w:pPr>
        <w:keepNext w:val="0"/>
        <w:ind w:left="720" w:hanging="720"/>
      </w:pPr>
      <w:r w:rsidRPr="002638F7">
        <w:lastRenderedPageBreak/>
        <w:t xml:space="preserve">Harju, L., Kaltiainen, J., &amp; Hakanen, J. (2021). The double‐edged sword of job crafting: The effects of job crafting on changes in job demands and employee well‐being. </w:t>
      </w:r>
      <w:r w:rsidRPr="002638F7">
        <w:rPr>
          <w:i/>
          <w:iCs/>
        </w:rPr>
        <w:t>Human Resource Management</w:t>
      </w:r>
      <w:r w:rsidRPr="002638F7">
        <w:t xml:space="preserve">, </w:t>
      </w:r>
      <w:r w:rsidRPr="002638F7">
        <w:rPr>
          <w:i/>
          <w:iCs/>
        </w:rPr>
        <w:t>60</w:t>
      </w:r>
      <w:r w:rsidRPr="002638F7">
        <w:t>(6), 953–968.</w:t>
      </w:r>
    </w:p>
    <w:p w14:paraId="671ADE9E" w14:textId="77777777" w:rsidR="002638F7" w:rsidRPr="002638F7" w:rsidRDefault="002638F7" w:rsidP="004769A9">
      <w:pPr>
        <w:keepNext w:val="0"/>
        <w:ind w:left="720" w:hanging="720"/>
      </w:pPr>
      <w:r w:rsidRPr="002638F7">
        <w:t xml:space="preserve">Hashemi, S. E., Ootb, S. I., &amp; Mehrabizadeh Honarmand, M. (2017). The effect of spiritual resources on turnover intention and workplace well-being in employees: The mediation of emotional exhaustion and work engagement. </w:t>
      </w:r>
      <w:r w:rsidRPr="002638F7">
        <w:rPr>
          <w:i/>
          <w:iCs/>
        </w:rPr>
        <w:t>Positive Psychology Research</w:t>
      </w:r>
      <w:r w:rsidRPr="002638F7">
        <w:t xml:space="preserve">, </w:t>
      </w:r>
      <w:r w:rsidRPr="002638F7">
        <w:rPr>
          <w:i/>
          <w:iCs/>
        </w:rPr>
        <w:t>3</w:t>
      </w:r>
      <w:r w:rsidRPr="002638F7">
        <w:t xml:space="preserve">(1), 29–48. </w:t>
      </w:r>
      <w:hyperlink r:id="rId46" w:history="1">
        <w:r w:rsidRPr="002638F7">
          <w:rPr>
            <w:rStyle w:val="Hyperlink"/>
          </w:rPr>
          <w:t>https://doi.org/10.22108/ppls.2017.103917.1119</w:t>
        </w:r>
      </w:hyperlink>
    </w:p>
    <w:p w14:paraId="0CDB4F69" w14:textId="77777777" w:rsidR="002638F7" w:rsidRPr="002638F7" w:rsidRDefault="002638F7" w:rsidP="004769A9">
      <w:pPr>
        <w:keepNext w:val="0"/>
        <w:ind w:left="720" w:hanging="720"/>
      </w:pPr>
      <w:r w:rsidRPr="002638F7">
        <w:t xml:space="preserve">Hobfoll, S. E. (1989). Conservation of resources. </w:t>
      </w:r>
      <w:r w:rsidRPr="002638F7">
        <w:rPr>
          <w:i/>
          <w:iCs/>
        </w:rPr>
        <w:t>American Psychologist</w:t>
      </w:r>
      <w:r w:rsidRPr="002638F7">
        <w:t>, 12.</w:t>
      </w:r>
    </w:p>
    <w:p w14:paraId="548213DC" w14:textId="77777777" w:rsidR="002638F7" w:rsidRPr="002638F7" w:rsidRDefault="002638F7" w:rsidP="004769A9">
      <w:pPr>
        <w:keepNext w:val="0"/>
        <w:ind w:left="720" w:hanging="720"/>
      </w:pPr>
      <w:r w:rsidRPr="002638F7">
        <w:t xml:space="preserve">Hobfoll, S. E., Halbesleben, J. R. B., Neveu, J., &amp; Westman, M. (2018). Conservation of resources in the organizational context: The reality of resources and their consequences. </w:t>
      </w:r>
      <w:r w:rsidRPr="002638F7">
        <w:rPr>
          <w:i/>
          <w:iCs/>
        </w:rPr>
        <w:t>Annual Review of Organizational Psychology and Organizational Behavior</w:t>
      </w:r>
      <w:r w:rsidRPr="002638F7">
        <w:t xml:space="preserve">, </w:t>
      </w:r>
      <w:r w:rsidRPr="002638F7">
        <w:rPr>
          <w:i/>
          <w:iCs/>
        </w:rPr>
        <w:t>5</w:t>
      </w:r>
      <w:r w:rsidRPr="002638F7">
        <w:t xml:space="preserve">, 103–128. </w:t>
      </w:r>
      <w:hyperlink r:id="rId47" w:history="1">
        <w:r w:rsidRPr="002638F7">
          <w:rPr>
            <w:rStyle w:val="Hyperlink"/>
          </w:rPr>
          <w:t>https://doi.org/10.1146/annurev-orgpsych-032117-104640</w:t>
        </w:r>
      </w:hyperlink>
    </w:p>
    <w:p w14:paraId="1D40B8EA" w14:textId="77777777" w:rsidR="002638F7" w:rsidRPr="002638F7" w:rsidRDefault="002638F7" w:rsidP="004769A9">
      <w:pPr>
        <w:keepNext w:val="0"/>
        <w:ind w:left="720" w:hanging="720"/>
      </w:pPr>
      <w:r w:rsidRPr="002638F7">
        <w:t xml:space="preserve">Holmgreen, L., Tirone, V., Gerhart, J., &amp; Hobfoll, S. E. (2017). Conservation of resources theory: Resource caravans and passageways in health contexts. In C. L. Cooper &amp; J. C. Quick (Eds.), </w:t>
      </w:r>
      <w:r w:rsidRPr="002638F7">
        <w:rPr>
          <w:i/>
          <w:iCs/>
        </w:rPr>
        <w:t>The handbook of stress and health: A guide to research and practice</w:t>
      </w:r>
      <w:r w:rsidRPr="002638F7">
        <w:t xml:space="preserve"> (pp. 443–457). John Wiley &amp; Sons, Inc.</w:t>
      </w:r>
    </w:p>
    <w:p w14:paraId="5702A240" w14:textId="77777777" w:rsidR="002638F7" w:rsidRPr="002638F7" w:rsidRDefault="002638F7" w:rsidP="004769A9">
      <w:pPr>
        <w:keepNext w:val="0"/>
        <w:ind w:left="720" w:hanging="720"/>
      </w:pPr>
      <w:r w:rsidRPr="002638F7">
        <w:t xml:space="preserve">Hood, E. (2019). The dark side of job crafting: Exploring the implications of job crafting in the hidden realm. </w:t>
      </w:r>
      <w:r w:rsidRPr="002638F7">
        <w:rPr>
          <w:i/>
          <w:iCs/>
        </w:rPr>
        <w:t>Academy of Management Proceedings</w:t>
      </w:r>
      <w:r w:rsidRPr="002638F7">
        <w:t xml:space="preserve">, </w:t>
      </w:r>
      <w:r w:rsidRPr="002638F7">
        <w:rPr>
          <w:i/>
          <w:iCs/>
        </w:rPr>
        <w:t>2019</w:t>
      </w:r>
      <w:r w:rsidRPr="002638F7">
        <w:t xml:space="preserve">(1). </w:t>
      </w:r>
      <w:hyperlink r:id="rId48" w:history="1">
        <w:r w:rsidRPr="002638F7">
          <w:rPr>
            <w:rStyle w:val="Hyperlink"/>
          </w:rPr>
          <w:t>https://doi.org/10.5465/AMBPP.2019.15958abstract</w:t>
        </w:r>
      </w:hyperlink>
    </w:p>
    <w:p w14:paraId="1B1768C3" w14:textId="77777777" w:rsidR="002638F7" w:rsidRPr="002638F7" w:rsidRDefault="002638F7" w:rsidP="004769A9">
      <w:pPr>
        <w:keepNext w:val="0"/>
        <w:ind w:left="720" w:hanging="720"/>
      </w:pPr>
      <w:r w:rsidRPr="002638F7">
        <w:t xml:space="preserve">Kahari, W. I., Mildred, K., &amp; Marion, A.-Ja. (2020). The interaction between perceived task complexity, individual work orientation, and job crafting in explaining flow </w:t>
      </w:r>
      <w:r w:rsidRPr="002638F7">
        <w:lastRenderedPageBreak/>
        <w:t xml:space="preserve">experience at work. </w:t>
      </w:r>
      <w:r w:rsidRPr="002638F7">
        <w:rPr>
          <w:i/>
          <w:iCs/>
        </w:rPr>
        <w:t>ÜNİVERSİTEPARK Bülten</w:t>
      </w:r>
      <w:r w:rsidRPr="002638F7">
        <w:t xml:space="preserve">, </w:t>
      </w:r>
      <w:r w:rsidRPr="002638F7">
        <w:rPr>
          <w:i/>
          <w:iCs/>
        </w:rPr>
        <w:t>9</w:t>
      </w:r>
      <w:r w:rsidRPr="002638F7">
        <w:t xml:space="preserve">(2). </w:t>
      </w:r>
      <w:hyperlink r:id="rId49" w:history="1">
        <w:r w:rsidRPr="002638F7">
          <w:rPr>
            <w:rStyle w:val="Hyperlink"/>
          </w:rPr>
          <w:t>https://doi.org/10.22521/unibulletin.2020.92.3</w:t>
        </w:r>
      </w:hyperlink>
    </w:p>
    <w:p w14:paraId="6C1ACFD0" w14:textId="77777777" w:rsidR="002638F7" w:rsidRPr="002638F7" w:rsidRDefault="002638F7" w:rsidP="004769A9">
      <w:pPr>
        <w:keepNext w:val="0"/>
        <w:ind w:left="720" w:hanging="720"/>
      </w:pPr>
      <w:r w:rsidRPr="002638F7">
        <w:t xml:space="preserve">Lazarus, R. S., &amp; Folkman, S. (1984). </w:t>
      </w:r>
      <w:r w:rsidRPr="002638F7">
        <w:rPr>
          <w:i/>
          <w:iCs/>
        </w:rPr>
        <w:t>Stress, appraisal, and coping</w:t>
      </w:r>
      <w:r w:rsidRPr="002638F7">
        <w:t>. Springer.</w:t>
      </w:r>
    </w:p>
    <w:p w14:paraId="5BA349A2" w14:textId="77777777" w:rsidR="002638F7" w:rsidRPr="002638F7" w:rsidRDefault="002638F7" w:rsidP="004769A9">
      <w:pPr>
        <w:keepNext w:val="0"/>
        <w:ind w:left="720" w:hanging="720"/>
      </w:pPr>
      <w:r w:rsidRPr="002638F7">
        <w:t xml:space="preserve">Mäkikangas, A., Bakker, A. B., Aunola, K., &amp; Demerouti, E. (2010). Job resources and flow at work: Modelling the relationship via latent growth curve and mixture model methodology. </w:t>
      </w:r>
      <w:r w:rsidRPr="002638F7">
        <w:rPr>
          <w:i/>
          <w:iCs/>
        </w:rPr>
        <w:t>Journal of Occupational and Organizational Psychology</w:t>
      </w:r>
      <w:r w:rsidRPr="002638F7">
        <w:t xml:space="preserve">, </w:t>
      </w:r>
      <w:r w:rsidRPr="002638F7">
        <w:rPr>
          <w:i/>
          <w:iCs/>
        </w:rPr>
        <w:t>83</w:t>
      </w:r>
      <w:r w:rsidRPr="002638F7">
        <w:t xml:space="preserve">(3), 795–814. </w:t>
      </w:r>
      <w:hyperlink r:id="rId50" w:history="1">
        <w:r w:rsidRPr="002638F7">
          <w:rPr>
            <w:rStyle w:val="Hyperlink"/>
          </w:rPr>
          <w:t>https://doi.org/10.1348/096317909X476333</w:t>
        </w:r>
      </w:hyperlink>
    </w:p>
    <w:p w14:paraId="224CBB6C" w14:textId="77777777" w:rsidR="002638F7" w:rsidRPr="002638F7" w:rsidRDefault="002638F7" w:rsidP="004769A9">
      <w:pPr>
        <w:keepNext w:val="0"/>
        <w:ind w:left="720" w:hanging="720"/>
      </w:pPr>
      <w:r w:rsidRPr="002638F7">
        <w:t xml:space="preserve">Maslach, C., &amp; Jackson, S. (1981). The measurement of experienced burnout. </w:t>
      </w:r>
      <w:r w:rsidRPr="002638F7">
        <w:rPr>
          <w:i/>
          <w:iCs/>
        </w:rPr>
        <w:t>Journal of Occupational Behaviour</w:t>
      </w:r>
      <w:r w:rsidRPr="002638F7">
        <w:t xml:space="preserve">, </w:t>
      </w:r>
      <w:r w:rsidRPr="002638F7">
        <w:rPr>
          <w:i/>
          <w:iCs/>
        </w:rPr>
        <w:t>2</w:t>
      </w:r>
      <w:r w:rsidRPr="002638F7">
        <w:t>, 99–113.</w:t>
      </w:r>
    </w:p>
    <w:p w14:paraId="74BEE377" w14:textId="77777777" w:rsidR="002638F7" w:rsidRPr="002638F7" w:rsidRDefault="002638F7" w:rsidP="004769A9">
      <w:pPr>
        <w:keepNext w:val="0"/>
        <w:ind w:left="720" w:hanging="720"/>
      </w:pPr>
      <w:r w:rsidRPr="002638F7">
        <w:t xml:space="preserve">Maslach, C., Schaufeli, W. B., &amp; Leiter, M. P. (2001). Job burnout. </w:t>
      </w:r>
      <w:r w:rsidRPr="002638F7">
        <w:rPr>
          <w:i/>
          <w:iCs/>
        </w:rPr>
        <w:t>Annual Review of Psychology</w:t>
      </w:r>
      <w:r w:rsidRPr="002638F7">
        <w:t xml:space="preserve">, </w:t>
      </w:r>
      <w:r w:rsidRPr="002638F7">
        <w:rPr>
          <w:i/>
          <w:iCs/>
        </w:rPr>
        <w:t>52</w:t>
      </w:r>
      <w:r w:rsidRPr="002638F7">
        <w:t>(1), 397–422.</w:t>
      </w:r>
    </w:p>
    <w:p w14:paraId="5A294623" w14:textId="77777777" w:rsidR="002638F7" w:rsidRPr="002638F7" w:rsidRDefault="002638F7" w:rsidP="004769A9">
      <w:pPr>
        <w:keepNext w:val="0"/>
        <w:ind w:left="720" w:hanging="720"/>
      </w:pPr>
      <w:r w:rsidRPr="002638F7">
        <w:t xml:space="preserve">Maslow, A. H. (1943). A theory of human motivation. </w:t>
      </w:r>
      <w:r w:rsidRPr="002638F7">
        <w:rPr>
          <w:i/>
          <w:iCs/>
        </w:rPr>
        <w:t>Psychological Review</w:t>
      </w:r>
      <w:r w:rsidRPr="002638F7">
        <w:t xml:space="preserve">, </w:t>
      </w:r>
      <w:r w:rsidRPr="002638F7">
        <w:rPr>
          <w:i/>
          <w:iCs/>
        </w:rPr>
        <w:t>50</w:t>
      </w:r>
      <w:r w:rsidRPr="002638F7">
        <w:t xml:space="preserve">(4), 370–396. </w:t>
      </w:r>
      <w:hyperlink r:id="rId51" w:history="1">
        <w:r w:rsidRPr="002638F7">
          <w:rPr>
            <w:rStyle w:val="Hyperlink"/>
          </w:rPr>
          <w:t>https://doi.org/10.1037/h0054346</w:t>
        </w:r>
      </w:hyperlink>
    </w:p>
    <w:p w14:paraId="7C749AEE" w14:textId="77777777" w:rsidR="002638F7" w:rsidRPr="002638F7" w:rsidRDefault="002638F7" w:rsidP="004769A9">
      <w:pPr>
        <w:keepNext w:val="0"/>
        <w:ind w:left="720" w:hanging="720"/>
      </w:pPr>
      <w:r w:rsidRPr="002638F7">
        <w:t xml:space="preserve">Meijman, T., &amp; Mulder, G. (1998). Psychological aspects of workload. In </w:t>
      </w:r>
      <w:r w:rsidRPr="002638F7">
        <w:rPr>
          <w:i/>
          <w:iCs/>
        </w:rPr>
        <w:t>A Handbook of Work and Organizational Psychology</w:t>
      </w:r>
      <w:r w:rsidRPr="002638F7">
        <w:t xml:space="preserve"> (1st ed., p. 30). Psychology Press. </w:t>
      </w:r>
      <w:hyperlink r:id="rId52" w:history="1">
        <w:r w:rsidRPr="002638F7">
          <w:rPr>
            <w:rStyle w:val="Hyperlink"/>
          </w:rPr>
          <w:t>https://www.taylorfrancis.com/chapters/edit/10.4324/9780203765425-6/psychological-aspects-workload-thea-meijman-gijsbertus-mulder</w:t>
        </w:r>
      </w:hyperlink>
    </w:p>
    <w:p w14:paraId="2068A415" w14:textId="77777777" w:rsidR="002638F7" w:rsidRPr="002638F7" w:rsidRDefault="002638F7" w:rsidP="004769A9">
      <w:pPr>
        <w:keepNext w:val="0"/>
        <w:ind w:left="720" w:hanging="720"/>
      </w:pPr>
      <w:r w:rsidRPr="002638F7">
        <w:t xml:space="preserve">Mitroff, I. I., &amp; Denton, E. A. (1999). A Study of Spirituality in the Workplace. </w:t>
      </w:r>
      <w:r w:rsidRPr="002638F7">
        <w:rPr>
          <w:i/>
          <w:iCs/>
        </w:rPr>
        <w:t>Sloan Management Review</w:t>
      </w:r>
      <w:r w:rsidRPr="002638F7">
        <w:t xml:space="preserve">, </w:t>
      </w:r>
      <w:r w:rsidRPr="002638F7">
        <w:rPr>
          <w:i/>
          <w:iCs/>
        </w:rPr>
        <w:t>40</w:t>
      </w:r>
      <w:r w:rsidRPr="002638F7">
        <w:t>(4), 83–92.</w:t>
      </w:r>
    </w:p>
    <w:p w14:paraId="696B8AC6" w14:textId="77777777" w:rsidR="002638F7" w:rsidRPr="002638F7" w:rsidRDefault="002638F7" w:rsidP="004769A9">
      <w:pPr>
        <w:keepNext w:val="0"/>
        <w:ind w:left="720" w:hanging="720"/>
      </w:pPr>
      <w:r w:rsidRPr="002638F7">
        <w:t xml:space="preserve">Murray, D. S. (2019). The precarious new faculty majority: Communication and instruction research and contingent labor in higher education. </w:t>
      </w:r>
      <w:r w:rsidRPr="002638F7">
        <w:rPr>
          <w:i/>
          <w:iCs/>
        </w:rPr>
        <w:t>Communication Education</w:t>
      </w:r>
      <w:r w:rsidRPr="002638F7">
        <w:t xml:space="preserve">, </w:t>
      </w:r>
      <w:r w:rsidRPr="002638F7">
        <w:rPr>
          <w:i/>
          <w:iCs/>
        </w:rPr>
        <w:t>68</w:t>
      </w:r>
      <w:r w:rsidRPr="002638F7">
        <w:t xml:space="preserve">(2), 235–245. </w:t>
      </w:r>
      <w:hyperlink r:id="rId53" w:history="1">
        <w:r w:rsidRPr="002638F7">
          <w:rPr>
            <w:rStyle w:val="Hyperlink"/>
          </w:rPr>
          <w:t>https://doi.org/10.1080/03634523.2019.1568512</w:t>
        </w:r>
      </w:hyperlink>
    </w:p>
    <w:p w14:paraId="5DB7C344" w14:textId="77777777" w:rsidR="002638F7" w:rsidRPr="002638F7" w:rsidRDefault="002638F7" w:rsidP="004769A9">
      <w:pPr>
        <w:keepNext w:val="0"/>
        <w:ind w:left="720" w:hanging="720"/>
      </w:pPr>
      <w:r w:rsidRPr="002638F7">
        <w:lastRenderedPageBreak/>
        <w:t xml:space="preserve">Nakamura, J., &amp; Csikszentmihalyi, M. (2002). The concept of flow. In C. R. Snyder &amp; S. Lopez (Eds.), </w:t>
      </w:r>
      <w:r w:rsidRPr="002638F7">
        <w:rPr>
          <w:i/>
          <w:iCs/>
        </w:rPr>
        <w:t>Handbook of Positive Psychology</w:t>
      </w:r>
      <w:r w:rsidRPr="002638F7">
        <w:t xml:space="preserve"> (pp. 89–105). Oxford University Press.</w:t>
      </w:r>
    </w:p>
    <w:p w14:paraId="6DCAF2C6" w14:textId="77777777" w:rsidR="002638F7" w:rsidRPr="002638F7" w:rsidRDefault="002638F7" w:rsidP="004769A9">
      <w:pPr>
        <w:keepNext w:val="0"/>
        <w:ind w:left="720" w:hanging="720"/>
      </w:pPr>
      <w:r w:rsidRPr="002638F7">
        <w:t xml:space="preserve">Niessen, C., Weseler, D., &amp; Kostova, P. (2016). When and why do individuals craft their jobs? The role of individual motivation and work characteristics for job crafting. </w:t>
      </w:r>
      <w:r w:rsidRPr="002638F7">
        <w:rPr>
          <w:i/>
          <w:iCs/>
        </w:rPr>
        <w:t>Human Relations</w:t>
      </w:r>
      <w:r w:rsidRPr="002638F7">
        <w:t xml:space="preserve">, </w:t>
      </w:r>
      <w:r w:rsidRPr="002638F7">
        <w:rPr>
          <w:i/>
          <w:iCs/>
        </w:rPr>
        <w:t>69</w:t>
      </w:r>
      <w:r w:rsidRPr="002638F7">
        <w:t xml:space="preserve">(6), 1287–1313. </w:t>
      </w:r>
      <w:hyperlink r:id="rId54" w:history="1">
        <w:r w:rsidRPr="002638F7">
          <w:rPr>
            <w:rStyle w:val="Hyperlink"/>
          </w:rPr>
          <w:t>https://doi.org/10.1177/0018726715610642</w:t>
        </w:r>
      </w:hyperlink>
    </w:p>
    <w:p w14:paraId="1DD0856D" w14:textId="77777777" w:rsidR="002638F7" w:rsidRPr="002638F7" w:rsidRDefault="002638F7" w:rsidP="004769A9">
      <w:pPr>
        <w:keepNext w:val="0"/>
        <w:ind w:left="720" w:hanging="720"/>
      </w:pPr>
      <w:r w:rsidRPr="002638F7">
        <w:t xml:space="preserve">Nwanzu, C. L., &amp; Babalola, S. S. (2021). Effect of workplace spirituality on perceived organizational support and job performance among university administrative employees. </w:t>
      </w:r>
      <w:r w:rsidRPr="002638F7">
        <w:rPr>
          <w:i/>
          <w:iCs/>
        </w:rPr>
        <w:t>Contemporary Management Research</w:t>
      </w:r>
      <w:r w:rsidRPr="002638F7">
        <w:t xml:space="preserve">, </w:t>
      </w:r>
      <w:r w:rsidRPr="002638F7">
        <w:rPr>
          <w:i/>
          <w:iCs/>
        </w:rPr>
        <w:t>17</w:t>
      </w:r>
      <w:r w:rsidRPr="002638F7">
        <w:t xml:space="preserve">(2), Article 2. </w:t>
      </w:r>
      <w:hyperlink r:id="rId55" w:history="1">
        <w:r w:rsidRPr="002638F7">
          <w:rPr>
            <w:rStyle w:val="Hyperlink"/>
          </w:rPr>
          <w:t>https://doi.org/10.7903/cmr.20349</w:t>
        </w:r>
      </w:hyperlink>
    </w:p>
    <w:p w14:paraId="639B64DC" w14:textId="77777777" w:rsidR="002638F7" w:rsidRPr="002638F7" w:rsidRDefault="002638F7" w:rsidP="004769A9">
      <w:pPr>
        <w:keepNext w:val="0"/>
        <w:ind w:left="720" w:hanging="720"/>
      </w:pPr>
      <w:r w:rsidRPr="002638F7">
        <w:t xml:space="preserve">Oprea, B. T., Barzin, L., Vîrgă, D., Iliescu, D., &amp; Rusu, A. (2019). Effectiveness of job crafting interventions: A meta-analysis and utility analysis. </w:t>
      </w:r>
      <w:r w:rsidRPr="002638F7">
        <w:rPr>
          <w:i/>
          <w:iCs/>
        </w:rPr>
        <w:t>European Journal of Work and Organizational Psychology</w:t>
      </w:r>
      <w:r w:rsidRPr="002638F7">
        <w:t xml:space="preserve">, </w:t>
      </w:r>
      <w:r w:rsidRPr="002638F7">
        <w:rPr>
          <w:i/>
          <w:iCs/>
        </w:rPr>
        <w:t>28</w:t>
      </w:r>
      <w:r w:rsidRPr="002638F7">
        <w:t xml:space="preserve">(6), 723–741. </w:t>
      </w:r>
      <w:hyperlink r:id="rId56" w:history="1">
        <w:r w:rsidRPr="002638F7">
          <w:rPr>
            <w:rStyle w:val="Hyperlink"/>
          </w:rPr>
          <w:t>https://doi.org/10.1080/1359432X.2019.1646728</w:t>
        </w:r>
      </w:hyperlink>
    </w:p>
    <w:p w14:paraId="5B7949F3" w14:textId="77777777" w:rsidR="002638F7" w:rsidRPr="002638F7" w:rsidRDefault="002638F7" w:rsidP="004769A9">
      <w:pPr>
        <w:keepNext w:val="0"/>
        <w:ind w:left="720" w:hanging="720"/>
      </w:pPr>
      <w:r w:rsidRPr="002638F7">
        <w:t xml:space="preserve">Partington, S., Partington, E., &amp; Olivier, S. (2009). The dark side of flow: A qualitative study of dependence in big wave surfing in. </w:t>
      </w:r>
      <w:r w:rsidRPr="002638F7">
        <w:rPr>
          <w:i/>
          <w:iCs/>
        </w:rPr>
        <w:t>The Sport Psychologist</w:t>
      </w:r>
      <w:r w:rsidRPr="002638F7">
        <w:t xml:space="preserve">, </w:t>
      </w:r>
      <w:r w:rsidRPr="002638F7">
        <w:rPr>
          <w:i/>
          <w:iCs/>
        </w:rPr>
        <w:t>23</w:t>
      </w:r>
      <w:r w:rsidRPr="002638F7">
        <w:t>(2), 170–185.</w:t>
      </w:r>
    </w:p>
    <w:p w14:paraId="5716DD0C" w14:textId="77777777" w:rsidR="002638F7" w:rsidRPr="002638F7" w:rsidRDefault="002638F7" w:rsidP="004769A9">
      <w:pPr>
        <w:keepNext w:val="0"/>
        <w:ind w:left="720" w:hanging="720"/>
      </w:pPr>
      <w:r w:rsidRPr="002638F7">
        <w:t xml:space="preserve">Petrou, P., Demerouti, E., Peeters, M. C. W., Schaufeli, W. B., &amp; Hetland, J. (2012). Crafting a job on a daily basis: Contextual correlates and the link to work engagement. </w:t>
      </w:r>
      <w:r w:rsidRPr="002638F7">
        <w:rPr>
          <w:i/>
          <w:iCs/>
        </w:rPr>
        <w:t>Journal of Organizational Behavior</w:t>
      </w:r>
      <w:r w:rsidRPr="002638F7">
        <w:t xml:space="preserve">, </w:t>
      </w:r>
      <w:r w:rsidRPr="002638F7">
        <w:rPr>
          <w:i/>
          <w:iCs/>
        </w:rPr>
        <w:t>33</w:t>
      </w:r>
      <w:r w:rsidRPr="002638F7">
        <w:t>(8), 1120–1141.</w:t>
      </w:r>
    </w:p>
    <w:p w14:paraId="232AF32C" w14:textId="77777777" w:rsidR="002638F7" w:rsidRPr="002638F7" w:rsidRDefault="002638F7" w:rsidP="004769A9">
      <w:pPr>
        <w:keepNext w:val="0"/>
        <w:ind w:left="720" w:hanging="720"/>
      </w:pPr>
      <w:r w:rsidRPr="002638F7">
        <w:t xml:space="preserve">Plano Clark, V. L. (2015). </w:t>
      </w:r>
      <w:r w:rsidRPr="002638F7">
        <w:rPr>
          <w:i/>
          <w:iCs/>
        </w:rPr>
        <w:t>Understanding research: A consumer’s guide</w:t>
      </w:r>
      <w:r w:rsidRPr="002638F7">
        <w:t xml:space="preserve"> (Second edition). Pearson.</w:t>
      </w:r>
    </w:p>
    <w:p w14:paraId="41BFA258" w14:textId="77777777" w:rsidR="002638F7" w:rsidRPr="002638F7" w:rsidRDefault="002638F7" w:rsidP="004769A9">
      <w:pPr>
        <w:keepNext w:val="0"/>
        <w:ind w:left="720" w:hanging="720"/>
      </w:pPr>
      <w:r w:rsidRPr="002638F7">
        <w:lastRenderedPageBreak/>
        <w:t xml:space="preserve">Podsakoff, N. P., LePine, J. A., &amp; LePine, M. A. (2007). Differential challenge stressor-hindrance stressor relationships with job attitudes, turnover intentions, turnover, and withdrawal behavior: A meta-analysis. </w:t>
      </w:r>
      <w:r w:rsidRPr="002638F7">
        <w:rPr>
          <w:i/>
          <w:iCs/>
        </w:rPr>
        <w:t>Journal of Applied Psychology</w:t>
      </w:r>
      <w:r w:rsidRPr="002638F7">
        <w:t xml:space="preserve">, </w:t>
      </w:r>
      <w:r w:rsidRPr="002638F7">
        <w:rPr>
          <w:i/>
          <w:iCs/>
        </w:rPr>
        <w:t>92</w:t>
      </w:r>
      <w:r w:rsidRPr="002638F7">
        <w:t xml:space="preserve">, 438–454. </w:t>
      </w:r>
      <w:hyperlink r:id="rId57" w:history="1">
        <w:r w:rsidRPr="002638F7">
          <w:rPr>
            <w:rStyle w:val="Hyperlink"/>
          </w:rPr>
          <w:t>https://doi.org/10.1037/0021-9010.92.2.438</w:t>
        </w:r>
      </w:hyperlink>
    </w:p>
    <w:p w14:paraId="6FC3EF1F" w14:textId="77777777" w:rsidR="002638F7" w:rsidRPr="002638F7" w:rsidRDefault="002638F7" w:rsidP="004769A9">
      <w:pPr>
        <w:keepNext w:val="0"/>
        <w:ind w:left="720" w:hanging="720"/>
      </w:pPr>
      <w:r w:rsidRPr="002638F7">
        <w:t xml:space="preserve">Querstret, D., &amp; Cropley, M. (2012). Exploring the relationship between work-related rumination, sleep quality, and work-related fatigue. </w:t>
      </w:r>
      <w:r w:rsidRPr="002638F7">
        <w:rPr>
          <w:i/>
          <w:iCs/>
        </w:rPr>
        <w:t>Journal of Occupational Health Psychology</w:t>
      </w:r>
      <w:r w:rsidRPr="002638F7">
        <w:t xml:space="preserve">, </w:t>
      </w:r>
      <w:r w:rsidRPr="002638F7">
        <w:rPr>
          <w:i/>
          <w:iCs/>
        </w:rPr>
        <w:t>17</w:t>
      </w:r>
      <w:r w:rsidRPr="002638F7">
        <w:t xml:space="preserve">, 341–353. </w:t>
      </w:r>
      <w:hyperlink r:id="rId58" w:history="1">
        <w:r w:rsidRPr="002638F7">
          <w:rPr>
            <w:rStyle w:val="Hyperlink"/>
          </w:rPr>
          <w:t>https://doi.org/10.1037/a0028552</w:t>
        </w:r>
      </w:hyperlink>
    </w:p>
    <w:p w14:paraId="4AB95A58" w14:textId="77777777" w:rsidR="002638F7" w:rsidRPr="002638F7" w:rsidRDefault="002638F7" w:rsidP="004769A9">
      <w:pPr>
        <w:keepNext w:val="0"/>
        <w:ind w:left="720" w:hanging="720"/>
      </w:pPr>
      <w:r w:rsidRPr="002638F7">
        <w:t xml:space="preserve">Ramsey, J. R., &amp; Lorenz, M. P. (2020). Every flow has its ebb: The impact of flow on work–family conflict and adjustment in global careers. </w:t>
      </w:r>
      <w:r w:rsidRPr="002638F7">
        <w:rPr>
          <w:i/>
          <w:iCs/>
        </w:rPr>
        <w:t>Human Resource Management Journal</w:t>
      </w:r>
      <w:r w:rsidRPr="002638F7">
        <w:t xml:space="preserve">, </w:t>
      </w:r>
      <w:r w:rsidRPr="002638F7">
        <w:rPr>
          <w:i/>
          <w:iCs/>
        </w:rPr>
        <w:t>30</w:t>
      </w:r>
      <w:r w:rsidRPr="002638F7">
        <w:t xml:space="preserve">(3), 441–460. </w:t>
      </w:r>
      <w:hyperlink r:id="rId59" w:history="1">
        <w:r w:rsidRPr="002638F7">
          <w:rPr>
            <w:rStyle w:val="Hyperlink"/>
          </w:rPr>
          <w:t>https://doi.org/10.1111/1748-8583.12234</w:t>
        </w:r>
      </w:hyperlink>
    </w:p>
    <w:p w14:paraId="43CBB2F7" w14:textId="77777777" w:rsidR="002638F7" w:rsidRPr="002638F7" w:rsidRDefault="002638F7" w:rsidP="004769A9">
      <w:pPr>
        <w:keepNext w:val="0"/>
        <w:ind w:left="720" w:hanging="720"/>
      </w:pPr>
      <w:r w:rsidRPr="002638F7">
        <w:t xml:space="preserve">Rigby, C. S., &amp; Ryan, R. (2018). Self-determination theory in human resource development: New directions and practical considerations. </w:t>
      </w:r>
      <w:r w:rsidRPr="002638F7">
        <w:rPr>
          <w:i/>
          <w:iCs/>
        </w:rPr>
        <w:t>Advances in Developing Human Resources</w:t>
      </w:r>
      <w:r w:rsidRPr="002638F7">
        <w:t xml:space="preserve">, </w:t>
      </w:r>
      <w:r w:rsidRPr="002638F7">
        <w:rPr>
          <w:i/>
          <w:iCs/>
        </w:rPr>
        <w:t>20</w:t>
      </w:r>
      <w:r w:rsidRPr="002638F7">
        <w:t xml:space="preserve">(2), 133–147. </w:t>
      </w:r>
      <w:hyperlink r:id="rId60" w:history="1">
        <w:r w:rsidRPr="002638F7">
          <w:rPr>
            <w:rStyle w:val="Hyperlink"/>
          </w:rPr>
          <w:t>https://doi.org/10.1177/1523422318756954</w:t>
        </w:r>
      </w:hyperlink>
    </w:p>
    <w:p w14:paraId="789D9521" w14:textId="77777777" w:rsidR="002638F7" w:rsidRPr="002638F7" w:rsidRDefault="002638F7" w:rsidP="004769A9">
      <w:pPr>
        <w:keepNext w:val="0"/>
        <w:ind w:left="720" w:hanging="720"/>
      </w:pPr>
      <w:r w:rsidRPr="002638F7">
        <w:t xml:space="preserve">Rodríguez-Sánchez, A. M., Schaufeli, W., Salanova, M., Cifre, E., &amp; Sonnenschein, M. (2011). Enjoyment and absorption: An electronic diary study on daily flow patterns. </w:t>
      </w:r>
      <w:r w:rsidRPr="002638F7">
        <w:rPr>
          <w:i/>
          <w:iCs/>
        </w:rPr>
        <w:t>Work &amp; Stress</w:t>
      </w:r>
      <w:r w:rsidRPr="002638F7">
        <w:t xml:space="preserve">, </w:t>
      </w:r>
      <w:r w:rsidRPr="002638F7">
        <w:rPr>
          <w:i/>
          <w:iCs/>
        </w:rPr>
        <w:t>25</w:t>
      </w:r>
      <w:r w:rsidRPr="002638F7">
        <w:t xml:space="preserve">(1), 75–92. </w:t>
      </w:r>
      <w:hyperlink r:id="rId61" w:history="1">
        <w:r w:rsidRPr="002638F7">
          <w:rPr>
            <w:rStyle w:val="Hyperlink"/>
          </w:rPr>
          <w:t>https://doi.org/10.1080/02678373.2011.565619</w:t>
        </w:r>
      </w:hyperlink>
    </w:p>
    <w:p w14:paraId="506F064D" w14:textId="77777777" w:rsidR="002638F7" w:rsidRPr="002638F7" w:rsidRDefault="002638F7" w:rsidP="004769A9">
      <w:pPr>
        <w:keepNext w:val="0"/>
        <w:ind w:left="720" w:hanging="720"/>
      </w:pPr>
      <w:r w:rsidRPr="002638F7">
        <w:t xml:space="preserve">Roof, R. A., Bocarnea, M. C., &amp; Winston, B. E. (2017). The spiritual engagement instrument. </w:t>
      </w:r>
      <w:r w:rsidRPr="002638F7">
        <w:rPr>
          <w:i/>
          <w:iCs/>
        </w:rPr>
        <w:t>Asian Journal of Business Ethics</w:t>
      </w:r>
      <w:r w:rsidRPr="002638F7">
        <w:t xml:space="preserve">, </w:t>
      </w:r>
      <w:r w:rsidRPr="002638F7">
        <w:rPr>
          <w:i/>
          <w:iCs/>
        </w:rPr>
        <w:t>6</w:t>
      </w:r>
      <w:r w:rsidRPr="002638F7">
        <w:t xml:space="preserve">(2), 215–232. </w:t>
      </w:r>
      <w:hyperlink r:id="rId62" w:history="1">
        <w:r w:rsidRPr="002638F7">
          <w:rPr>
            <w:rStyle w:val="Hyperlink"/>
          </w:rPr>
          <w:t>https://doi.org/10.1007/s13520-017-0073-y</w:t>
        </w:r>
      </w:hyperlink>
    </w:p>
    <w:p w14:paraId="4E51A6CB" w14:textId="77777777" w:rsidR="002638F7" w:rsidRPr="002638F7" w:rsidRDefault="002638F7" w:rsidP="004769A9">
      <w:pPr>
        <w:keepNext w:val="0"/>
        <w:ind w:left="720" w:hanging="720"/>
      </w:pPr>
      <w:r w:rsidRPr="002638F7">
        <w:t xml:space="preserve">Rudolph, C. W., Katz, I. M., Lavigne, K. N., &amp; Zacher, H. (2017). Job crafting: A meta-analysis of relationships with individual differences, job characteristics, and work </w:t>
      </w:r>
      <w:r w:rsidRPr="002638F7">
        <w:lastRenderedPageBreak/>
        <w:t xml:space="preserve">outcomes. </w:t>
      </w:r>
      <w:r w:rsidRPr="002638F7">
        <w:rPr>
          <w:i/>
          <w:iCs/>
        </w:rPr>
        <w:t>Journal of Vocational Behavior</w:t>
      </w:r>
      <w:r w:rsidRPr="002638F7">
        <w:t xml:space="preserve">, </w:t>
      </w:r>
      <w:r w:rsidRPr="002638F7">
        <w:rPr>
          <w:i/>
          <w:iCs/>
        </w:rPr>
        <w:t>102</w:t>
      </w:r>
      <w:r w:rsidRPr="002638F7">
        <w:t xml:space="preserve">, 112–138. </w:t>
      </w:r>
      <w:hyperlink r:id="rId63" w:history="1">
        <w:r w:rsidRPr="002638F7">
          <w:rPr>
            <w:rStyle w:val="Hyperlink"/>
          </w:rPr>
          <w:t>https://doi.org/10.1016/j.jvb.2017.05.008</w:t>
        </w:r>
      </w:hyperlink>
    </w:p>
    <w:p w14:paraId="2D788606" w14:textId="77777777" w:rsidR="002638F7" w:rsidRPr="002638F7" w:rsidRDefault="002638F7" w:rsidP="004769A9">
      <w:pPr>
        <w:keepNext w:val="0"/>
        <w:ind w:left="720" w:hanging="720"/>
      </w:pPr>
      <w:r w:rsidRPr="002638F7">
        <w:t xml:space="preserve">Schaufeli, W. B. (2017). Applying the Job Demands-Resources model. </w:t>
      </w:r>
      <w:r w:rsidRPr="002638F7">
        <w:rPr>
          <w:i/>
          <w:iCs/>
        </w:rPr>
        <w:t>Organizational Dynamics</w:t>
      </w:r>
      <w:r w:rsidRPr="002638F7">
        <w:t xml:space="preserve">, </w:t>
      </w:r>
      <w:r w:rsidRPr="002638F7">
        <w:rPr>
          <w:i/>
          <w:iCs/>
        </w:rPr>
        <w:t>46</w:t>
      </w:r>
      <w:r w:rsidRPr="002638F7">
        <w:t xml:space="preserve">(2), 120–132. </w:t>
      </w:r>
      <w:hyperlink r:id="rId64" w:history="1">
        <w:r w:rsidRPr="002638F7">
          <w:rPr>
            <w:rStyle w:val="Hyperlink"/>
          </w:rPr>
          <w:t>https://doi.org/10.1016/j.orgdyn.2017.04.008</w:t>
        </w:r>
      </w:hyperlink>
    </w:p>
    <w:p w14:paraId="03BA6A93" w14:textId="77777777" w:rsidR="002638F7" w:rsidRPr="002638F7" w:rsidRDefault="002638F7" w:rsidP="004769A9">
      <w:pPr>
        <w:keepNext w:val="0"/>
        <w:ind w:left="720" w:hanging="720"/>
      </w:pPr>
      <w:r w:rsidRPr="002638F7">
        <w:t xml:space="preserve">Schaufeli, W. B., Salanova, M., González-romá, V., &amp; Bakker, A. B. (2002). The measurement of engagement and burnout: A two sample confirmatory factor analytic approach. </w:t>
      </w:r>
      <w:r w:rsidRPr="002638F7">
        <w:rPr>
          <w:i/>
          <w:iCs/>
        </w:rPr>
        <w:t>Journal of Happiness Studies</w:t>
      </w:r>
      <w:r w:rsidRPr="002638F7">
        <w:t xml:space="preserve">, </w:t>
      </w:r>
      <w:r w:rsidRPr="002638F7">
        <w:rPr>
          <w:i/>
          <w:iCs/>
        </w:rPr>
        <w:t>3</w:t>
      </w:r>
      <w:r w:rsidRPr="002638F7">
        <w:t xml:space="preserve">(1), 71–92. </w:t>
      </w:r>
      <w:hyperlink r:id="rId65" w:history="1">
        <w:r w:rsidRPr="002638F7">
          <w:rPr>
            <w:rStyle w:val="Hyperlink"/>
          </w:rPr>
          <w:t>https://doi.org/10.1023/A:1015630930326</w:t>
        </w:r>
      </w:hyperlink>
    </w:p>
    <w:p w14:paraId="21974D70" w14:textId="77777777" w:rsidR="002638F7" w:rsidRPr="002638F7" w:rsidRDefault="002638F7" w:rsidP="004769A9">
      <w:pPr>
        <w:keepNext w:val="0"/>
        <w:ind w:left="720" w:hanging="720"/>
      </w:pPr>
      <w:r w:rsidRPr="002638F7">
        <w:t xml:space="preserve">Schuler, J. (2012). The dark side of the moon. In S. Engeser (Ed.), </w:t>
      </w:r>
      <w:r w:rsidRPr="002638F7">
        <w:rPr>
          <w:i/>
          <w:iCs/>
        </w:rPr>
        <w:t>Advances in flow research</w:t>
      </w:r>
      <w:r w:rsidRPr="002638F7">
        <w:t xml:space="preserve"> (pp. xvii, 231). Springer. </w:t>
      </w:r>
      <w:hyperlink r:id="rId66" w:history="1">
        <w:r w:rsidRPr="002638F7">
          <w:rPr>
            <w:rStyle w:val="Hyperlink"/>
          </w:rPr>
          <w:t>https://doi.org/10.1007/978-1-4614-2359-1</w:t>
        </w:r>
      </w:hyperlink>
    </w:p>
    <w:p w14:paraId="448298D4" w14:textId="77777777" w:rsidR="002638F7" w:rsidRPr="002638F7" w:rsidRDefault="002638F7" w:rsidP="004769A9">
      <w:pPr>
        <w:keepNext w:val="0"/>
        <w:ind w:left="720" w:hanging="720"/>
      </w:pPr>
      <w:r w:rsidRPr="002638F7">
        <w:t xml:space="preserve">Shankar Pawar, B. (2008). Two approaches to workplace spirituality facilitation: A comparison and implications. </w:t>
      </w:r>
      <w:r w:rsidRPr="002638F7">
        <w:rPr>
          <w:i/>
          <w:iCs/>
        </w:rPr>
        <w:t>Leadership &amp; Organization Development Journal</w:t>
      </w:r>
      <w:r w:rsidRPr="002638F7">
        <w:t xml:space="preserve">, </w:t>
      </w:r>
      <w:r w:rsidRPr="002638F7">
        <w:rPr>
          <w:i/>
          <w:iCs/>
        </w:rPr>
        <w:t>29</w:t>
      </w:r>
      <w:r w:rsidRPr="002638F7">
        <w:t xml:space="preserve">(6), 544–567. </w:t>
      </w:r>
      <w:hyperlink r:id="rId67" w:history="1">
        <w:r w:rsidRPr="002638F7">
          <w:rPr>
            <w:rStyle w:val="Hyperlink"/>
          </w:rPr>
          <w:t>https://doi.org/10.1108/01437730810894195</w:t>
        </w:r>
      </w:hyperlink>
    </w:p>
    <w:p w14:paraId="612DE05E" w14:textId="77777777" w:rsidR="002638F7" w:rsidRPr="002638F7" w:rsidRDefault="002638F7" w:rsidP="004769A9">
      <w:pPr>
        <w:keepNext w:val="0"/>
        <w:ind w:left="720" w:hanging="720"/>
      </w:pPr>
      <w:r w:rsidRPr="002638F7">
        <w:t xml:space="preserve">Sonnentag, S. (2012). Psychological detachment from work during leisure time: The benefits of mentally disengaging from work. </w:t>
      </w:r>
      <w:r w:rsidRPr="002638F7">
        <w:rPr>
          <w:i/>
          <w:iCs/>
        </w:rPr>
        <w:t>Current Directions in Psychological Science</w:t>
      </w:r>
      <w:r w:rsidRPr="002638F7">
        <w:t xml:space="preserve">, </w:t>
      </w:r>
      <w:r w:rsidRPr="002638F7">
        <w:rPr>
          <w:i/>
          <w:iCs/>
        </w:rPr>
        <w:t>21</w:t>
      </w:r>
      <w:r w:rsidRPr="002638F7">
        <w:t>, 114–118.</w:t>
      </w:r>
    </w:p>
    <w:p w14:paraId="380570CF" w14:textId="77777777" w:rsidR="002638F7" w:rsidRPr="002638F7" w:rsidRDefault="002638F7" w:rsidP="004769A9">
      <w:pPr>
        <w:keepNext w:val="0"/>
        <w:ind w:left="720" w:hanging="720"/>
      </w:pPr>
      <w:r w:rsidRPr="002638F7">
        <w:t xml:space="preserve">Sonnentag, S., &amp; Fritz, C. (2007). The Recovery Experience Questionnaire: Development and validation of a measure for assessing recuperation and unwinding from work. </w:t>
      </w:r>
      <w:r w:rsidRPr="002638F7">
        <w:rPr>
          <w:i/>
          <w:iCs/>
        </w:rPr>
        <w:t>Journal of Occupational Health Psychology</w:t>
      </w:r>
      <w:r w:rsidRPr="002638F7">
        <w:t xml:space="preserve">, </w:t>
      </w:r>
      <w:r w:rsidRPr="002638F7">
        <w:rPr>
          <w:i/>
          <w:iCs/>
        </w:rPr>
        <w:t>12</w:t>
      </w:r>
      <w:r w:rsidRPr="002638F7">
        <w:t xml:space="preserve">, 204–221. </w:t>
      </w:r>
      <w:hyperlink r:id="rId68" w:history="1">
        <w:r w:rsidRPr="002638F7">
          <w:rPr>
            <w:rStyle w:val="Hyperlink"/>
          </w:rPr>
          <w:t>https://doi.org/10.1037/1076-8998.12.3.204</w:t>
        </w:r>
      </w:hyperlink>
    </w:p>
    <w:p w14:paraId="43C575F0" w14:textId="77777777" w:rsidR="002638F7" w:rsidRPr="002638F7" w:rsidRDefault="002638F7" w:rsidP="004769A9">
      <w:pPr>
        <w:keepNext w:val="0"/>
        <w:ind w:left="720" w:hanging="720"/>
      </w:pPr>
      <w:r w:rsidRPr="002638F7">
        <w:t xml:space="preserve">Stevens, M. L., Crowley, P., Garde, A. H., Mortensen, O. S., Nygård, C.-H., &amp; Holtermann, A. (2019). Validation of a short-form version of the Danish Need for Recovery Scale against the full scale. </w:t>
      </w:r>
      <w:r w:rsidRPr="002638F7">
        <w:rPr>
          <w:i/>
          <w:iCs/>
        </w:rPr>
        <w:t xml:space="preserve">International Journal of Environmental </w:t>
      </w:r>
      <w:r w:rsidRPr="002638F7">
        <w:rPr>
          <w:i/>
          <w:iCs/>
        </w:rPr>
        <w:lastRenderedPageBreak/>
        <w:t>Research and Public Health</w:t>
      </w:r>
      <w:r w:rsidRPr="002638F7">
        <w:t xml:space="preserve">, </w:t>
      </w:r>
      <w:r w:rsidRPr="002638F7">
        <w:rPr>
          <w:i/>
          <w:iCs/>
        </w:rPr>
        <w:t>16</w:t>
      </w:r>
      <w:r w:rsidRPr="002638F7">
        <w:t xml:space="preserve">(13), Article 13. </w:t>
      </w:r>
      <w:hyperlink r:id="rId69" w:history="1">
        <w:r w:rsidRPr="002638F7">
          <w:rPr>
            <w:rStyle w:val="Hyperlink"/>
          </w:rPr>
          <w:t>https://doi.org/10.3390/ijerph16132334</w:t>
        </w:r>
      </w:hyperlink>
    </w:p>
    <w:p w14:paraId="094A4FA2" w14:textId="77777777" w:rsidR="002638F7" w:rsidRPr="002638F7" w:rsidRDefault="002638F7" w:rsidP="004769A9">
      <w:pPr>
        <w:keepNext w:val="0"/>
        <w:ind w:left="720" w:hanging="720"/>
      </w:pPr>
      <w:r w:rsidRPr="002638F7">
        <w:rPr>
          <w:i/>
          <w:iCs/>
        </w:rPr>
        <w:t>Stress in America</w:t>
      </w:r>
      <w:r w:rsidRPr="002638F7">
        <w:t xml:space="preserve">. (n.d.). Https://Www.Apa.Org. Retrieved March 8, 2023, from </w:t>
      </w:r>
      <w:hyperlink r:id="rId70" w:history="1">
        <w:r w:rsidRPr="002638F7">
          <w:rPr>
            <w:rStyle w:val="Hyperlink"/>
          </w:rPr>
          <w:t>https://www.apa.org/news/press/releases/stress</w:t>
        </w:r>
      </w:hyperlink>
    </w:p>
    <w:p w14:paraId="02DDAC5B" w14:textId="77777777" w:rsidR="002638F7" w:rsidRPr="002638F7" w:rsidRDefault="002638F7" w:rsidP="004769A9">
      <w:pPr>
        <w:keepNext w:val="0"/>
        <w:ind w:left="720" w:hanging="720"/>
      </w:pPr>
      <w:r w:rsidRPr="002638F7">
        <w:t xml:space="preserve">ten Brummelhuis, L. L., &amp; Bakker, A. B. (2012). Staying engaged during the week: The effect of off-job activities on next day work engagement. </w:t>
      </w:r>
      <w:r w:rsidRPr="002638F7">
        <w:rPr>
          <w:i/>
          <w:iCs/>
        </w:rPr>
        <w:t>Journal of Occupational Health Psychology</w:t>
      </w:r>
      <w:r w:rsidRPr="002638F7">
        <w:t xml:space="preserve">, </w:t>
      </w:r>
      <w:r w:rsidRPr="002638F7">
        <w:rPr>
          <w:i/>
          <w:iCs/>
        </w:rPr>
        <w:t>17</w:t>
      </w:r>
      <w:r w:rsidRPr="002638F7">
        <w:t xml:space="preserve">, 445–455. </w:t>
      </w:r>
      <w:hyperlink r:id="rId71" w:history="1">
        <w:r w:rsidRPr="002638F7">
          <w:rPr>
            <w:rStyle w:val="Hyperlink"/>
          </w:rPr>
          <w:t>https://doi.org/10.1037/a0029213</w:t>
        </w:r>
      </w:hyperlink>
    </w:p>
    <w:p w14:paraId="0D29E2DF" w14:textId="77777777" w:rsidR="002638F7" w:rsidRPr="002638F7" w:rsidRDefault="002638F7" w:rsidP="004769A9">
      <w:pPr>
        <w:keepNext w:val="0"/>
        <w:ind w:left="720" w:hanging="720"/>
      </w:pPr>
      <w:r w:rsidRPr="002638F7">
        <w:t xml:space="preserve">Teng, H.-Y., &amp; Chen, C.-Y. (2019). Proactive personality and job crafting in the tourism industry: Does job resourcefulness matter? </w:t>
      </w:r>
      <w:r w:rsidRPr="002638F7">
        <w:rPr>
          <w:i/>
          <w:iCs/>
        </w:rPr>
        <w:t>Journal of Hospitality and Tourism Management</w:t>
      </w:r>
      <w:r w:rsidRPr="002638F7">
        <w:t xml:space="preserve">, </w:t>
      </w:r>
      <w:r w:rsidRPr="002638F7">
        <w:rPr>
          <w:i/>
          <w:iCs/>
        </w:rPr>
        <w:t>41</w:t>
      </w:r>
      <w:r w:rsidRPr="002638F7">
        <w:t xml:space="preserve">, 110–116. </w:t>
      </w:r>
      <w:hyperlink r:id="rId72" w:history="1">
        <w:r w:rsidRPr="002638F7">
          <w:rPr>
            <w:rStyle w:val="Hyperlink"/>
          </w:rPr>
          <w:t>https://doi.org/10.1016/j.jhtm.2019.10.010</w:t>
        </w:r>
      </w:hyperlink>
    </w:p>
    <w:p w14:paraId="1AF14741" w14:textId="77777777" w:rsidR="002638F7" w:rsidRPr="002638F7" w:rsidRDefault="002638F7" w:rsidP="004769A9">
      <w:pPr>
        <w:keepNext w:val="0"/>
        <w:ind w:left="720" w:hanging="720"/>
      </w:pPr>
      <w:r w:rsidRPr="002638F7">
        <w:t xml:space="preserve">Tims, M., Bakker, A. B., &amp; Derks, D. (2012). Development and validation of the job crafting scale. </w:t>
      </w:r>
      <w:r w:rsidRPr="002638F7">
        <w:rPr>
          <w:i/>
          <w:iCs/>
        </w:rPr>
        <w:t>Journal of Vocational Behavior</w:t>
      </w:r>
      <w:r w:rsidRPr="002638F7">
        <w:t xml:space="preserve">, </w:t>
      </w:r>
      <w:r w:rsidRPr="002638F7">
        <w:rPr>
          <w:i/>
          <w:iCs/>
        </w:rPr>
        <w:t>80</w:t>
      </w:r>
      <w:r w:rsidRPr="002638F7">
        <w:t xml:space="preserve">(1), 173–186. </w:t>
      </w:r>
      <w:hyperlink r:id="rId73" w:history="1">
        <w:r w:rsidRPr="002638F7">
          <w:rPr>
            <w:rStyle w:val="Hyperlink"/>
          </w:rPr>
          <w:t>https://doi.org/10.1016/j.jvb.2011.05.009</w:t>
        </w:r>
      </w:hyperlink>
    </w:p>
    <w:p w14:paraId="35474299" w14:textId="77777777" w:rsidR="002638F7" w:rsidRPr="002638F7" w:rsidRDefault="002638F7" w:rsidP="004769A9">
      <w:pPr>
        <w:keepNext w:val="0"/>
        <w:ind w:left="720" w:hanging="720"/>
      </w:pPr>
      <w:r w:rsidRPr="002638F7">
        <w:t xml:space="preserve">van Oortmerssen, L. A., Caniëls, M. C. J., &amp; van Assen, M. F. (2020). Coping with work stressors and paving the way for flow: Challenge and hindrance demands, humor, and cynicism. </w:t>
      </w:r>
      <w:r w:rsidRPr="002638F7">
        <w:rPr>
          <w:i/>
          <w:iCs/>
        </w:rPr>
        <w:t>Journal of Happiness Studies</w:t>
      </w:r>
      <w:r w:rsidRPr="002638F7">
        <w:t xml:space="preserve">, </w:t>
      </w:r>
      <w:r w:rsidRPr="002638F7">
        <w:rPr>
          <w:i/>
          <w:iCs/>
        </w:rPr>
        <w:t>21</w:t>
      </w:r>
      <w:r w:rsidRPr="002638F7">
        <w:t xml:space="preserve">(6), 2257–2277. </w:t>
      </w:r>
      <w:hyperlink r:id="rId74" w:history="1">
        <w:r w:rsidRPr="002638F7">
          <w:rPr>
            <w:rStyle w:val="Hyperlink"/>
          </w:rPr>
          <w:t>https://doi.org/10.1007/s10902-019-00177-9</w:t>
        </w:r>
      </w:hyperlink>
    </w:p>
    <w:p w14:paraId="09D2C8CE" w14:textId="77777777" w:rsidR="002638F7" w:rsidRPr="002638F7" w:rsidRDefault="002638F7" w:rsidP="004769A9">
      <w:pPr>
        <w:keepNext w:val="0"/>
        <w:ind w:left="720" w:hanging="720"/>
      </w:pPr>
      <w:r w:rsidRPr="002638F7">
        <w:t xml:space="preserve">Van Wingerden, J., Derks, D., &amp; Bakker, A. B. (2017). The impact of personal resources and job crafting interventions on work engagement and performance. </w:t>
      </w:r>
      <w:r w:rsidRPr="002638F7">
        <w:rPr>
          <w:i/>
          <w:iCs/>
        </w:rPr>
        <w:t>Human Resource Management</w:t>
      </w:r>
      <w:r w:rsidRPr="002638F7">
        <w:t xml:space="preserve">, </w:t>
      </w:r>
      <w:r w:rsidRPr="002638F7">
        <w:rPr>
          <w:i/>
          <w:iCs/>
        </w:rPr>
        <w:t>56</w:t>
      </w:r>
      <w:r w:rsidRPr="002638F7">
        <w:t xml:space="preserve">(1), 51–67. </w:t>
      </w:r>
      <w:hyperlink r:id="rId75" w:history="1">
        <w:r w:rsidRPr="002638F7">
          <w:rPr>
            <w:rStyle w:val="Hyperlink"/>
          </w:rPr>
          <w:t>https://doi.org/10.1002/hrm.21758</w:t>
        </w:r>
      </w:hyperlink>
    </w:p>
    <w:p w14:paraId="766E412A" w14:textId="77777777" w:rsidR="002638F7" w:rsidRPr="002638F7" w:rsidRDefault="002638F7" w:rsidP="004769A9">
      <w:pPr>
        <w:keepNext w:val="0"/>
        <w:ind w:left="720" w:hanging="720"/>
      </w:pPr>
      <w:r w:rsidRPr="002638F7">
        <w:t xml:space="preserve">Vermooten, N., Boonzaier, B., &amp; Kidd, M. (2019). Job crafting, proactive personality and meaningful work: Implications for employee engagement and turnover intention. </w:t>
      </w:r>
      <w:r w:rsidRPr="002638F7">
        <w:rPr>
          <w:i/>
          <w:iCs/>
        </w:rPr>
        <w:lastRenderedPageBreak/>
        <w:t>SAJIP: South African Journal of Industrial Psychology</w:t>
      </w:r>
      <w:r w:rsidRPr="002638F7">
        <w:t xml:space="preserve">, </w:t>
      </w:r>
      <w:r w:rsidRPr="002638F7">
        <w:rPr>
          <w:i/>
          <w:iCs/>
        </w:rPr>
        <w:t>45</w:t>
      </w:r>
      <w:r w:rsidRPr="002638F7">
        <w:t xml:space="preserve">, 1–13. </w:t>
      </w:r>
      <w:hyperlink r:id="rId76" w:history="1">
        <w:r w:rsidRPr="002638F7">
          <w:rPr>
            <w:rStyle w:val="Hyperlink"/>
          </w:rPr>
          <w:t>https://doi.org/10.4102/sajip.v45i0.1567</w:t>
        </w:r>
      </w:hyperlink>
    </w:p>
    <w:p w14:paraId="7EC6E4E6" w14:textId="77777777" w:rsidR="002638F7" w:rsidRPr="002638F7" w:rsidRDefault="002638F7" w:rsidP="004769A9">
      <w:pPr>
        <w:keepNext w:val="0"/>
        <w:ind w:left="720" w:hanging="720"/>
      </w:pPr>
      <w:r w:rsidRPr="002638F7">
        <w:t xml:space="preserve">White, J. L., Blackburn, A. M., &amp; Plisco, M. K. (2015). Rest as a virtue: Theological foundations and application to personal and professional life. </w:t>
      </w:r>
      <w:r w:rsidRPr="002638F7">
        <w:rPr>
          <w:i/>
          <w:iCs/>
        </w:rPr>
        <w:t>Journal of Psychology and Theology</w:t>
      </w:r>
      <w:r w:rsidRPr="002638F7">
        <w:t xml:space="preserve">, </w:t>
      </w:r>
      <w:r w:rsidRPr="002638F7">
        <w:rPr>
          <w:i/>
          <w:iCs/>
        </w:rPr>
        <w:t>43</w:t>
      </w:r>
      <w:r w:rsidRPr="002638F7">
        <w:t xml:space="preserve">(2), 98–120. </w:t>
      </w:r>
      <w:hyperlink r:id="rId77" w:history="1">
        <w:r w:rsidRPr="002638F7">
          <w:rPr>
            <w:rStyle w:val="Hyperlink"/>
          </w:rPr>
          <w:t>https://doi.org/10.1177/009164711504300203</w:t>
        </w:r>
      </w:hyperlink>
    </w:p>
    <w:p w14:paraId="2F483EB9" w14:textId="77777777" w:rsidR="002638F7" w:rsidRPr="002638F7" w:rsidRDefault="002638F7" w:rsidP="004769A9">
      <w:pPr>
        <w:keepNext w:val="0"/>
        <w:ind w:left="720" w:hanging="720"/>
      </w:pPr>
      <w:r w:rsidRPr="002638F7">
        <w:t xml:space="preserve">Wolfigiel, B., &amp; Czerw, A. (2017). A new method to measure flow in professional tasks – A FLOW-W questionnaire. </w:t>
      </w:r>
      <w:r w:rsidRPr="002638F7">
        <w:rPr>
          <w:i/>
          <w:iCs/>
        </w:rPr>
        <w:t>Polish Psychological Bulletin</w:t>
      </w:r>
      <w:r w:rsidRPr="002638F7">
        <w:t xml:space="preserve">, </w:t>
      </w:r>
      <w:r w:rsidRPr="002638F7">
        <w:rPr>
          <w:i/>
          <w:iCs/>
        </w:rPr>
        <w:t>48</w:t>
      </w:r>
      <w:r w:rsidRPr="002638F7">
        <w:t xml:space="preserve">(2), 220–228. </w:t>
      </w:r>
      <w:hyperlink r:id="rId78" w:history="1">
        <w:r w:rsidRPr="002638F7">
          <w:rPr>
            <w:rStyle w:val="Hyperlink"/>
          </w:rPr>
          <w:t>https://doi.org/10.1515/ppb-2017-0025</w:t>
        </w:r>
      </w:hyperlink>
    </w:p>
    <w:p w14:paraId="019AF9BB" w14:textId="77777777" w:rsidR="002638F7" w:rsidRPr="002638F7" w:rsidRDefault="002638F7" w:rsidP="004769A9">
      <w:pPr>
        <w:keepNext w:val="0"/>
        <w:ind w:left="720" w:hanging="720"/>
      </w:pPr>
      <w:r w:rsidRPr="002638F7">
        <w:t xml:space="preserve">Wrzesniewski, A., &amp; Dutton, J. E. (2001). Crafting a job: Revisioning employees as active crafters of their work. </w:t>
      </w:r>
      <w:r w:rsidRPr="002638F7">
        <w:rPr>
          <w:i/>
          <w:iCs/>
        </w:rPr>
        <w:t>The Academy of Management Review</w:t>
      </w:r>
      <w:r w:rsidRPr="002638F7">
        <w:t xml:space="preserve">, </w:t>
      </w:r>
      <w:r w:rsidRPr="002638F7">
        <w:rPr>
          <w:i/>
          <w:iCs/>
        </w:rPr>
        <w:t>26</w:t>
      </w:r>
      <w:r w:rsidRPr="002638F7">
        <w:t xml:space="preserve">(2), 179–201. </w:t>
      </w:r>
      <w:hyperlink r:id="rId79" w:history="1">
        <w:r w:rsidRPr="002638F7">
          <w:rPr>
            <w:rStyle w:val="Hyperlink"/>
          </w:rPr>
          <w:t>https://doi.org/10.2307/259118</w:t>
        </w:r>
      </w:hyperlink>
    </w:p>
    <w:p w14:paraId="316B2917" w14:textId="77777777" w:rsidR="002638F7" w:rsidRPr="002638F7" w:rsidRDefault="002638F7" w:rsidP="004769A9">
      <w:pPr>
        <w:keepNext w:val="0"/>
        <w:ind w:left="720" w:hanging="720"/>
      </w:pPr>
      <w:r w:rsidRPr="002638F7">
        <w:t xml:space="preserve">Xanthopoulou, D., Bakker, A. B., Demerouti, E., &amp; Schaufeli, W. B. (2007). The role of personal resources in the job demands-resources model. </w:t>
      </w:r>
      <w:r w:rsidRPr="002638F7">
        <w:rPr>
          <w:i/>
          <w:iCs/>
        </w:rPr>
        <w:t>International Journal of Stress Management</w:t>
      </w:r>
      <w:r w:rsidRPr="002638F7">
        <w:t xml:space="preserve">, </w:t>
      </w:r>
      <w:r w:rsidRPr="002638F7">
        <w:rPr>
          <w:i/>
          <w:iCs/>
        </w:rPr>
        <w:t>14</w:t>
      </w:r>
      <w:r w:rsidRPr="002638F7">
        <w:t xml:space="preserve">, 121–141. </w:t>
      </w:r>
      <w:hyperlink r:id="rId80" w:history="1">
        <w:r w:rsidRPr="002638F7">
          <w:rPr>
            <w:rStyle w:val="Hyperlink"/>
          </w:rPr>
          <w:t>https://doi.org/10.1037/1072-5245.14.2.121</w:t>
        </w:r>
      </w:hyperlink>
    </w:p>
    <w:p w14:paraId="75B5AB8D" w14:textId="3F41234A" w:rsidR="000C34B5" w:rsidRDefault="002638F7" w:rsidP="004769A9">
      <w:pPr>
        <w:keepNext w:val="0"/>
        <w:ind w:left="720" w:hanging="720"/>
      </w:pPr>
      <w:r w:rsidRPr="002638F7">
        <w:t xml:space="preserve">Zhang, F., &amp; Parker, S. K. (2019). Reorienting job crafting research: A hierarchical structure of job crafting concepts and integrative review. </w:t>
      </w:r>
      <w:r w:rsidRPr="002638F7">
        <w:rPr>
          <w:i/>
          <w:iCs/>
        </w:rPr>
        <w:t>Journal of Organizational Behavior</w:t>
      </w:r>
      <w:r w:rsidRPr="002638F7">
        <w:t xml:space="preserve">, </w:t>
      </w:r>
      <w:r w:rsidRPr="002638F7">
        <w:rPr>
          <w:i/>
          <w:iCs/>
        </w:rPr>
        <w:t>40</w:t>
      </w:r>
      <w:r w:rsidRPr="002638F7">
        <w:t xml:space="preserve">(2), 126–146. </w:t>
      </w:r>
      <w:hyperlink r:id="rId81" w:history="1">
        <w:r w:rsidRPr="002638F7">
          <w:rPr>
            <w:rStyle w:val="Hyperlink"/>
          </w:rPr>
          <w:t>https://doi.org/10.1002/job.2332</w:t>
        </w:r>
      </w:hyperlink>
    </w:p>
    <w:p w14:paraId="1C611573" w14:textId="66E59F44" w:rsidR="009E01E5" w:rsidRPr="00457B7B" w:rsidRDefault="009E01E5" w:rsidP="004769A9">
      <w:pPr>
        <w:keepNext w:val="0"/>
        <w:ind w:firstLine="0"/>
        <w:rPr>
          <w:rFonts w:eastAsia="Times New Roman" w:cs="Times New Roman"/>
        </w:rPr>
      </w:pPr>
    </w:p>
    <w:p w14:paraId="2A91FAC1" w14:textId="77777777" w:rsidR="009D7BDE" w:rsidRDefault="009D7BDE">
      <w:pPr>
        <w:keepNext w:val="0"/>
        <w:spacing w:line="240" w:lineRule="auto"/>
        <w:ind w:firstLine="0"/>
        <w:rPr>
          <w:rFonts w:eastAsia="Times New Roman" w:cs="Times New Roman"/>
          <w:b/>
          <w:caps/>
        </w:rPr>
      </w:pPr>
      <w:bookmarkStart w:id="63" w:name="_Toc486409281"/>
      <w:r>
        <w:br w:type="page"/>
      </w:r>
    </w:p>
    <w:p w14:paraId="5380ACBA" w14:textId="18D6CE5C" w:rsidR="009E01E5" w:rsidRPr="00400465" w:rsidRDefault="009E01E5" w:rsidP="009258A7">
      <w:pPr>
        <w:pStyle w:val="APALevel1"/>
      </w:pPr>
      <w:r w:rsidRPr="00400465">
        <w:lastRenderedPageBreak/>
        <w:t>RELATED WORKS</w:t>
      </w:r>
      <w:bookmarkEnd w:id="63"/>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eastAsia="Times New Roman" w:cs="Times New Roman"/>
        </w:rPr>
      </w:pPr>
    </w:p>
    <w:p w14:paraId="1A4A8DA1" w14:textId="77777777" w:rsidR="009E01E5" w:rsidRDefault="009E01E5" w:rsidP="009E01E5">
      <w:bookmarkStart w:id="64" w:name="CV"/>
      <w:bookmarkEnd w:id="64"/>
      <w:r>
        <w:br w:type="page"/>
      </w:r>
    </w:p>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023BE6FF" w14:textId="0694BCE6" w:rsidR="00797921" w:rsidRDefault="009E01E5" w:rsidP="009258A7">
      <w:pPr>
        <w:pStyle w:val="APALevel1"/>
      </w:pPr>
      <w:bookmarkStart w:id="65" w:name="_Toc486409282"/>
      <w:r>
        <w:lastRenderedPageBreak/>
        <w:t>APPENDIX A: TITLE OF APPENDIX</w:t>
      </w:r>
      <w:bookmarkEnd w:id="65"/>
    </w:p>
    <w:p w14:paraId="4F196D52" w14:textId="7BEF2DA6" w:rsidR="00797921" w:rsidRDefault="00797921" w:rsidP="00797921">
      <w:pPr>
        <w:pStyle w:val="BodyText"/>
      </w:pPr>
      <w:r>
        <w:t xml:space="preserve">The plural form of </w:t>
      </w:r>
      <w:r w:rsidR="00766033">
        <w:t>"</w:t>
      </w:r>
      <w:r>
        <w:t>appendix</w:t>
      </w:r>
      <w:r w:rsidR="00766033">
        <w:t>"</w:t>
      </w:r>
      <w:r>
        <w:t xml:space="preserve"> may be either </w:t>
      </w:r>
      <w:r w:rsidR="00766033">
        <w:t>"</w:t>
      </w:r>
      <w:r>
        <w:t>appendixes</w:t>
      </w:r>
      <w:r w:rsidR="00766033">
        <w:t>"</w:t>
      </w:r>
      <w:r>
        <w:t xml:space="preserve"> or </w:t>
      </w:r>
      <w:r w:rsidR="00766033">
        <w:t>"</w:t>
      </w:r>
      <w:r>
        <w:t>appendices.</w:t>
      </w:r>
      <w:r w:rsidR="00766033">
        <w:t>"</w:t>
      </w:r>
      <w:r>
        <w:t xml:space="preserve"> The dictionary followed by APA 6th (Merriam-Webster</w:t>
      </w:r>
      <w:r w:rsidR="00766033">
        <w:t>'</w:t>
      </w:r>
      <w:r>
        <w:t xml:space="preserve">s Collegiate Dictionary, 2005) shows </w:t>
      </w:r>
      <w:r w:rsidR="00766033">
        <w:t>"</w:t>
      </w:r>
      <w:r>
        <w:t>appendixes</w:t>
      </w:r>
      <w:r w:rsidR="00766033">
        <w:t>"</w:t>
      </w:r>
      <w:r>
        <w:t xml:space="preserve">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 xml:space="preserve">Side margins of an appendix may be narrowed to accommodate a data table, but reducing the size of the table is generally preferred. If the size of a figure or historical </w:t>
      </w:r>
      <w:r>
        <w:lastRenderedPageBreak/>
        <w:t>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66" w:name="_Toc486409283"/>
      <w:r w:rsidR="009E01E5">
        <w:t>[Common Appendixes</w:t>
      </w:r>
      <w:r>
        <w:t xml:space="preserve"> in Quantitative Dissertations</w:t>
      </w:r>
      <w:r w:rsidR="009E01E5">
        <w:t>]</w:t>
      </w:r>
      <w:bookmarkEnd w:id="66"/>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eastAsia="Times New Roman" w:cs="Times New Roman"/>
        </w:rPr>
      </w:pPr>
      <w:r>
        <w:br w:type="page"/>
      </w:r>
    </w:p>
    <w:p w14:paraId="18E59298" w14:textId="570C7CC2" w:rsidR="009E01E5" w:rsidRPr="00400465" w:rsidRDefault="009E01E5" w:rsidP="009258A7">
      <w:pPr>
        <w:pStyle w:val="APALevel1"/>
      </w:pPr>
      <w:bookmarkStart w:id="67" w:name="_Toc486409284"/>
      <w:r w:rsidRPr="00400465">
        <w:lastRenderedPageBreak/>
        <w:t>CURRICULUM VITAE</w:t>
      </w:r>
      <w:bookmarkEnd w:id="67"/>
    </w:p>
    <w:p w14:paraId="3A3591E2" w14:textId="77777777" w:rsidR="00797921" w:rsidRDefault="00797921" w:rsidP="00797921">
      <w:pPr>
        <w:pStyle w:val="BodyText"/>
      </w:pPr>
      <w:r>
        <w:t xml:space="preserve">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w:t>
      </w:r>
      <w:r>
        <w:lastRenderedPageBreak/>
        <w:t>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cs="Times New Roman"/>
        </w:rPr>
      </w:pPr>
    </w:p>
    <w:p w14:paraId="216964CA" w14:textId="77777777" w:rsidR="009E01E5" w:rsidRDefault="009E01E5" w:rsidP="009E01E5">
      <w:pPr>
        <w:rPr>
          <w:rFonts w:cs="Times New Roman"/>
        </w:rPr>
      </w:pPr>
    </w:p>
    <w:p w14:paraId="634C6343" w14:textId="77777777" w:rsidR="009E01E5" w:rsidRDefault="009E01E5" w:rsidP="009E01E5">
      <w:pPr>
        <w:rPr>
          <w:rFonts w:cs="Times New Roman"/>
        </w:rPr>
      </w:pPr>
    </w:p>
    <w:p w14:paraId="0488DEEE" w14:textId="77777777" w:rsidR="009E01E5" w:rsidRDefault="009E01E5" w:rsidP="009E01E5">
      <w:pPr>
        <w:rPr>
          <w:rFonts w:cs="Times New Roman"/>
        </w:rPr>
      </w:pPr>
    </w:p>
    <w:p w14:paraId="11DCFEEB" w14:textId="77777777" w:rsidR="009E01E5" w:rsidRDefault="009E01E5" w:rsidP="009E01E5">
      <w:pPr>
        <w:rPr>
          <w:rFonts w:cs="Times New Roman"/>
        </w:rPr>
      </w:pPr>
    </w:p>
    <w:p w14:paraId="662C4886" w14:textId="77777777" w:rsidR="009E01E5" w:rsidRDefault="009E01E5" w:rsidP="009E01E5">
      <w:pPr>
        <w:rPr>
          <w:rFonts w:cs="Times New Roman"/>
        </w:rPr>
      </w:pPr>
    </w:p>
    <w:p w14:paraId="4BE71DA3" w14:textId="77777777" w:rsidR="009E01E5" w:rsidRDefault="009E01E5" w:rsidP="009E01E5">
      <w:pPr>
        <w:rPr>
          <w:rFonts w:cs="Times New Roman"/>
        </w:rPr>
      </w:pPr>
    </w:p>
    <w:p w14:paraId="7C68D1B3" w14:textId="77777777" w:rsidR="009E01E5" w:rsidRDefault="009E01E5" w:rsidP="009E01E5">
      <w:pPr>
        <w:rPr>
          <w:rFonts w:cs="Times New Roman"/>
        </w:rPr>
      </w:pPr>
    </w:p>
    <w:p w14:paraId="5C41B7E9" w14:textId="77777777" w:rsidR="009E01E5" w:rsidRDefault="009E01E5" w:rsidP="009E01E5">
      <w:pPr>
        <w:rPr>
          <w:rFonts w:cs="Times New Roman"/>
        </w:rPr>
      </w:pPr>
    </w:p>
    <w:p w14:paraId="60395775" w14:textId="77777777" w:rsidR="009E01E5" w:rsidRDefault="009E01E5" w:rsidP="009E01E5">
      <w:pPr>
        <w:rPr>
          <w:rFonts w:cs="Times New Roman"/>
        </w:rPr>
      </w:pPr>
    </w:p>
    <w:p w14:paraId="12DD2056" w14:textId="77777777" w:rsidR="009E01E5" w:rsidRDefault="009E01E5" w:rsidP="009E01E5">
      <w:pPr>
        <w:rPr>
          <w:rFonts w:cs="Times New Roman"/>
        </w:rPr>
      </w:pPr>
    </w:p>
    <w:p w14:paraId="482E4E3F" w14:textId="77777777" w:rsidR="009E01E5" w:rsidRDefault="009E01E5" w:rsidP="009E01E5">
      <w:pPr>
        <w:rPr>
          <w:rFonts w:cs="Times New Roman"/>
        </w:rPr>
      </w:pPr>
    </w:p>
    <w:p w14:paraId="337C99E9" w14:textId="77777777" w:rsidR="009E01E5" w:rsidRDefault="009E01E5" w:rsidP="009E01E5">
      <w:pPr>
        <w:rPr>
          <w:rFonts w:cs="Times New Roman"/>
        </w:rPr>
      </w:pPr>
    </w:p>
    <w:p w14:paraId="4E293D03" w14:textId="77777777" w:rsidR="009E01E5" w:rsidRDefault="009E01E5" w:rsidP="009E01E5">
      <w:pPr>
        <w:rPr>
          <w:rFonts w:cs="Times New Roman"/>
        </w:rPr>
      </w:pPr>
    </w:p>
    <w:p w14:paraId="1F166CDD" w14:textId="77777777" w:rsidR="009E01E5" w:rsidRDefault="009E01E5" w:rsidP="009E01E5">
      <w:pPr>
        <w:rPr>
          <w:rFonts w:cs="Times New Roman"/>
        </w:rPr>
      </w:pPr>
    </w:p>
    <w:p w14:paraId="3A5B2CC8" w14:textId="77777777" w:rsidR="009E01E5" w:rsidRDefault="009E01E5" w:rsidP="009E01E5">
      <w:pPr>
        <w:rPr>
          <w:rFonts w:cs="Times New Roman"/>
        </w:rPr>
      </w:pPr>
    </w:p>
    <w:p w14:paraId="56D1CDF8" w14:textId="77777777" w:rsidR="009E01E5" w:rsidRDefault="009E01E5" w:rsidP="009E01E5">
      <w:pPr>
        <w:rPr>
          <w:rFonts w:cs="Times New Roman"/>
        </w:rPr>
      </w:pPr>
    </w:p>
    <w:p w14:paraId="49D790B7" w14:textId="77777777" w:rsidR="009E01E5" w:rsidRDefault="009E01E5" w:rsidP="009E01E5">
      <w:pPr>
        <w:rPr>
          <w:rFonts w:cs="Times New Roman"/>
        </w:rPr>
      </w:pPr>
    </w:p>
    <w:p w14:paraId="6DD78C5A" w14:textId="77777777" w:rsidR="009E01E5" w:rsidRDefault="009E01E5" w:rsidP="009E01E5">
      <w:pPr>
        <w:rPr>
          <w:rFonts w:cs="Times New Roman"/>
        </w:rPr>
      </w:pPr>
    </w:p>
    <w:p w14:paraId="01304AAA" w14:textId="77777777" w:rsidR="009E01E5" w:rsidRDefault="009E01E5" w:rsidP="009E01E5">
      <w:pPr>
        <w:rPr>
          <w:rFonts w:cs="Times New Roman"/>
        </w:rPr>
      </w:pPr>
    </w:p>
    <w:p w14:paraId="34AD19E0" w14:textId="77777777" w:rsidR="009E01E5" w:rsidRDefault="009E01E5" w:rsidP="009E01E5">
      <w:pPr>
        <w:rPr>
          <w:rFonts w:cs="Times New Roman"/>
        </w:rPr>
      </w:pPr>
    </w:p>
    <w:p w14:paraId="6FC6701A" w14:textId="77777777" w:rsidR="009E01E5" w:rsidRDefault="009E01E5" w:rsidP="009E01E5">
      <w:pPr>
        <w:rPr>
          <w:rFonts w:cs="Times New Roman"/>
        </w:rPr>
      </w:pPr>
    </w:p>
    <w:p w14:paraId="2AC796F6" w14:textId="07A5CB22" w:rsidR="00D108FC" w:rsidRDefault="00D108FC" w:rsidP="009258A7">
      <w:pPr>
        <w:pStyle w:val="APALevel3"/>
      </w:pPr>
      <w:bookmarkStart w:id="68" w:name="_Toc267010738"/>
      <w:bookmarkStart w:id="69" w:name="_Toc486409285"/>
      <w:r>
        <w:t>[Example Table]</w:t>
      </w:r>
      <w:bookmarkEnd w:id="68"/>
      <w:bookmarkEnd w:id="69"/>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sectPr w:rsidR="00D108FC" w:rsidRPr="00D00BD3" w:rsidSect="009E01E5">
      <w:footerReference w:type="default" r:id="rId82"/>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B513" w14:textId="77777777" w:rsidR="002D6596" w:rsidRDefault="002D6596" w:rsidP="005E5B08">
      <w:r>
        <w:separator/>
      </w:r>
    </w:p>
    <w:p w14:paraId="32BA6C53" w14:textId="77777777" w:rsidR="002D6596" w:rsidRDefault="002D6596"/>
    <w:p w14:paraId="34DA7E80" w14:textId="77777777" w:rsidR="002D6596" w:rsidRDefault="002D6596"/>
  </w:endnote>
  <w:endnote w:type="continuationSeparator" w:id="0">
    <w:p w14:paraId="0554EA3E" w14:textId="77777777" w:rsidR="002D6596" w:rsidRDefault="002D6596" w:rsidP="005E5B08">
      <w:r>
        <w:continuationSeparator/>
      </w:r>
    </w:p>
    <w:p w14:paraId="25AAF549" w14:textId="77777777" w:rsidR="002D6596" w:rsidRDefault="002D6596"/>
    <w:p w14:paraId="2A90C42B" w14:textId="77777777" w:rsidR="002D6596" w:rsidRDefault="002D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F3F">
      <w:rPr>
        <w:rStyle w:val="PageNumber"/>
        <w:noProof/>
      </w:rPr>
      <w:t>vi</w:t>
    </w:r>
    <w:r>
      <w:rPr>
        <w:rStyle w:val="PageNumber"/>
      </w:rPr>
      <w:fldChar w:fldCharType="end"/>
    </w:r>
  </w:p>
  <w:p w14:paraId="6EE2BFBD" w14:textId="77777777" w:rsidR="009258A7" w:rsidRDefault="009258A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Pr="009821D2" w:rsidRDefault="009258A7" w:rsidP="009821D2">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7735" w14:textId="77777777" w:rsidR="002D6596" w:rsidRDefault="002D6596" w:rsidP="005E5B08">
      <w:r>
        <w:separator/>
      </w:r>
    </w:p>
    <w:p w14:paraId="39A6154E" w14:textId="77777777" w:rsidR="002D6596" w:rsidRDefault="002D6596"/>
    <w:p w14:paraId="338C1E4A" w14:textId="77777777" w:rsidR="002D6596" w:rsidRDefault="002D6596"/>
  </w:footnote>
  <w:footnote w:type="continuationSeparator" w:id="0">
    <w:p w14:paraId="4B068703" w14:textId="77777777" w:rsidR="002D6596" w:rsidRDefault="002D6596" w:rsidP="005E5B08">
      <w:r>
        <w:continuationSeparator/>
      </w:r>
    </w:p>
    <w:p w14:paraId="5476589A" w14:textId="77777777" w:rsidR="002D6596" w:rsidRDefault="002D6596"/>
    <w:p w14:paraId="5B31F5F8" w14:textId="77777777" w:rsidR="002D6596" w:rsidRDefault="002D6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pPr>
          <w:pStyle w:val="Header"/>
          <w:jc w:val="right"/>
        </w:pPr>
        <w:r>
          <w:fldChar w:fldCharType="begin"/>
        </w:r>
        <w:r>
          <w:instrText xml:space="preserve"> PAGE   \* MERGEFORMAT </w:instrText>
        </w:r>
        <w:r>
          <w:fldChar w:fldCharType="separate"/>
        </w:r>
        <w:r w:rsidR="004C7F3F">
          <w:rPr>
            <w:noProof/>
          </w:rPr>
          <w:t>7</w:t>
        </w:r>
        <w:r>
          <w:rPr>
            <w:noProof/>
          </w:rPr>
          <w:fldChar w:fldCharType="end"/>
        </w:r>
      </w:p>
    </w:sdtContent>
  </w:sdt>
  <w:p w14:paraId="5F483A3E" w14:textId="77777777" w:rsidR="009258A7" w:rsidRDefault="009258A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842AB"/>
    <w:multiLevelType w:val="hybridMultilevel"/>
    <w:tmpl w:val="BE9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087A93"/>
    <w:multiLevelType w:val="hybridMultilevel"/>
    <w:tmpl w:val="6ED2F784"/>
    <w:lvl w:ilvl="0" w:tplc="3C0AC11A">
      <w:start w:val="1"/>
      <w:numFmt w:val="bullet"/>
      <w:lvlText w:val="•"/>
      <w:lvlJc w:val="left"/>
      <w:pPr>
        <w:tabs>
          <w:tab w:val="num" w:pos="720"/>
        </w:tabs>
        <w:ind w:left="720" w:hanging="360"/>
      </w:pPr>
      <w:rPr>
        <w:rFonts w:ascii="Arial" w:hAnsi="Arial" w:hint="default"/>
      </w:rPr>
    </w:lvl>
    <w:lvl w:ilvl="1" w:tplc="AD866B62">
      <w:numFmt w:val="bullet"/>
      <w:lvlText w:val="•"/>
      <w:lvlJc w:val="left"/>
      <w:pPr>
        <w:tabs>
          <w:tab w:val="num" w:pos="1440"/>
        </w:tabs>
        <w:ind w:left="1440" w:hanging="360"/>
      </w:pPr>
      <w:rPr>
        <w:rFonts w:ascii="Arial" w:hAnsi="Arial" w:hint="default"/>
      </w:rPr>
    </w:lvl>
    <w:lvl w:ilvl="2" w:tplc="0204C20C" w:tentative="1">
      <w:start w:val="1"/>
      <w:numFmt w:val="bullet"/>
      <w:lvlText w:val="•"/>
      <w:lvlJc w:val="left"/>
      <w:pPr>
        <w:tabs>
          <w:tab w:val="num" w:pos="2160"/>
        </w:tabs>
        <w:ind w:left="2160" w:hanging="360"/>
      </w:pPr>
      <w:rPr>
        <w:rFonts w:ascii="Arial" w:hAnsi="Arial" w:hint="default"/>
      </w:rPr>
    </w:lvl>
    <w:lvl w:ilvl="3" w:tplc="F7A4DE68" w:tentative="1">
      <w:start w:val="1"/>
      <w:numFmt w:val="bullet"/>
      <w:lvlText w:val="•"/>
      <w:lvlJc w:val="left"/>
      <w:pPr>
        <w:tabs>
          <w:tab w:val="num" w:pos="2880"/>
        </w:tabs>
        <w:ind w:left="2880" w:hanging="360"/>
      </w:pPr>
      <w:rPr>
        <w:rFonts w:ascii="Arial" w:hAnsi="Arial" w:hint="default"/>
      </w:rPr>
    </w:lvl>
    <w:lvl w:ilvl="4" w:tplc="E4A4187A" w:tentative="1">
      <w:start w:val="1"/>
      <w:numFmt w:val="bullet"/>
      <w:lvlText w:val="•"/>
      <w:lvlJc w:val="left"/>
      <w:pPr>
        <w:tabs>
          <w:tab w:val="num" w:pos="3600"/>
        </w:tabs>
        <w:ind w:left="3600" w:hanging="360"/>
      </w:pPr>
      <w:rPr>
        <w:rFonts w:ascii="Arial" w:hAnsi="Arial" w:hint="default"/>
      </w:rPr>
    </w:lvl>
    <w:lvl w:ilvl="5" w:tplc="4630272C" w:tentative="1">
      <w:start w:val="1"/>
      <w:numFmt w:val="bullet"/>
      <w:lvlText w:val="•"/>
      <w:lvlJc w:val="left"/>
      <w:pPr>
        <w:tabs>
          <w:tab w:val="num" w:pos="4320"/>
        </w:tabs>
        <w:ind w:left="4320" w:hanging="360"/>
      </w:pPr>
      <w:rPr>
        <w:rFonts w:ascii="Arial" w:hAnsi="Arial" w:hint="default"/>
      </w:rPr>
    </w:lvl>
    <w:lvl w:ilvl="6" w:tplc="09CE7B6E" w:tentative="1">
      <w:start w:val="1"/>
      <w:numFmt w:val="bullet"/>
      <w:lvlText w:val="•"/>
      <w:lvlJc w:val="left"/>
      <w:pPr>
        <w:tabs>
          <w:tab w:val="num" w:pos="5040"/>
        </w:tabs>
        <w:ind w:left="5040" w:hanging="360"/>
      </w:pPr>
      <w:rPr>
        <w:rFonts w:ascii="Arial" w:hAnsi="Arial" w:hint="default"/>
      </w:rPr>
    </w:lvl>
    <w:lvl w:ilvl="7" w:tplc="D28CF52A" w:tentative="1">
      <w:start w:val="1"/>
      <w:numFmt w:val="bullet"/>
      <w:lvlText w:val="•"/>
      <w:lvlJc w:val="left"/>
      <w:pPr>
        <w:tabs>
          <w:tab w:val="num" w:pos="5760"/>
        </w:tabs>
        <w:ind w:left="5760" w:hanging="360"/>
      </w:pPr>
      <w:rPr>
        <w:rFonts w:ascii="Arial" w:hAnsi="Arial" w:hint="default"/>
      </w:rPr>
    </w:lvl>
    <w:lvl w:ilvl="8" w:tplc="D35AC4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8621458">
    <w:abstractNumId w:val="1"/>
  </w:num>
  <w:num w:numId="2" w16cid:durableId="1975400925">
    <w:abstractNumId w:val="17"/>
  </w:num>
  <w:num w:numId="3" w16cid:durableId="811022618">
    <w:abstractNumId w:val="8"/>
  </w:num>
  <w:num w:numId="4" w16cid:durableId="854151880">
    <w:abstractNumId w:val="14"/>
  </w:num>
  <w:num w:numId="5" w16cid:durableId="755059349">
    <w:abstractNumId w:val="13"/>
  </w:num>
  <w:num w:numId="6" w16cid:durableId="1225067944">
    <w:abstractNumId w:val="12"/>
  </w:num>
  <w:num w:numId="7" w16cid:durableId="547886357">
    <w:abstractNumId w:val="5"/>
  </w:num>
  <w:num w:numId="8" w16cid:durableId="793259039">
    <w:abstractNumId w:val="3"/>
  </w:num>
  <w:num w:numId="9" w16cid:durableId="1942908044">
    <w:abstractNumId w:val="11"/>
  </w:num>
  <w:num w:numId="10" w16cid:durableId="1360933519">
    <w:abstractNumId w:val="2"/>
  </w:num>
  <w:num w:numId="11" w16cid:durableId="1921717821">
    <w:abstractNumId w:val="18"/>
  </w:num>
  <w:num w:numId="12" w16cid:durableId="499658260">
    <w:abstractNumId w:val="0"/>
  </w:num>
  <w:num w:numId="13" w16cid:durableId="280234186">
    <w:abstractNumId w:val="4"/>
  </w:num>
  <w:num w:numId="14" w16cid:durableId="1517767795">
    <w:abstractNumId w:val="6"/>
  </w:num>
  <w:num w:numId="15" w16cid:durableId="1839493825">
    <w:abstractNumId w:val="7"/>
  </w:num>
  <w:num w:numId="16" w16cid:durableId="355738130">
    <w:abstractNumId w:val="16"/>
  </w:num>
  <w:num w:numId="17" w16cid:durableId="356390024">
    <w:abstractNumId w:val="9"/>
  </w:num>
  <w:num w:numId="18" w16cid:durableId="1383825042">
    <w:abstractNumId w:val="19"/>
  </w:num>
  <w:num w:numId="19" w16cid:durableId="761144570">
    <w:abstractNumId w:val="15"/>
  </w:num>
  <w:num w:numId="20" w16cid:durableId="18472839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Mq8FAGoMNH0tAAAA"/>
  </w:docVars>
  <w:rsids>
    <w:rsidRoot w:val="001706E3"/>
    <w:rsid w:val="00003904"/>
    <w:rsid w:val="00010FF9"/>
    <w:rsid w:val="00023354"/>
    <w:rsid w:val="000252F8"/>
    <w:rsid w:val="000454AF"/>
    <w:rsid w:val="00047CB7"/>
    <w:rsid w:val="0005001E"/>
    <w:rsid w:val="000524E7"/>
    <w:rsid w:val="000617CC"/>
    <w:rsid w:val="0006443A"/>
    <w:rsid w:val="00064828"/>
    <w:rsid w:val="000652E2"/>
    <w:rsid w:val="00066326"/>
    <w:rsid w:val="00076280"/>
    <w:rsid w:val="000803A5"/>
    <w:rsid w:val="00082936"/>
    <w:rsid w:val="00092B3E"/>
    <w:rsid w:val="000A0789"/>
    <w:rsid w:val="000A3C84"/>
    <w:rsid w:val="000A5FDE"/>
    <w:rsid w:val="000B223C"/>
    <w:rsid w:val="000B26A2"/>
    <w:rsid w:val="000B2D37"/>
    <w:rsid w:val="000C2790"/>
    <w:rsid w:val="000C34B5"/>
    <w:rsid w:val="000D1CBC"/>
    <w:rsid w:val="000D7304"/>
    <w:rsid w:val="000D7572"/>
    <w:rsid w:val="000E537A"/>
    <w:rsid w:val="000E6542"/>
    <w:rsid w:val="000E7A5D"/>
    <w:rsid w:val="000F01DC"/>
    <w:rsid w:val="000F04D8"/>
    <w:rsid w:val="000F06A7"/>
    <w:rsid w:val="000F15EB"/>
    <w:rsid w:val="000F5679"/>
    <w:rsid w:val="00100095"/>
    <w:rsid w:val="00100A4D"/>
    <w:rsid w:val="00103430"/>
    <w:rsid w:val="00105EDF"/>
    <w:rsid w:val="00110BB8"/>
    <w:rsid w:val="00112AAE"/>
    <w:rsid w:val="00117143"/>
    <w:rsid w:val="0011722B"/>
    <w:rsid w:val="00120619"/>
    <w:rsid w:val="00122437"/>
    <w:rsid w:val="00124658"/>
    <w:rsid w:val="001257D0"/>
    <w:rsid w:val="001406D9"/>
    <w:rsid w:val="0014307E"/>
    <w:rsid w:val="00150284"/>
    <w:rsid w:val="00151643"/>
    <w:rsid w:val="00162C4E"/>
    <w:rsid w:val="00162D87"/>
    <w:rsid w:val="00166145"/>
    <w:rsid w:val="00166B01"/>
    <w:rsid w:val="00167DD1"/>
    <w:rsid w:val="001706E3"/>
    <w:rsid w:val="00170A9E"/>
    <w:rsid w:val="0017187E"/>
    <w:rsid w:val="001778AF"/>
    <w:rsid w:val="001832C1"/>
    <w:rsid w:val="00184AEA"/>
    <w:rsid w:val="00185E25"/>
    <w:rsid w:val="00192DEA"/>
    <w:rsid w:val="00193069"/>
    <w:rsid w:val="00193DAC"/>
    <w:rsid w:val="001966CD"/>
    <w:rsid w:val="00197C47"/>
    <w:rsid w:val="001A6DA4"/>
    <w:rsid w:val="001A7533"/>
    <w:rsid w:val="001B3623"/>
    <w:rsid w:val="001B43EB"/>
    <w:rsid w:val="001C1A2A"/>
    <w:rsid w:val="001C29EC"/>
    <w:rsid w:val="001C60C0"/>
    <w:rsid w:val="001C6FBE"/>
    <w:rsid w:val="001C75D4"/>
    <w:rsid w:val="001D118F"/>
    <w:rsid w:val="001D26DA"/>
    <w:rsid w:val="001D2FBA"/>
    <w:rsid w:val="001D5A87"/>
    <w:rsid w:val="001E3F36"/>
    <w:rsid w:val="001E4B1C"/>
    <w:rsid w:val="001F042B"/>
    <w:rsid w:val="001F796B"/>
    <w:rsid w:val="00202BEA"/>
    <w:rsid w:val="00203B1F"/>
    <w:rsid w:val="002066C8"/>
    <w:rsid w:val="0020771C"/>
    <w:rsid w:val="00221FFE"/>
    <w:rsid w:val="00224B2B"/>
    <w:rsid w:val="002335B4"/>
    <w:rsid w:val="00237C22"/>
    <w:rsid w:val="00242678"/>
    <w:rsid w:val="00246182"/>
    <w:rsid w:val="002474F7"/>
    <w:rsid w:val="00250090"/>
    <w:rsid w:val="0025111D"/>
    <w:rsid w:val="00251694"/>
    <w:rsid w:val="0025554E"/>
    <w:rsid w:val="00257306"/>
    <w:rsid w:val="00257E25"/>
    <w:rsid w:val="002638F7"/>
    <w:rsid w:val="00264CDF"/>
    <w:rsid w:val="0026746E"/>
    <w:rsid w:val="002674D3"/>
    <w:rsid w:val="00275831"/>
    <w:rsid w:val="00281FCE"/>
    <w:rsid w:val="00282415"/>
    <w:rsid w:val="00291BFE"/>
    <w:rsid w:val="0029428F"/>
    <w:rsid w:val="002942ED"/>
    <w:rsid w:val="00294E7C"/>
    <w:rsid w:val="002A4725"/>
    <w:rsid w:val="002B0A23"/>
    <w:rsid w:val="002B599E"/>
    <w:rsid w:val="002C49A0"/>
    <w:rsid w:val="002D0BD8"/>
    <w:rsid w:val="002D0D3F"/>
    <w:rsid w:val="002D177B"/>
    <w:rsid w:val="002D35FB"/>
    <w:rsid w:val="002D6596"/>
    <w:rsid w:val="002D6F5A"/>
    <w:rsid w:val="002E2144"/>
    <w:rsid w:val="002E5812"/>
    <w:rsid w:val="002E5D33"/>
    <w:rsid w:val="002F08A4"/>
    <w:rsid w:val="002F09AC"/>
    <w:rsid w:val="002F0C64"/>
    <w:rsid w:val="002F7306"/>
    <w:rsid w:val="00307DF7"/>
    <w:rsid w:val="0031031A"/>
    <w:rsid w:val="00314143"/>
    <w:rsid w:val="003150FF"/>
    <w:rsid w:val="00315B3F"/>
    <w:rsid w:val="003167A7"/>
    <w:rsid w:val="00325F1C"/>
    <w:rsid w:val="00325FB8"/>
    <w:rsid w:val="003263B2"/>
    <w:rsid w:val="003263DF"/>
    <w:rsid w:val="0033192A"/>
    <w:rsid w:val="00340367"/>
    <w:rsid w:val="003416B3"/>
    <w:rsid w:val="003448ED"/>
    <w:rsid w:val="003564AC"/>
    <w:rsid w:val="00360B3C"/>
    <w:rsid w:val="00377300"/>
    <w:rsid w:val="003845D0"/>
    <w:rsid w:val="00385F54"/>
    <w:rsid w:val="0039379F"/>
    <w:rsid w:val="0039613A"/>
    <w:rsid w:val="00397387"/>
    <w:rsid w:val="00397752"/>
    <w:rsid w:val="003A00B9"/>
    <w:rsid w:val="003A36AD"/>
    <w:rsid w:val="003A4681"/>
    <w:rsid w:val="003B3079"/>
    <w:rsid w:val="003B3FEE"/>
    <w:rsid w:val="003B532E"/>
    <w:rsid w:val="003C0AB8"/>
    <w:rsid w:val="003C3CAE"/>
    <w:rsid w:val="003C5F46"/>
    <w:rsid w:val="003C73A7"/>
    <w:rsid w:val="003D455F"/>
    <w:rsid w:val="003D5875"/>
    <w:rsid w:val="003D6D09"/>
    <w:rsid w:val="003D7218"/>
    <w:rsid w:val="003E3724"/>
    <w:rsid w:val="003F4E1A"/>
    <w:rsid w:val="003F50ED"/>
    <w:rsid w:val="00400465"/>
    <w:rsid w:val="00401187"/>
    <w:rsid w:val="00404F02"/>
    <w:rsid w:val="00413313"/>
    <w:rsid w:val="004137C2"/>
    <w:rsid w:val="00416C8B"/>
    <w:rsid w:val="0041766B"/>
    <w:rsid w:val="004263F7"/>
    <w:rsid w:val="0044284F"/>
    <w:rsid w:val="00445FE1"/>
    <w:rsid w:val="00451E7C"/>
    <w:rsid w:val="00457B7B"/>
    <w:rsid w:val="004742DA"/>
    <w:rsid w:val="004769A9"/>
    <w:rsid w:val="00483E4D"/>
    <w:rsid w:val="0048434A"/>
    <w:rsid w:val="00485E6C"/>
    <w:rsid w:val="00487956"/>
    <w:rsid w:val="00492D09"/>
    <w:rsid w:val="004960A1"/>
    <w:rsid w:val="004A3428"/>
    <w:rsid w:val="004A3D5A"/>
    <w:rsid w:val="004A5D7B"/>
    <w:rsid w:val="004B6A48"/>
    <w:rsid w:val="004C176C"/>
    <w:rsid w:val="004C78DB"/>
    <w:rsid w:val="004C7F3F"/>
    <w:rsid w:val="004D4C85"/>
    <w:rsid w:val="004E3931"/>
    <w:rsid w:val="004E7E72"/>
    <w:rsid w:val="004F30AC"/>
    <w:rsid w:val="004F57E2"/>
    <w:rsid w:val="00501FF2"/>
    <w:rsid w:val="00517A2E"/>
    <w:rsid w:val="00526FDE"/>
    <w:rsid w:val="005279ED"/>
    <w:rsid w:val="00534F9B"/>
    <w:rsid w:val="00536BDC"/>
    <w:rsid w:val="00537102"/>
    <w:rsid w:val="0054128C"/>
    <w:rsid w:val="00562F53"/>
    <w:rsid w:val="00563552"/>
    <w:rsid w:val="00566C85"/>
    <w:rsid w:val="00571D4C"/>
    <w:rsid w:val="00572B1B"/>
    <w:rsid w:val="00575E55"/>
    <w:rsid w:val="00577FFB"/>
    <w:rsid w:val="00586CDB"/>
    <w:rsid w:val="00590F2D"/>
    <w:rsid w:val="00593D23"/>
    <w:rsid w:val="00596481"/>
    <w:rsid w:val="00596653"/>
    <w:rsid w:val="00596C85"/>
    <w:rsid w:val="0059711F"/>
    <w:rsid w:val="005A0B52"/>
    <w:rsid w:val="005B24D7"/>
    <w:rsid w:val="005C2A39"/>
    <w:rsid w:val="005C70EC"/>
    <w:rsid w:val="005C7BE9"/>
    <w:rsid w:val="005D12DA"/>
    <w:rsid w:val="005D1A80"/>
    <w:rsid w:val="005D217A"/>
    <w:rsid w:val="005D263F"/>
    <w:rsid w:val="005D4845"/>
    <w:rsid w:val="005D65B6"/>
    <w:rsid w:val="005E4B45"/>
    <w:rsid w:val="005E5B08"/>
    <w:rsid w:val="005F13F4"/>
    <w:rsid w:val="00600307"/>
    <w:rsid w:val="006008ED"/>
    <w:rsid w:val="006039AD"/>
    <w:rsid w:val="00612E19"/>
    <w:rsid w:val="00613591"/>
    <w:rsid w:val="00613C4B"/>
    <w:rsid w:val="0062632C"/>
    <w:rsid w:val="00635AE6"/>
    <w:rsid w:val="006504A4"/>
    <w:rsid w:val="00654B21"/>
    <w:rsid w:val="00656094"/>
    <w:rsid w:val="00657984"/>
    <w:rsid w:val="0066062A"/>
    <w:rsid w:val="00660EDC"/>
    <w:rsid w:val="00664056"/>
    <w:rsid w:val="00672DD8"/>
    <w:rsid w:val="006738B2"/>
    <w:rsid w:val="00676316"/>
    <w:rsid w:val="006802A0"/>
    <w:rsid w:val="00680CA7"/>
    <w:rsid w:val="006826BD"/>
    <w:rsid w:val="00692058"/>
    <w:rsid w:val="006925FD"/>
    <w:rsid w:val="006969E5"/>
    <w:rsid w:val="006973DF"/>
    <w:rsid w:val="006A0963"/>
    <w:rsid w:val="006A32F4"/>
    <w:rsid w:val="006A6C1A"/>
    <w:rsid w:val="006A71DE"/>
    <w:rsid w:val="006B0281"/>
    <w:rsid w:val="006B2CF9"/>
    <w:rsid w:val="006B2D7E"/>
    <w:rsid w:val="006B6E7E"/>
    <w:rsid w:val="006B7C61"/>
    <w:rsid w:val="006C043E"/>
    <w:rsid w:val="006C406F"/>
    <w:rsid w:val="006C4DAD"/>
    <w:rsid w:val="006D0A2C"/>
    <w:rsid w:val="006D2CDD"/>
    <w:rsid w:val="006D512C"/>
    <w:rsid w:val="006D69E8"/>
    <w:rsid w:val="006E7A78"/>
    <w:rsid w:val="006F2F70"/>
    <w:rsid w:val="006F419C"/>
    <w:rsid w:val="00701662"/>
    <w:rsid w:val="007016F3"/>
    <w:rsid w:val="00701AC9"/>
    <w:rsid w:val="0070531E"/>
    <w:rsid w:val="00707230"/>
    <w:rsid w:val="00710FF7"/>
    <w:rsid w:val="0071238E"/>
    <w:rsid w:val="0072456D"/>
    <w:rsid w:val="00727B64"/>
    <w:rsid w:val="0073725B"/>
    <w:rsid w:val="00740A8A"/>
    <w:rsid w:val="00742571"/>
    <w:rsid w:val="00744560"/>
    <w:rsid w:val="007464E4"/>
    <w:rsid w:val="00747833"/>
    <w:rsid w:val="00750F83"/>
    <w:rsid w:val="00752C60"/>
    <w:rsid w:val="00753E5B"/>
    <w:rsid w:val="007540EF"/>
    <w:rsid w:val="0075744D"/>
    <w:rsid w:val="00766033"/>
    <w:rsid w:val="00770EE4"/>
    <w:rsid w:val="00774A40"/>
    <w:rsid w:val="00775E13"/>
    <w:rsid w:val="00776E7D"/>
    <w:rsid w:val="00781EFC"/>
    <w:rsid w:val="007823F4"/>
    <w:rsid w:val="00783252"/>
    <w:rsid w:val="00783551"/>
    <w:rsid w:val="00785412"/>
    <w:rsid w:val="00785E2D"/>
    <w:rsid w:val="0079063B"/>
    <w:rsid w:val="00791E35"/>
    <w:rsid w:val="007949FC"/>
    <w:rsid w:val="007950C8"/>
    <w:rsid w:val="00797921"/>
    <w:rsid w:val="007A097D"/>
    <w:rsid w:val="007A192B"/>
    <w:rsid w:val="007B0799"/>
    <w:rsid w:val="007B3983"/>
    <w:rsid w:val="007B47B9"/>
    <w:rsid w:val="007C04F2"/>
    <w:rsid w:val="007C27D0"/>
    <w:rsid w:val="007D2412"/>
    <w:rsid w:val="007D4D9D"/>
    <w:rsid w:val="007D58C2"/>
    <w:rsid w:val="007E0052"/>
    <w:rsid w:val="007E57C9"/>
    <w:rsid w:val="007F1BB4"/>
    <w:rsid w:val="007F2F0D"/>
    <w:rsid w:val="008017A6"/>
    <w:rsid w:val="008038B4"/>
    <w:rsid w:val="0080520A"/>
    <w:rsid w:val="0081011B"/>
    <w:rsid w:val="008111C7"/>
    <w:rsid w:val="00813DD5"/>
    <w:rsid w:val="008147ED"/>
    <w:rsid w:val="008161EC"/>
    <w:rsid w:val="0081711F"/>
    <w:rsid w:val="008202E4"/>
    <w:rsid w:val="00820331"/>
    <w:rsid w:val="00823F5F"/>
    <w:rsid w:val="00826161"/>
    <w:rsid w:val="00835082"/>
    <w:rsid w:val="00835AF3"/>
    <w:rsid w:val="00836F7E"/>
    <w:rsid w:val="00837394"/>
    <w:rsid w:val="00841062"/>
    <w:rsid w:val="008455FE"/>
    <w:rsid w:val="00845791"/>
    <w:rsid w:val="00846061"/>
    <w:rsid w:val="00846E9B"/>
    <w:rsid w:val="00850090"/>
    <w:rsid w:val="00854C62"/>
    <w:rsid w:val="00856138"/>
    <w:rsid w:val="00861559"/>
    <w:rsid w:val="008648EC"/>
    <w:rsid w:val="008701A3"/>
    <w:rsid w:val="00872E3F"/>
    <w:rsid w:val="008756A8"/>
    <w:rsid w:val="00883582"/>
    <w:rsid w:val="00890CA0"/>
    <w:rsid w:val="00891574"/>
    <w:rsid w:val="008A3BB6"/>
    <w:rsid w:val="008A3CAA"/>
    <w:rsid w:val="008A4307"/>
    <w:rsid w:val="008A661B"/>
    <w:rsid w:val="008B343A"/>
    <w:rsid w:val="008C045A"/>
    <w:rsid w:val="008C300C"/>
    <w:rsid w:val="008D11D8"/>
    <w:rsid w:val="008D37FB"/>
    <w:rsid w:val="008D3C73"/>
    <w:rsid w:val="008D5114"/>
    <w:rsid w:val="008D5B63"/>
    <w:rsid w:val="008D6A7F"/>
    <w:rsid w:val="008D773F"/>
    <w:rsid w:val="008F4278"/>
    <w:rsid w:val="008F51AE"/>
    <w:rsid w:val="008F6EB4"/>
    <w:rsid w:val="008F7F72"/>
    <w:rsid w:val="00904EFD"/>
    <w:rsid w:val="0091148A"/>
    <w:rsid w:val="0091247B"/>
    <w:rsid w:val="009144F2"/>
    <w:rsid w:val="00915863"/>
    <w:rsid w:val="00916B24"/>
    <w:rsid w:val="00916E99"/>
    <w:rsid w:val="00917171"/>
    <w:rsid w:val="00925257"/>
    <w:rsid w:val="009258A7"/>
    <w:rsid w:val="00925B2B"/>
    <w:rsid w:val="0092629A"/>
    <w:rsid w:val="00931681"/>
    <w:rsid w:val="00932ACF"/>
    <w:rsid w:val="00933F34"/>
    <w:rsid w:val="00937688"/>
    <w:rsid w:val="009405D1"/>
    <w:rsid w:val="0094266A"/>
    <w:rsid w:val="009428F8"/>
    <w:rsid w:val="00945D8C"/>
    <w:rsid w:val="00946773"/>
    <w:rsid w:val="009477BE"/>
    <w:rsid w:val="009533C0"/>
    <w:rsid w:val="00960386"/>
    <w:rsid w:val="00960589"/>
    <w:rsid w:val="009632F7"/>
    <w:rsid w:val="009715D2"/>
    <w:rsid w:val="0097699A"/>
    <w:rsid w:val="009821D2"/>
    <w:rsid w:val="009914DA"/>
    <w:rsid w:val="0099441D"/>
    <w:rsid w:val="009A5DF5"/>
    <w:rsid w:val="009B459D"/>
    <w:rsid w:val="009B601F"/>
    <w:rsid w:val="009B6A5B"/>
    <w:rsid w:val="009C2993"/>
    <w:rsid w:val="009C5782"/>
    <w:rsid w:val="009C75E6"/>
    <w:rsid w:val="009D0033"/>
    <w:rsid w:val="009D7BDE"/>
    <w:rsid w:val="009E01E5"/>
    <w:rsid w:val="009E1249"/>
    <w:rsid w:val="009E1EDF"/>
    <w:rsid w:val="009F1810"/>
    <w:rsid w:val="009F1A21"/>
    <w:rsid w:val="009F5576"/>
    <w:rsid w:val="009F5B31"/>
    <w:rsid w:val="00A004A6"/>
    <w:rsid w:val="00A006E3"/>
    <w:rsid w:val="00A0471B"/>
    <w:rsid w:val="00A05D53"/>
    <w:rsid w:val="00A16F44"/>
    <w:rsid w:val="00A205D3"/>
    <w:rsid w:val="00A206D6"/>
    <w:rsid w:val="00A20DEC"/>
    <w:rsid w:val="00A20FFE"/>
    <w:rsid w:val="00A24CD0"/>
    <w:rsid w:val="00A2658C"/>
    <w:rsid w:val="00A269A6"/>
    <w:rsid w:val="00A26F93"/>
    <w:rsid w:val="00A30441"/>
    <w:rsid w:val="00A304FC"/>
    <w:rsid w:val="00A33D0D"/>
    <w:rsid w:val="00A34E06"/>
    <w:rsid w:val="00A473C1"/>
    <w:rsid w:val="00A51C01"/>
    <w:rsid w:val="00A561F5"/>
    <w:rsid w:val="00A563AE"/>
    <w:rsid w:val="00A56BC2"/>
    <w:rsid w:val="00A64775"/>
    <w:rsid w:val="00A802E9"/>
    <w:rsid w:val="00A80798"/>
    <w:rsid w:val="00A81B56"/>
    <w:rsid w:val="00A81D5B"/>
    <w:rsid w:val="00A81FD0"/>
    <w:rsid w:val="00A82605"/>
    <w:rsid w:val="00A83105"/>
    <w:rsid w:val="00A83A08"/>
    <w:rsid w:val="00A93DD3"/>
    <w:rsid w:val="00A9678F"/>
    <w:rsid w:val="00A968CB"/>
    <w:rsid w:val="00AA013F"/>
    <w:rsid w:val="00AA0195"/>
    <w:rsid w:val="00AA3ECC"/>
    <w:rsid w:val="00AA4282"/>
    <w:rsid w:val="00AB469F"/>
    <w:rsid w:val="00AB7967"/>
    <w:rsid w:val="00AC0187"/>
    <w:rsid w:val="00AC7477"/>
    <w:rsid w:val="00AD0400"/>
    <w:rsid w:val="00AD273D"/>
    <w:rsid w:val="00AD30DD"/>
    <w:rsid w:val="00AD4F30"/>
    <w:rsid w:val="00AD747B"/>
    <w:rsid w:val="00AD7B0F"/>
    <w:rsid w:val="00AE7219"/>
    <w:rsid w:val="00AF52EE"/>
    <w:rsid w:val="00AF5DCE"/>
    <w:rsid w:val="00B02991"/>
    <w:rsid w:val="00B03470"/>
    <w:rsid w:val="00B050C4"/>
    <w:rsid w:val="00B12B1C"/>
    <w:rsid w:val="00B2230F"/>
    <w:rsid w:val="00B245EA"/>
    <w:rsid w:val="00B25002"/>
    <w:rsid w:val="00B3593C"/>
    <w:rsid w:val="00B36871"/>
    <w:rsid w:val="00B674DA"/>
    <w:rsid w:val="00B720A1"/>
    <w:rsid w:val="00B831A1"/>
    <w:rsid w:val="00B8682B"/>
    <w:rsid w:val="00B86970"/>
    <w:rsid w:val="00B86B4C"/>
    <w:rsid w:val="00B90075"/>
    <w:rsid w:val="00B91575"/>
    <w:rsid w:val="00B9179F"/>
    <w:rsid w:val="00B92A2E"/>
    <w:rsid w:val="00B92DA4"/>
    <w:rsid w:val="00B94C60"/>
    <w:rsid w:val="00BA065A"/>
    <w:rsid w:val="00BA0D6B"/>
    <w:rsid w:val="00BA1633"/>
    <w:rsid w:val="00BA294A"/>
    <w:rsid w:val="00BB4378"/>
    <w:rsid w:val="00BB6F60"/>
    <w:rsid w:val="00BC0A38"/>
    <w:rsid w:val="00BC1B82"/>
    <w:rsid w:val="00BC291E"/>
    <w:rsid w:val="00BC48F1"/>
    <w:rsid w:val="00BC79A4"/>
    <w:rsid w:val="00BD2CE3"/>
    <w:rsid w:val="00BD3B64"/>
    <w:rsid w:val="00BD62B8"/>
    <w:rsid w:val="00BE162C"/>
    <w:rsid w:val="00BE6A9A"/>
    <w:rsid w:val="00BF24BF"/>
    <w:rsid w:val="00BF3772"/>
    <w:rsid w:val="00C00E23"/>
    <w:rsid w:val="00C017F8"/>
    <w:rsid w:val="00C04F4F"/>
    <w:rsid w:val="00C061B8"/>
    <w:rsid w:val="00C067B2"/>
    <w:rsid w:val="00C06D6D"/>
    <w:rsid w:val="00C0772E"/>
    <w:rsid w:val="00C07C25"/>
    <w:rsid w:val="00C11E5B"/>
    <w:rsid w:val="00C2244A"/>
    <w:rsid w:val="00C24C48"/>
    <w:rsid w:val="00C27CDB"/>
    <w:rsid w:val="00C31628"/>
    <w:rsid w:val="00C33877"/>
    <w:rsid w:val="00C344DB"/>
    <w:rsid w:val="00C36647"/>
    <w:rsid w:val="00C54477"/>
    <w:rsid w:val="00C55DAF"/>
    <w:rsid w:val="00C57FB8"/>
    <w:rsid w:val="00C61B61"/>
    <w:rsid w:val="00C622B8"/>
    <w:rsid w:val="00C62896"/>
    <w:rsid w:val="00C715FC"/>
    <w:rsid w:val="00C7176C"/>
    <w:rsid w:val="00C72C5C"/>
    <w:rsid w:val="00C768DB"/>
    <w:rsid w:val="00C77950"/>
    <w:rsid w:val="00C77A5C"/>
    <w:rsid w:val="00C81DF2"/>
    <w:rsid w:val="00C82C42"/>
    <w:rsid w:val="00C8403D"/>
    <w:rsid w:val="00C85D63"/>
    <w:rsid w:val="00C94A00"/>
    <w:rsid w:val="00CA5D3A"/>
    <w:rsid w:val="00CB0FB9"/>
    <w:rsid w:val="00CB1591"/>
    <w:rsid w:val="00CB3F4A"/>
    <w:rsid w:val="00CB4892"/>
    <w:rsid w:val="00CB52B5"/>
    <w:rsid w:val="00CB6DE6"/>
    <w:rsid w:val="00CC142C"/>
    <w:rsid w:val="00CC176B"/>
    <w:rsid w:val="00CC3100"/>
    <w:rsid w:val="00CC360E"/>
    <w:rsid w:val="00CC3FBB"/>
    <w:rsid w:val="00CC7BE9"/>
    <w:rsid w:val="00CD069C"/>
    <w:rsid w:val="00CD7D94"/>
    <w:rsid w:val="00CE096B"/>
    <w:rsid w:val="00CE610B"/>
    <w:rsid w:val="00CF05A8"/>
    <w:rsid w:val="00CF0CD2"/>
    <w:rsid w:val="00CF253C"/>
    <w:rsid w:val="00CF3C77"/>
    <w:rsid w:val="00CF6BE7"/>
    <w:rsid w:val="00CF796F"/>
    <w:rsid w:val="00D015CA"/>
    <w:rsid w:val="00D10800"/>
    <w:rsid w:val="00D108FC"/>
    <w:rsid w:val="00D16B90"/>
    <w:rsid w:val="00D24B2B"/>
    <w:rsid w:val="00D26E30"/>
    <w:rsid w:val="00D30503"/>
    <w:rsid w:val="00D35FF4"/>
    <w:rsid w:val="00D37F50"/>
    <w:rsid w:val="00D44199"/>
    <w:rsid w:val="00D45EF9"/>
    <w:rsid w:val="00D479D2"/>
    <w:rsid w:val="00D47AFC"/>
    <w:rsid w:val="00D52427"/>
    <w:rsid w:val="00D574A5"/>
    <w:rsid w:val="00D60EA4"/>
    <w:rsid w:val="00D618DC"/>
    <w:rsid w:val="00D67CCC"/>
    <w:rsid w:val="00D75518"/>
    <w:rsid w:val="00D762C7"/>
    <w:rsid w:val="00D81BDF"/>
    <w:rsid w:val="00D84925"/>
    <w:rsid w:val="00D860AA"/>
    <w:rsid w:val="00D86804"/>
    <w:rsid w:val="00D87ECC"/>
    <w:rsid w:val="00D915B0"/>
    <w:rsid w:val="00D91B67"/>
    <w:rsid w:val="00D92629"/>
    <w:rsid w:val="00D93EC7"/>
    <w:rsid w:val="00D94AE4"/>
    <w:rsid w:val="00D957B9"/>
    <w:rsid w:val="00DA0F36"/>
    <w:rsid w:val="00DA735E"/>
    <w:rsid w:val="00DB0BC8"/>
    <w:rsid w:val="00DB0D16"/>
    <w:rsid w:val="00DB2539"/>
    <w:rsid w:val="00DB3474"/>
    <w:rsid w:val="00DB7104"/>
    <w:rsid w:val="00DC15CB"/>
    <w:rsid w:val="00DC2AA1"/>
    <w:rsid w:val="00DD23AC"/>
    <w:rsid w:val="00DD4778"/>
    <w:rsid w:val="00DD4BBC"/>
    <w:rsid w:val="00DD68F1"/>
    <w:rsid w:val="00DE32C3"/>
    <w:rsid w:val="00DF1F41"/>
    <w:rsid w:val="00DF36E6"/>
    <w:rsid w:val="00DF38F7"/>
    <w:rsid w:val="00E00397"/>
    <w:rsid w:val="00E04786"/>
    <w:rsid w:val="00E13A58"/>
    <w:rsid w:val="00E15B94"/>
    <w:rsid w:val="00E215A5"/>
    <w:rsid w:val="00E216CD"/>
    <w:rsid w:val="00E22301"/>
    <w:rsid w:val="00E23D12"/>
    <w:rsid w:val="00E2435A"/>
    <w:rsid w:val="00E24731"/>
    <w:rsid w:val="00E258FE"/>
    <w:rsid w:val="00E26DF1"/>
    <w:rsid w:val="00E27F6B"/>
    <w:rsid w:val="00E318AC"/>
    <w:rsid w:val="00E32DFB"/>
    <w:rsid w:val="00E3504B"/>
    <w:rsid w:val="00E367DF"/>
    <w:rsid w:val="00E368FC"/>
    <w:rsid w:val="00E41EFD"/>
    <w:rsid w:val="00E42A2B"/>
    <w:rsid w:val="00E453AE"/>
    <w:rsid w:val="00E47783"/>
    <w:rsid w:val="00E5062F"/>
    <w:rsid w:val="00E51F6A"/>
    <w:rsid w:val="00E52A1A"/>
    <w:rsid w:val="00E54D32"/>
    <w:rsid w:val="00E62297"/>
    <w:rsid w:val="00E6258E"/>
    <w:rsid w:val="00E64F88"/>
    <w:rsid w:val="00E67678"/>
    <w:rsid w:val="00E715A0"/>
    <w:rsid w:val="00E757CC"/>
    <w:rsid w:val="00E77C68"/>
    <w:rsid w:val="00E80BE6"/>
    <w:rsid w:val="00E80EA0"/>
    <w:rsid w:val="00E844F4"/>
    <w:rsid w:val="00E90340"/>
    <w:rsid w:val="00E92196"/>
    <w:rsid w:val="00EA17AB"/>
    <w:rsid w:val="00EA5D8F"/>
    <w:rsid w:val="00EA75A5"/>
    <w:rsid w:val="00EB11C2"/>
    <w:rsid w:val="00EB23AC"/>
    <w:rsid w:val="00EB4C8B"/>
    <w:rsid w:val="00EB5913"/>
    <w:rsid w:val="00EB6AC2"/>
    <w:rsid w:val="00EB789C"/>
    <w:rsid w:val="00EC168F"/>
    <w:rsid w:val="00EC3D7B"/>
    <w:rsid w:val="00EC45A7"/>
    <w:rsid w:val="00EC4C50"/>
    <w:rsid w:val="00ED13F5"/>
    <w:rsid w:val="00ED182A"/>
    <w:rsid w:val="00ED21D3"/>
    <w:rsid w:val="00ED23C4"/>
    <w:rsid w:val="00EE6D95"/>
    <w:rsid w:val="00EF39AA"/>
    <w:rsid w:val="00EF5D95"/>
    <w:rsid w:val="00F0504D"/>
    <w:rsid w:val="00F05976"/>
    <w:rsid w:val="00F10634"/>
    <w:rsid w:val="00F113E2"/>
    <w:rsid w:val="00F14B87"/>
    <w:rsid w:val="00F221C9"/>
    <w:rsid w:val="00F23CB2"/>
    <w:rsid w:val="00F26C59"/>
    <w:rsid w:val="00F30477"/>
    <w:rsid w:val="00F35ABC"/>
    <w:rsid w:val="00F40EBF"/>
    <w:rsid w:val="00F433E2"/>
    <w:rsid w:val="00F4392A"/>
    <w:rsid w:val="00F52061"/>
    <w:rsid w:val="00F578F8"/>
    <w:rsid w:val="00F57CF3"/>
    <w:rsid w:val="00F609DA"/>
    <w:rsid w:val="00F6164D"/>
    <w:rsid w:val="00F62380"/>
    <w:rsid w:val="00F65FC0"/>
    <w:rsid w:val="00F722AA"/>
    <w:rsid w:val="00F77F14"/>
    <w:rsid w:val="00F81CA9"/>
    <w:rsid w:val="00F8313E"/>
    <w:rsid w:val="00F83B78"/>
    <w:rsid w:val="00F84D9F"/>
    <w:rsid w:val="00F8540B"/>
    <w:rsid w:val="00F85F43"/>
    <w:rsid w:val="00F86914"/>
    <w:rsid w:val="00FA1476"/>
    <w:rsid w:val="00FA29FB"/>
    <w:rsid w:val="00FA2E4B"/>
    <w:rsid w:val="00FA65C6"/>
    <w:rsid w:val="00FA7BD3"/>
    <w:rsid w:val="00FB41E7"/>
    <w:rsid w:val="00FB44C3"/>
    <w:rsid w:val="00FB7875"/>
    <w:rsid w:val="00FB7E18"/>
    <w:rsid w:val="00FC2870"/>
    <w:rsid w:val="00FC2897"/>
    <w:rsid w:val="00FC2DC3"/>
    <w:rsid w:val="00FC4ECA"/>
    <w:rsid w:val="00FC624E"/>
    <w:rsid w:val="00FD1465"/>
    <w:rsid w:val="00FD26C1"/>
    <w:rsid w:val="00FD2B35"/>
    <w:rsid w:val="00FD42E0"/>
    <w:rsid w:val="00FD679E"/>
    <w:rsid w:val="00FD6EDB"/>
    <w:rsid w:val="00FE19E9"/>
    <w:rsid w:val="00FE2175"/>
    <w:rsid w:val="00FE470F"/>
    <w:rsid w:val="00FE5F93"/>
    <w:rsid w:val="00FF28C5"/>
    <w:rsid w:val="00FF3159"/>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3C0"/>
    <w:pPr>
      <w:keepNext/>
      <w:spacing w:line="480" w:lineRule="auto"/>
      <w:ind w:firstLine="720"/>
    </w:pPr>
    <w:rPr>
      <w:rFonts w:ascii="Times New Roman" w:hAnsi="Times New Roman"/>
    </w:rPr>
  </w:style>
  <w:style w:type="paragraph" w:styleId="Heading1">
    <w:name w:val="heading 1"/>
    <w:basedOn w:val="Normal"/>
    <w:next w:val="Normal"/>
    <w:link w:val="Heading1Char"/>
    <w:uiPriority w:val="9"/>
    <w:rsid w:val="00FD42E0"/>
    <w:pPr>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Style2">
    <w:name w:val="Style2"/>
    <w:basedOn w:val="Normal"/>
    <w:rsid w:val="00C94A00"/>
    <w:pPr>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pPr>
    <w:rPr>
      <w:rFonts w:eastAsia="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eastAsia="Times New Roman" w:cs="Times New Roman"/>
    </w:rPr>
  </w:style>
  <w:style w:type="paragraph" w:styleId="TableofFigures">
    <w:name w:val="table of figures"/>
    <w:basedOn w:val="Normal"/>
    <w:next w:val="Normal"/>
    <w:uiPriority w:val="99"/>
    <w:rsid w:val="009E01E5"/>
    <w:pPr>
      <w:autoSpaceDE w:val="0"/>
      <w:autoSpaceDN w:val="0"/>
      <w:adjustRightInd w:val="0"/>
      <w:snapToGrid w:val="0"/>
      <w:ind w:left="475" w:hanging="475"/>
    </w:pPr>
    <w:rPr>
      <w:rFonts w:eastAsia="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ind w:left="720" w:right="720" w:hanging="720"/>
      <w:outlineLvl w:val="0"/>
    </w:pPr>
    <w:rPr>
      <w:rFonts w:eastAsia="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ind w:left="1080" w:right="720" w:hanging="720"/>
    </w:pPr>
    <w:rPr>
      <w:rFonts w:eastAsia="Times New Roman" w:cs="Times New Roman"/>
      <w:noProof/>
    </w:rPr>
  </w:style>
  <w:style w:type="paragraph" w:styleId="TOC3">
    <w:name w:val="toc 3"/>
    <w:basedOn w:val="Normal"/>
    <w:next w:val="Normal"/>
    <w:uiPriority w:val="39"/>
    <w:rsid w:val="009E01E5"/>
    <w:pPr>
      <w:autoSpaceDE w:val="0"/>
      <w:autoSpaceDN w:val="0"/>
      <w:adjustRightInd w:val="0"/>
      <w:snapToGrid w:val="0"/>
      <w:ind w:left="1440" w:right="720" w:hanging="720"/>
    </w:pPr>
    <w:rPr>
      <w:rFonts w:eastAsia="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eastAsia="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ind w:firstLine="72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qFormat/>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C0187"/>
    <w:rPr>
      <w:color w:val="605E5C"/>
      <w:shd w:val="clear" w:color="auto" w:fill="E1DFDD"/>
    </w:rPr>
  </w:style>
  <w:style w:type="paragraph" w:styleId="NormalWeb">
    <w:name w:val="Normal (Web)"/>
    <w:basedOn w:val="Normal"/>
    <w:uiPriority w:val="99"/>
    <w:unhideWhenUsed/>
    <w:rsid w:val="008F6EB4"/>
    <w:rPr>
      <w:rFonts w:cs="Times New Roman"/>
    </w:rPr>
  </w:style>
  <w:style w:type="character" w:customStyle="1" w:styleId="highlight">
    <w:name w:val="highlight"/>
    <w:basedOn w:val="DefaultParagraphFont"/>
    <w:rsid w:val="002F0C64"/>
  </w:style>
  <w:style w:type="character" w:customStyle="1" w:styleId="citation">
    <w:name w:val="citation"/>
    <w:basedOn w:val="DefaultParagraphFont"/>
    <w:rsid w:val="002F0C64"/>
  </w:style>
  <w:style w:type="character" w:customStyle="1" w:styleId="citation-item">
    <w:name w:val="citation-item"/>
    <w:basedOn w:val="DefaultParagraphFont"/>
    <w:rsid w:val="002F0C64"/>
  </w:style>
  <w:style w:type="character" w:styleId="FollowedHyperlink">
    <w:name w:val="FollowedHyperlink"/>
    <w:basedOn w:val="DefaultParagraphFont"/>
    <w:uiPriority w:val="99"/>
    <w:semiHidden/>
    <w:unhideWhenUsed/>
    <w:rsid w:val="00EA5D8F"/>
    <w:rPr>
      <w:color w:val="800080" w:themeColor="followedHyperlink"/>
      <w:u w:val="single"/>
    </w:rPr>
  </w:style>
  <w:style w:type="paragraph" w:styleId="Revision">
    <w:name w:val="Revision"/>
    <w:hidden/>
    <w:uiPriority w:val="99"/>
    <w:semiHidden/>
    <w:rsid w:val="008203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9319">
      <w:bodyDiv w:val="1"/>
      <w:marLeft w:val="0"/>
      <w:marRight w:val="0"/>
      <w:marTop w:val="0"/>
      <w:marBottom w:val="0"/>
      <w:divBdr>
        <w:top w:val="none" w:sz="0" w:space="0" w:color="auto"/>
        <w:left w:val="none" w:sz="0" w:space="0" w:color="auto"/>
        <w:bottom w:val="none" w:sz="0" w:space="0" w:color="auto"/>
        <w:right w:val="none" w:sz="0" w:space="0" w:color="auto"/>
      </w:divBdr>
    </w:div>
    <w:div w:id="73627412">
      <w:bodyDiv w:val="1"/>
      <w:marLeft w:val="0"/>
      <w:marRight w:val="0"/>
      <w:marTop w:val="0"/>
      <w:marBottom w:val="0"/>
      <w:divBdr>
        <w:top w:val="none" w:sz="0" w:space="0" w:color="auto"/>
        <w:left w:val="none" w:sz="0" w:space="0" w:color="auto"/>
        <w:bottom w:val="none" w:sz="0" w:space="0" w:color="auto"/>
        <w:right w:val="none" w:sz="0" w:space="0" w:color="auto"/>
      </w:divBdr>
      <w:divsChild>
        <w:div w:id="1770076197">
          <w:marLeft w:val="0"/>
          <w:marRight w:val="0"/>
          <w:marTop w:val="0"/>
          <w:marBottom w:val="0"/>
          <w:divBdr>
            <w:top w:val="none" w:sz="0" w:space="0" w:color="auto"/>
            <w:left w:val="none" w:sz="0" w:space="0" w:color="auto"/>
            <w:bottom w:val="none" w:sz="0" w:space="0" w:color="auto"/>
            <w:right w:val="none" w:sz="0" w:space="0" w:color="auto"/>
          </w:divBdr>
          <w:divsChild>
            <w:div w:id="3192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478">
      <w:bodyDiv w:val="1"/>
      <w:marLeft w:val="0"/>
      <w:marRight w:val="0"/>
      <w:marTop w:val="0"/>
      <w:marBottom w:val="0"/>
      <w:divBdr>
        <w:top w:val="none" w:sz="0" w:space="0" w:color="auto"/>
        <w:left w:val="none" w:sz="0" w:space="0" w:color="auto"/>
        <w:bottom w:val="none" w:sz="0" w:space="0" w:color="auto"/>
        <w:right w:val="none" w:sz="0" w:space="0" w:color="auto"/>
      </w:divBdr>
      <w:divsChild>
        <w:div w:id="409470423">
          <w:marLeft w:val="480"/>
          <w:marRight w:val="0"/>
          <w:marTop w:val="0"/>
          <w:marBottom w:val="0"/>
          <w:divBdr>
            <w:top w:val="none" w:sz="0" w:space="0" w:color="auto"/>
            <w:left w:val="none" w:sz="0" w:space="0" w:color="auto"/>
            <w:bottom w:val="none" w:sz="0" w:space="0" w:color="auto"/>
            <w:right w:val="none" w:sz="0" w:space="0" w:color="auto"/>
          </w:divBdr>
          <w:divsChild>
            <w:div w:id="16832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6914">
      <w:bodyDiv w:val="1"/>
      <w:marLeft w:val="0"/>
      <w:marRight w:val="0"/>
      <w:marTop w:val="0"/>
      <w:marBottom w:val="0"/>
      <w:divBdr>
        <w:top w:val="none" w:sz="0" w:space="0" w:color="auto"/>
        <w:left w:val="none" w:sz="0" w:space="0" w:color="auto"/>
        <w:bottom w:val="none" w:sz="0" w:space="0" w:color="auto"/>
        <w:right w:val="none" w:sz="0" w:space="0" w:color="auto"/>
      </w:divBdr>
    </w:div>
    <w:div w:id="326596011">
      <w:bodyDiv w:val="1"/>
      <w:marLeft w:val="0"/>
      <w:marRight w:val="0"/>
      <w:marTop w:val="0"/>
      <w:marBottom w:val="0"/>
      <w:divBdr>
        <w:top w:val="none" w:sz="0" w:space="0" w:color="auto"/>
        <w:left w:val="none" w:sz="0" w:space="0" w:color="auto"/>
        <w:bottom w:val="none" w:sz="0" w:space="0" w:color="auto"/>
        <w:right w:val="none" w:sz="0" w:space="0" w:color="auto"/>
      </w:divBdr>
      <w:divsChild>
        <w:div w:id="1198003572">
          <w:marLeft w:val="480"/>
          <w:marRight w:val="0"/>
          <w:marTop w:val="0"/>
          <w:marBottom w:val="0"/>
          <w:divBdr>
            <w:top w:val="none" w:sz="0" w:space="0" w:color="auto"/>
            <w:left w:val="none" w:sz="0" w:space="0" w:color="auto"/>
            <w:bottom w:val="none" w:sz="0" w:space="0" w:color="auto"/>
            <w:right w:val="none" w:sz="0" w:space="0" w:color="auto"/>
          </w:divBdr>
          <w:divsChild>
            <w:div w:id="2594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7557">
      <w:bodyDiv w:val="1"/>
      <w:marLeft w:val="0"/>
      <w:marRight w:val="0"/>
      <w:marTop w:val="0"/>
      <w:marBottom w:val="0"/>
      <w:divBdr>
        <w:top w:val="none" w:sz="0" w:space="0" w:color="auto"/>
        <w:left w:val="none" w:sz="0" w:space="0" w:color="auto"/>
        <w:bottom w:val="none" w:sz="0" w:space="0" w:color="auto"/>
        <w:right w:val="none" w:sz="0" w:space="0" w:color="auto"/>
      </w:divBdr>
    </w:div>
    <w:div w:id="397481896">
      <w:bodyDiv w:val="1"/>
      <w:marLeft w:val="0"/>
      <w:marRight w:val="0"/>
      <w:marTop w:val="0"/>
      <w:marBottom w:val="0"/>
      <w:divBdr>
        <w:top w:val="none" w:sz="0" w:space="0" w:color="auto"/>
        <w:left w:val="none" w:sz="0" w:space="0" w:color="auto"/>
        <w:bottom w:val="none" w:sz="0" w:space="0" w:color="auto"/>
        <w:right w:val="none" w:sz="0" w:space="0" w:color="auto"/>
      </w:divBdr>
      <w:divsChild>
        <w:div w:id="2102338026">
          <w:marLeft w:val="480"/>
          <w:marRight w:val="0"/>
          <w:marTop w:val="0"/>
          <w:marBottom w:val="0"/>
          <w:divBdr>
            <w:top w:val="none" w:sz="0" w:space="0" w:color="auto"/>
            <w:left w:val="none" w:sz="0" w:space="0" w:color="auto"/>
            <w:bottom w:val="none" w:sz="0" w:space="0" w:color="auto"/>
            <w:right w:val="none" w:sz="0" w:space="0" w:color="auto"/>
          </w:divBdr>
          <w:divsChild>
            <w:div w:id="9608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5038">
      <w:bodyDiv w:val="1"/>
      <w:marLeft w:val="0"/>
      <w:marRight w:val="0"/>
      <w:marTop w:val="0"/>
      <w:marBottom w:val="0"/>
      <w:divBdr>
        <w:top w:val="none" w:sz="0" w:space="0" w:color="auto"/>
        <w:left w:val="none" w:sz="0" w:space="0" w:color="auto"/>
        <w:bottom w:val="none" w:sz="0" w:space="0" w:color="auto"/>
        <w:right w:val="none" w:sz="0" w:space="0" w:color="auto"/>
      </w:divBdr>
      <w:divsChild>
        <w:div w:id="479230001">
          <w:marLeft w:val="0"/>
          <w:marRight w:val="0"/>
          <w:marTop w:val="0"/>
          <w:marBottom w:val="0"/>
          <w:divBdr>
            <w:top w:val="none" w:sz="0" w:space="0" w:color="auto"/>
            <w:left w:val="none" w:sz="0" w:space="0" w:color="auto"/>
            <w:bottom w:val="none" w:sz="0" w:space="0" w:color="auto"/>
            <w:right w:val="none" w:sz="0" w:space="0" w:color="auto"/>
          </w:divBdr>
          <w:divsChild>
            <w:div w:id="5940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538">
      <w:bodyDiv w:val="1"/>
      <w:marLeft w:val="0"/>
      <w:marRight w:val="0"/>
      <w:marTop w:val="0"/>
      <w:marBottom w:val="0"/>
      <w:divBdr>
        <w:top w:val="none" w:sz="0" w:space="0" w:color="auto"/>
        <w:left w:val="none" w:sz="0" w:space="0" w:color="auto"/>
        <w:bottom w:val="none" w:sz="0" w:space="0" w:color="auto"/>
        <w:right w:val="none" w:sz="0" w:space="0" w:color="auto"/>
      </w:divBdr>
    </w:div>
    <w:div w:id="528252559">
      <w:bodyDiv w:val="1"/>
      <w:marLeft w:val="0"/>
      <w:marRight w:val="0"/>
      <w:marTop w:val="0"/>
      <w:marBottom w:val="0"/>
      <w:divBdr>
        <w:top w:val="none" w:sz="0" w:space="0" w:color="auto"/>
        <w:left w:val="none" w:sz="0" w:space="0" w:color="auto"/>
        <w:bottom w:val="none" w:sz="0" w:space="0" w:color="auto"/>
        <w:right w:val="none" w:sz="0" w:space="0" w:color="auto"/>
      </w:divBdr>
    </w:div>
    <w:div w:id="540675406">
      <w:bodyDiv w:val="1"/>
      <w:marLeft w:val="0"/>
      <w:marRight w:val="0"/>
      <w:marTop w:val="0"/>
      <w:marBottom w:val="0"/>
      <w:divBdr>
        <w:top w:val="none" w:sz="0" w:space="0" w:color="auto"/>
        <w:left w:val="none" w:sz="0" w:space="0" w:color="auto"/>
        <w:bottom w:val="none" w:sz="0" w:space="0" w:color="auto"/>
        <w:right w:val="none" w:sz="0" w:space="0" w:color="auto"/>
      </w:divBdr>
    </w:div>
    <w:div w:id="560362440">
      <w:bodyDiv w:val="1"/>
      <w:marLeft w:val="0"/>
      <w:marRight w:val="0"/>
      <w:marTop w:val="0"/>
      <w:marBottom w:val="0"/>
      <w:divBdr>
        <w:top w:val="none" w:sz="0" w:space="0" w:color="auto"/>
        <w:left w:val="none" w:sz="0" w:space="0" w:color="auto"/>
        <w:bottom w:val="none" w:sz="0" w:space="0" w:color="auto"/>
        <w:right w:val="none" w:sz="0" w:space="0" w:color="auto"/>
      </w:divBdr>
    </w:div>
    <w:div w:id="602231611">
      <w:bodyDiv w:val="1"/>
      <w:marLeft w:val="0"/>
      <w:marRight w:val="0"/>
      <w:marTop w:val="0"/>
      <w:marBottom w:val="0"/>
      <w:divBdr>
        <w:top w:val="none" w:sz="0" w:space="0" w:color="auto"/>
        <w:left w:val="none" w:sz="0" w:space="0" w:color="auto"/>
        <w:bottom w:val="none" w:sz="0" w:space="0" w:color="auto"/>
        <w:right w:val="none" w:sz="0" w:space="0" w:color="auto"/>
      </w:divBdr>
    </w:div>
    <w:div w:id="653989481">
      <w:bodyDiv w:val="1"/>
      <w:marLeft w:val="0"/>
      <w:marRight w:val="0"/>
      <w:marTop w:val="0"/>
      <w:marBottom w:val="0"/>
      <w:divBdr>
        <w:top w:val="none" w:sz="0" w:space="0" w:color="auto"/>
        <w:left w:val="none" w:sz="0" w:space="0" w:color="auto"/>
        <w:bottom w:val="none" w:sz="0" w:space="0" w:color="auto"/>
        <w:right w:val="none" w:sz="0" w:space="0" w:color="auto"/>
      </w:divBdr>
      <w:divsChild>
        <w:div w:id="188613343">
          <w:marLeft w:val="480"/>
          <w:marRight w:val="0"/>
          <w:marTop w:val="0"/>
          <w:marBottom w:val="0"/>
          <w:divBdr>
            <w:top w:val="none" w:sz="0" w:space="0" w:color="auto"/>
            <w:left w:val="none" w:sz="0" w:space="0" w:color="auto"/>
            <w:bottom w:val="none" w:sz="0" w:space="0" w:color="auto"/>
            <w:right w:val="none" w:sz="0" w:space="0" w:color="auto"/>
          </w:divBdr>
          <w:divsChild>
            <w:div w:id="5771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557">
      <w:bodyDiv w:val="1"/>
      <w:marLeft w:val="0"/>
      <w:marRight w:val="0"/>
      <w:marTop w:val="0"/>
      <w:marBottom w:val="0"/>
      <w:divBdr>
        <w:top w:val="none" w:sz="0" w:space="0" w:color="auto"/>
        <w:left w:val="none" w:sz="0" w:space="0" w:color="auto"/>
        <w:bottom w:val="none" w:sz="0" w:space="0" w:color="auto"/>
        <w:right w:val="none" w:sz="0" w:space="0" w:color="auto"/>
      </w:divBdr>
      <w:divsChild>
        <w:div w:id="825514338">
          <w:marLeft w:val="480"/>
          <w:marRight w:val="0"/>
          <w:marTop w:val="0"/>
          <w:marBottom w:val="0"/>
          <w:divBdr>
            <w:top w:val="none" w:sz="0" w:space="0" w:color="auto"/>
            <w:left w:val="none" w:sz="0" w:space="0" w:color="auto"/>
            <w:bottom w:val="none" w:sz="0" w:space="0" w:color="auto"/>
            <w:right w:val="none" w:sz="0" w:space="0" w:color="auto"/>
          </w:divBdr>
          <w:divsChild>
            <w:div w:id="13522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4123">
      <w:bodyDiv w:val="1"/>
      <w:marLeft w:val="0"/>
      <w:marRight w:val="0"/>
      <w:marTop w:val="0"/>
      <w:marBottom w:val="0"/>
      <w:divBdr>
        <w:top w:val="none" w:sz="0" w:space="0" w:color="auto"/>
        <w:left w:val="none" w:sz="0" w:space="0" w:color="auto"/>
        <w:bottom w:val="none" w:sz="0" w:space="0" w:color="auto"/>
        <w:right w:val="none" w:sz="0" w:space="0" w:color="auto"/>
      </w:divBdr>
      <w:divsChild>
        <w:div w:id="126239022">
          <w:marLeft w:val="0"/>
          <w:marRight w:val="0"/>
          <w:marTop w:val="0"/>
          <w:marBottom w:val="0"/>
          <w:divBdr>
            <w:top w:val="none" w:sz="0" w:space="0" w:color="auto"/>
            <w:left w:val="none" w:sz="0" w:space="0" w:color="auto"/>
            <w:bottom w:val="none" w:sz="0" w:space="0" w:color="auto"/>
            <w:right w:val="none" w:sz="0" w:space="0" w:color="auto"/>
          </w:divBdr>
          <w:divsChild>
            <w:div w:id="14904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9003">
      <w:bodyDiv w:val="1"/>
      <w:marLeft w:val="0"/>
      <w:marRight w:val="0"/>
      <w:marTop w:val="0"/>
      <w:marBottom w:val="0"/>
      <w:divBdr>
        <w:top w:val="none" w:sz="0" w:space="0" w:color="auto"/>
        <w:left w:val="none" w:sz="0" w:space="0" w:color="auto"/>
        <w:bottom w:val="none" w:sz="0" w:space="0" w:color="auto"/>
        <w:right w:val="none" w:sz="0" w:space="0" w:color="auto"/>
      </w:divBdr>
      <w:divsChild>
        <w:div w:id="584731207">
          <w:marLeft w:val="480"/>
          <w:marRight w:val="0"/>
          <w:marTop w:val="0"/>
          <w:marBottom w:val="0"/>
          <w:divBdr>
            <w:top w:val="none" w:sz="0" w:space="0" w:color="auto"/>
            <w:left w:val="none" w:sz="0" w:space="0" w:color="auto"/>
            <w:bottom w:val="none" w:sz="0" w:space="0" w:color="auto"/>
            <w:right w:val="none" w:sz="0" w:space="0" w:color="auto"/>
          </w:divBdr>
          <w:divsChild>
            <w:div w:id="14338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7113">
      <w:bodyDiv w:val="1"/>
      <w:marLeft w:val="0"/>
      <w:marRight w:val="0"/>
      <w:marTop w:val="0"/>
      <w:marBottom w:val="0"/>
      <w:divBdr>
        <w:top w:val="none" w:sz="0" w:space="0" w:color="auto"/>
        <w:left w:val="none" w:sz="0" w:space="0" w:color="auto"/>
        <w:bottom w:val="none" w:sz="0" w:space="0" w:color="auto"/>
        <w:right w:val="none" w:sz="0" w:space="0" w:color="auto"/>
      </w:divBdr>
      <w:divsChild>
        <w:div w:id="709039300">
          <w:marLeft w:val="480"/>
          <w:marRight w:val="0"/>
          <w:marTop w:val="0"/>
          <w:marBottom w:val="0"/>
          <w:divBdr>
            <w:top w:val="none" w:sz="0" w:space="0" w:color="auto"/>
            <w:left w:val="none" w:sz="0" w:space="0" w:color="auto"/>
            <w:bottom w:val="none" w:sz="0" w:space="0" w:color="auto"/>
            <w:right w:val="none" w:sz="0" w:space="0" w:color="auto"/>
          </w:divBdr>
          <w:divsChild>
            <w:div w:id="696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5569">
      <w:bodyDiv w:val="1"/>
      <w:marLeft w:val="0"/>
      <w:marRight w:val="0"/>
      <w:marTop w:val="0"/>
      <w:marBottom w:val="0"/>
      <w:divBdr>
        <w:top w:val="none" w:sz="0" w:space="0" w:color="auto"/>
        <w:left w:val="none" w:sz="0" w:space="0" w:color="auto"/>
        <w:bottom w:val="none" w:sz="0" w:space="0" w:color="auto"/>
        <w:right w:val="none" w:sz="0" w:space="0" w:color="auto"/>
      </w:divBdr>
      <w:divsChild>
        <w:div w:id="649024399">
          <w:marLeft w:val="480"/>
          <w:marRight w:val="0"/>
          <w:marTop w:val="0"/>
          <w:marBottom w:val="0"/>
          <w:divBdr>
            <w:top w:val="none" w:sz="0" w:space="0" w:color="auto"/>
            <w:left w:val="none" w:sz="0" w:space="0" w:color="auto"/>
            <w:bottom w:val="none" w:sz="0" w:space="0" w:color="auto"/>
            <w:right w:val="none" w:sz="0" w:space="0" w:color="auto"/>
          </w:divBdr>
          <w:divsChild>
            <w:div w:id="1605654962">
              <w:marLeft w:val="0"/>
              <w:marRight w:val="0"/>
              <w:marTop w:val="0"/>
              <w:marBottom w:val="0"/>
              <w:divBdr>
                <w:top w:val="none" w:sz="0" w:space="0" w:color="auto"/>
                <w:left w:val="none" w:sz="0" w:space="0" w:color="auto"/>
                <w:bottom w:val="none" w:sz="0" w:space="0" w:color="auto"/>
                <w:right w:val="none" w:sz="0" w:space="0" w:color="auto"/>
              </w:divBdr>
            </w:div>
            <w:div w:id="494155035">
              <w:marLeft w:val="0"/>
              <w:marRight w:val="0"/>
              <w:marTop w:val="0"/>
              <w:marBottom w:val="0"/>
              <w:divBdr>
                <w:top w:val="none" w:sz="0" w:space="0" w:color="auto"/>
                <w:left w:val="none" w:sz="0" w:space="0" w:color="auto"/>
                <w:bottom w:val="none" w:sz="0" w:space="0" w:color="auto"/>
                <w:right w:val="none" w:sz="0" w:space="0" w:color="auto"/>
              </w:divBdr>
            </w:div>
            <w:div w:id="1848012301">
              <w:marLeft w:val="0"/>
              <w:marRight w:val="0"/>
              <w:marTop w:val="0"/>
              <w:marBottom w:val="0"/>
              <w:divBdr>
                <w:top w:val="none" w:sz="0" w:space="0" w:color="auto"/>
                <w:left w:val="none" w:sz="0" w:space="0" w:color="auto"/>
                <w:bottom w:val="none" w:sz="0" w:space="0" w:color="auto"/>
                <w:right w:val="none" w:sz="0" w:space="0" w:color="auto"/>
              </w:divBdr>
            </w:div>
            <w:div w:id="347755391">
              <w:marLeft w:val="0"/>
              <w:marRight w:val="0"/>
              <w:marTop w:val="0"/>
              <w:marBottom w:val="0"/>
              <w:divBdr>
                <w:top w:val="none" w:sz="0" w:space="0" w:color="auto"/>
                <w:left w:val="none" w:sz="0" w:space="0" w:color="auto"/>
                <w:bottom w:val="none" w:sz="0" w:space="0" w:color="auto"/>
                <w:right w:val="none" w:sz="0" w:space="0" w:color="auto"/>
              </w:divBdr>
            </w:div>
            <w:div w:id="1311716425">
              <w:marLeft w:val="0"/>
              <w:marRight w:val="0"/>
              <w:marTop w:val="0"/>
              <w:marBottom w:val="0"/>
              <w:divBdr>
                <w:top w:val="none" w:sz="0" w:space="0" w:color="auto"/>
                <w:left w:val="none" w:sz="0" w:space="0" w:color="auto"/>
                <w:bottom w:val="none" w:sz="0" w:space="0" w:color="auto"/>
                <w:right w:val="none" w:sz="0" w:space="0" w:color="auto"/>
              </w:divBdr>
            </w:div>
            <w:div w:id="1722510048">
              <w:marLeft w:val="0"/>
              <w:marRight w:val="0"/>
              <w:marTop w:val="0"/>
              <w:marBottom w:val="0"/>
              <w:divBdr>
                <w:top w:val="none" w:sz="0" w:space="0" w:color="auto"/>
                <w:left w:val="none" w:sz="0" w:space="0" w:color="auto"/>
                <w:bottom w:val="none" w:sz="0" w:space="0" w:color="auto"/>
                <w:right w:val="none" w:sz="0" w:space="0" w:color="auto"/>
              </w:divBdr>
            </w:div>
            <w:div w:id="1271081992">
              <w:marLeft w:val="0"/>
              <w:marRight w:val="0"/>
              <w:marTop w:val="0"/>
              <w:marBottom w:val="0"/>
              <w:divBdr>
                <w:top w:val="none" w:sz="0" w:space="0" w:color="auto"/>
                <w:left w:val="none" w:sz="0" w:space="0" w:color="auto"/>
                <w:bottom w:val="none" w:sz="0" w:space="0" w:color="auto"/>
                <w:right w:val="none" w:sz="0" w:space="0" w:color="auto"/>
              </w:divBdr>
            </w:div>
            <w:div w:id="1325664573">
              <w:marLeft w:val="0"/>
              <w:marRight w:val="0"/>
              <w:marTop w:val="0"/>
              <w:marBottom w:val="0"/>
              <w:divBdr>
                <w:top w:val="none" w:sz="0" w:space="0" w:color="auto"/>
                <w:left w:val="none" w:sz="0" w:space="0" w:color="auto"/>
                <w:bottom w:val="none" w:sz="0" w:space="0" w:color="auto"/>
                <w:right w:val="none" w:sz="0" w:space="0" w:color="auto"/>
              </w:divBdr>
            </w:div>
            <w:div w:id="1932469275">
              <w:marLeft w:val="0"/>
              <w:marRight w:val="0"/>
              <w:marTop w:val="0"/>
              <w:marBottom w:val="0"/>
              <w:divBdr>
                <w:top w:val="none" w:sz="0" w:space="0" w:color="auto"/>
                <w:left w:val="none" w:sz="0" w:space="0" w:color="auto"/>
                <w:bottom w:val="none" w:sz="0" w:space="0" w:color="auto"/>
                <w:right w:val="none" w:sz="0" w:space="0" w:color="auto"/>
              </w:divBdr>
            </w:div>
            <w:div w:id="1069763174">
              <w:marLeft w:val="0"/>
              <w:marRight w:val="0"/>
              <w:marTop w:val="0"/>
              <w:marBottom w:val="0"/>
              <w:divBdr>
                <w:top w:val="none" w:sz="0" w:space="0" w:color="auto"/>
                <w:left w:val="none" w:sz="0" w:space="0" w:color="auto"/>
                <w:bottom w:val="none" w:sz="0" w:space="0" w:color="auto"/>
                <w:right w:val="none" w:sz="0" w:space="0" w:color="auto"/>
              </w:divBdr>
            </w:div>
            <w:div w:id="925848205">
              <w:marLeft w:val="0"/>
              <w:marRight w:val="0"/>
              <w:marTop w:val="0"/>
              <w:marBottom w:val="0"/>
              <w:divBdr>
                <w:top w:val="none" w:sz="0" w:space="0" w:color="auto"/>
                <w:left w:val="none" w:sz="0" w:space="0" w:color="auto"/>
                <w:bottom w:val="none" w:sz="0" w:space="0" w:color="auto"/>
                <w:right w:val="none" w:sz="0" w:space="0" w:color="auto"/>
              </w:divBdr>
            </w:div>
            <w:div w:id="389227147">
              <w:marLeft w:val="0"/>
              <w:marRight w:val="0"/>
              <w:marTop w:val="0"/>
              <w:marBottom w:val="0"/>
              <w:divBdr>
                <w:top w:val="none" w:sz="0" w:space="0" w:color="auto"/>
                <w:left w:val="none" w:sz="0" w:space="0" w:color="auto"/>
                <w:bottom w:val="none" w:sz="0" w:space="0" w:color="auto"/>
                <w:right w:val="none" w:sz="0" w:space="0" w:color="auto"/>
              </w:divBdr>
            </w:div>
            <w:div w:id="1244685405">
              <w:marLeft w:val="0"/>
              <w:marRight w:val="0"/>
              <w:marTop w:val="0"/>
              <w:marBottom w:val="0"/>
              <w:divBdr>
                <w:top w:val="none" w:sz="0" w:space="0" w:color="auto"/>
                <w:left w:val="none" w:sz="0" w:space="0" w:color="auto"/>
                <w:bottom w:val="none" w:sz="0" w:space="0" w:color="auto"/>
                <w:right w:val="none" w:sz="0" w:space="0" w:color="auto"/>
              </w:divBdr>
            </w:div>
            <w:div w:id="1832863725">
              <w:marLeft w:val="0"/>
              <w:marRight w:val="0"/>
              <w:marTop w:val="0"/>
              <w:marBottom w:val="0"/>
              <w:divBdr>
                <w:top w:val="none" w:sz="0" w:space="0" w:color="auto"/>
                <w:left w:val="none" w:sz="0" w:space="0" w:color="auto"/>
                <w:bottom w:val="none" w:sz="0" w:space="0" w:color="auto"/>
                <w:right w:val="none" w:sz="0" w:space="0" w:color="auto"/>
              </w:divBdr>
            </w:div>
            <w:div w:id="1679120543">
              <w:marLeft w:val="0"/>
              <w:marRight w:val="0"/>
              <w:marTop w:val="0"/>
              <w:marBottom w:val="0"/>
              <w:divBdr>
                <w:top w:val="none" w:sz="0" w:space="0" w:color="auto"/>
                <w:left w:val="none" w:sz="0" w:space="0" w:color="auto"/>
                <w:bottom w:val="none" w:sz="0" w:space="0" w:color="auto"/>
                <w:right w:val="none" w:sz="0" w:space="0" w:color="auto"/>
              </w:divBdr>
            </w:div>
            <w:div w:id="2063868054">
              <w:marLeft w:val="0"/>
              <w:marRight w:val="0"/>
              <w:marTop w:val="0"/>
              <w:marBottom w:val="0"/>
              <w:divBdr>
                <w:top w:val="none" w:sz="0" w:space="0" w:color="auto"/>
                <w:left w:val="none" w:sz="0" w:space="0" w:color="auto"/>
                <w:bottom w:val="none" w:sz="0" w:space="0" w:color="auto"/>
                <w:right w:val="none" w:sz="0" w:space="0" w:color="auto"/>
              </w:divBdr>
            </w:div>
            <w:div w:id="426578846">
              <w:marLeft w:val="0"/>
              <w:marRight w:val="0"/>
              <w:marTop w:val="0"/>
              <w:marBottom w:val="0"/>
              <w:divBdr>
                <w:top w:val="none" w:sz="0" w:space="0" w:color="auto"/>
                <w:left w:val="none" w:sz="0" w:space="0" w:color="auto"/>
                <w:bottom w:val="none" w:sz="0" w:space="0" w:color="auto"/>
                <w:right w:val="none" w:sz="0" w:space="0" w:color="auto"/>
              </w:divBdr>
            </w:div>
            <w:div w:id="602149848">
              <w:marLeft w:val="0"/>
              <w:marRight w:val="0"/>
              <w:marTop w:val="0"/>
              <w:marBottom w:val="0"/>
              <w:divBdr>
                <w:top w:val="none" w:sz="0" w:space="0" w:color="auto"/>
                <w:left w:val="none" w:sz="0" w:space="0" w:color="auto"/>
                <w:bottom w:val="none" w:sz="0" w:space="0" w:color="auto"/>
                <w:right w:val="none" w:sz="0" w:space="0" w:color="auto"/>
              </w:divBdr>
            </w:div>
            <w:div w:id="1329626569">
              <w:marLeft w:val="0"/>
              <w:marRight w:val="0"/>
              <w:marTop w:val="0"/>
              <w:marBottom w:val="0"/>
              <w:divBdr>
                <w:top w:val="none" w:sz="0" w:space="0" w:color="auto"/>
                <w:left w:val="none" w:sz="0" w:space="0" w:color="auto"/>
                <w:bottom w:val="none" w:sz="0" w:space="0" w:color="auto"/>
                <w:right w:val="none" w:sz="0" w:space="0" w:color="auto"/>
              </w:divBdr>
            </w:div>
            <w:div w:id="998000978">
              <w:marLeft w:val="0"/>
              <w:marRight w:val="0"/>
              <w:marTop w:val="0"/>
              <w:marBottom w:val="0"/>
              <w:divBdr>
                <w:top w:val="none" w:sz="0" w:space="0" w:color="auto"/>
                <w:left w:val="none" w:sz="0" w:space="0" w:color="auto"/>
                <w:bottom w:val="none" w:sz="0" w:space="0" w:color="auto"/>
                <w:right w:val="none" w:sz="0" w:space="0" w:color="auto"/>
              </w:divBdr>
            </w:div>
            <w:div w:id="2092771549">
              <w:marLeft w:val="0"/>
              <w:marRight w:val="0"/>
              <w:marTop w:val="0"/>
              <w:marBottom w:val="0"/>
              <w:divBdr>
                <w:top w:val="none" w:sz="0" w:space="0" w:color="auto"/>
                <w:left w:val="none" w:sz="0" w:space="0" w:color="auto"/>
                <w:bottom w:val="none" w:sz="0" w:space="0" w:color="auto"/>
                <w:right w:val="none" w:sz="0" w:space="0" w:color="auto"/>
              </w:divBdr>
            </w:div>
            <w:div w:id="775096364">
              <w:marLeft w:val="0"/>
              <w:marRight w:val="0"/>
              <w:marTop w:val="0"/>
              <w:marBottom w:val="0"/>
              <w:divBdr>
                <w:top w:val="none" w:sz="0" w:space="0" w:color="auto"/>
                <w:left w:val="none" w:sz="0" w:space="0" w:color="auto"/>
                <w:bottom w:val="none" w:sz="0" w:space="0" w:color="auto"/>
                <w:right w:val="none" w:sz="0" w:space="0" w:color="auto"/>
              </w:divBdr>
            </w:div>
            <w:div w:id="85078355">
              <w:marLeft w:val="0"/>
              <w:marRight w:val="0"/>
              <w:marTop w:val="0"/>
              <w:marBottom w:val="0"/>
              <w:divBdr>
                <w:top w:val="none" w:sz="0" w:space="0" w:color="auto"/>
                <w:left w:val="none" w:sz="0" w:space="0" w:color="auto"/>
                <w:bottom w:val="none" w:sz="0" w:space="0" w:color="auto"/>
                <w:right w:val="none" w:sz="0" w:space="0" w:color="auto"/>
              </w:divBdr>
            </w:div>
            <w:div w:id="1345672409">
              <w:marLeft w:val="0"/>
              <w:marRight w:val="0"/>
              <w:marTop w:val="0"/>
              <w:marBottom w:val="0"/>
              <w:divBdr>
                <w:top w:val="none" w:sz="0" w:space="0" w:color="auto"/>
                <w:left w:val="none" w:sz="0" w:space="0" w:color="auto"/>
                <w:bottom w:val="none" w:sz="0" w:space="0" w:color="auto"/>
                <w:right w:val="none" w:sz="0" w:space="0" w:color="auto"/>
              </w:divBdr>
            </w:div>
            <w:div w:id="396975318">
              <w:marLeft w:val="0"/>
              <w:marRight w:val="0"/>
              <w:marTop w:val="0"/>
              <w:marBottom w:val="0"/>
              <w:divBdr>
                <w:top w:val="none" w:sz="0" w:space="0" w:color="auto"/>
                <w:left w:val="none" w:sz="0" w:space="0" w:color="auto"/>
                <w:bottom w:val="none" w:sz="0" w:space="0" w:color="auto"/>
                <w:right w:val="none" w:sz="0" w:space="0" w:color="auto"/>
              </w:divBdr>
            </w:div>
            <w:div w:id="821234387">
              <w:marLeft w:val="0"/>
              <w:marRight w:val="0"/>
              <w:marTop w:val="0"/>
              <w:marBottom w:val="0"/>
              <w:divBdr>
                <w:top w:val="none" w:sz="0" w:space="0" w:color="auto"/>
                <w:left w:val="none" w:sz="0" w:space="0" w:color="auto"/>
                <w:bottom w:val="none" w:sz="0" w:space="0" w:color="auto"/>
                <w:right w:val="none" w:sz="0" w:space="0" w:color="auto"/>
              </w:divBdr>
            </w:div>
            <w:div w:id="953363155">
              <w:marLeft w:val="0"/>
              <w:marRight w:val="0"/>
              <w:marTop w:val="0"/>
              <w:marBottom w:val="0"/>
              <w:divBdr>
                <w:top w:val="none" w:sz="0" w:space="0" w:color="auto"/>
                <w:left w:val="none" w:sz="0" w:space="0" w:color="auto"/>
                <w:bottom w:val="none" w:sz="0" w:space="0" w:color="auto"/>
                <w:right w:val="none" w:sz="0" w:space="0" w:color="auto"/>
              </w:divBdr>
            </w:div>
            <w:div w:id="1846750240">
              <w:marLeft w:val="0"/>
              <w:marRight w:val="0"/>
              <w:marTop w:val="0"/>
              <w:marBottom w:val="0"/>
              <w:divBdr>
                <w:top w:val="none" w:sz="0" w:space="0" w:color="auto"/>
                <w:left w:val="none" w:sz="0" w:space="0" w:color="auto"/>
                <w:bottom w:val="none" w:sz="0" w:space="0" w:color="auto"/>
                <w:right w:val="none" w:sz="0" w:space="0" w:color="auto"/>
              </w:divBdr>
            </w:div>
            <w:div w:id="1741322101">
              <w:marLeft w:val="0"/>
              <w:marRight w:val="0"/>
              <w:marTop w:val="0"/>
              <w:marBottom w:val="0"/>
              <w:divBdr>
                <w:top w:val="none" w:sz="0" w:space="0" w:color="auto"/>
                <w:left w:val="none" w:sz="0" w:space="0" w:color="auto"/>
                <w:bottom w:val="none" w:sz="0" w:space="0" w:color="auto"/>
                <w:right w:val="none" w:sz="0" w:space="0" w:color="auto"/>
              </w:divBdr>
            </w:div>
            <w:div w:id="1782147767">
              <w:marLeft w:val="0"/>
              <w:marRight w:val="0"/>
              <w:marTop w:val="0"/>
              <w:marBottom w:val="0"/>
              <w:divBdr>
                <w:top w:val="none" w:sz="0" w:space="0" w:color="auto"/>
                <w:left w:val="none" w:sz="0" w:space="0" w:color="auto"/>
                <w:bottom w:val="none" w:sz="0" w:space="0" w:color="auto"/>
                <w:right w:val="none" w:sz="0" w:space="0" w:color="auto"/>
              </w:divBdr>
            </w:div>
            <w:div w:id="676426803">
              <w:marLeft w:val="0"/>
              <w:marRight w:val="0"/>
              <w:marTop w:val="0"/>
              <w:marBottom w:val="0"/>
              <w:divBdr>
                <w:top w:val="none" w:sz="0" w:space="0" w:color="auto"/>
                <w:left w:val="none" w:sz="0" w:space="0" w:color="auto"/>
                <w:bottom w:val="none" w:sz="0" w:space="0" w:color="auto"/>
                <w:right w:val="none" w:sz="0" w:space="0" w:color="auto"/>
              </w:divBdr>
            </w:div>
            <w:div w:id="77675774">
              <w:marLeft w:val="0"/>
              <w:marRight w:val="0"/>
              <w:marTop w:val="0"/>
              <w:marBottom w:val="0"/>
              <w:divBdr>
                <w:top w:val="none" w:sz="0" w:space="0" w:color="auto"/>
                <w:left w:val="none" w:sz="0" w:space="0" w:color="auto"/>
                <w:bottom w:val="none" w:sz="0" w:space="0" w:color="auto"/>
                <w:right w:val="none" w:sz="0" w:space="0" w:color="auto"/>
              </w:divBdr>
            </w:div>
            <w:div w:id="1993370102">
              <w:marLeft w:val="0"/>
              <w:marRight w:val="0"/>
              <w:marTop w:val="0"/>
              <w:marBottom w:val="0"/>
              <w:divBdr>
                <w:top w:val="none" w:sz="0" w:space="0" w:color="auto"/>
                <w:left w:val="none" w:sz="0" w:space="0" w:color="auto"/>
                <w:bottom w:val="none" w:sz="0" w:space="0" w:color="auto"/>
                <w:right w:val="none" w:sz="0" w:space="0" w:color="auto"/>
              </w:divBdr>
            </w:div>
            <w:div w:id="958952888">
              <w:marLeft w:val="0"/>
              <w:marRight w:val="0"/>
              <w:marTop w:val="0"/>
              <w:marBottom w:val="0"/>
              <w:divBdr>
                <w:top w:val="none" w:sz="0" w:space="0" w:color="auto"/>
                <w:left w:val="none" w:sz="0" w:space="0" w:color="auto"/>
                <w:bottom w:val="none" w:sz="0" w:space="0" w:color="auto"/>
                <w:right w:val="none" w:sz="0" w:space="0" w:color="auto"/>
              </w:divBdr>
            </w:div>
            <w:div w:id="985815718">
              <w:marLeft w:val="0"/>
              <w:marRight w:val="0"/>
              <w:marTop w:val="0"/>
              <w:marBottom w:val="0"/>
              <w:divBdr>
                <w:top w:val="none" w:sz="0" w:space="0" w:color="auto"/>
                <w:left w:val="none" w:sz="0" w:space="0" w:color="auto"/>
                <w:bottom w:val="none" w:sz="0" w:space="0" w:color="auto"/>
                <w:right w:val="none" w:sz="0" w:space="0" w:color="auto"/>
              </w:divBdr>
            </w:div>
            <w:div w:id="789978743">
              <w:marLeft w:val="0"/>
              <w:marRight w:val="0"/>
              <w:marTop w:val="0"/>
              <w:marBottom w:val="0"/>
              <w:divBdr>
                <w:top w:val="none" w:sz="0" w:space="0" w:color="auto"/>
                <w:left w:val="none" w:sz="0" w:space="0" w:color="auto"/>
                <w:bottom w:val="none" w:sz="0" w:space="0" w:color="auto"/>
                <w:right w:val="none" w:sz="0" w:space="0" w:color="auto"/>
              </w:divBdr>
            </w:div>
            <w:div w:id="1436751805">
              <w:marLeft w:val="0"/>
              <w:marRight w:val="0"/>
              <w:marTop w:val="0"/>
              <w:marBottom w:val="0"/>
              <w:divBdr>
                <w:top w:val="none" w:sz="0" w:space="0" w:color="auto"/>
                <w:left w:val="none" w:sz="0" w:space="0" w:color="auto"/>
                <w:bottom w:val="none" w:sz="0" w:space="0" w:color="auto"/>
                <w:right w:val="none" w:sz="0" w:space="0" w:color="auto"/>
              </w:divBdr>
            </w:div>
            <w:div w:id="1017996958">
              <w:marLeft w:val="0"/>
              <w:marRight w:val="0"/>
              <w:marTop w:val="0"/>
              <w:marBottom w:val="0"/>
              <w:divBdr>
                <w:top w:val="none" w:sz="0" w:space="0" w:color="auto"/>
                <w:left w:val="none" w:sz="0" w:space="0" w:color="auto"/>
                <w:bottom w:val="none" w:sz="0" w:space="0" w:color="auto"/>
                <w:right w:val="none" w:sz="0" w:space="0" w:color="auto"/>
              </w:divBdr>
            </w:div>
            <w:div w:id="1892576098">
              <w:marLeft w:val="0"/>
              <w:marRight w:val="0"/>
              <w:marTop w:val="0"/>
              <w:marBottom w:val="0"/>
              <w:divBdr>
                <w:top w:val="none" w:sz="0" w:space="0" w:color="auto"/>
                <w:left w:val="none" w:sz="0" w:space="0" w:color="auto"/>
                <w:bottom w:val="none" w:sz="0" w:space="0" w:color="auto"/>
                <w:right w:val="none" w:sz="0" w:space="0" w:color="auto"/>
              </w:divBdr>
            </w:div>
            <w:div w:id="860162333">
              <w:marLeft w:val="0"/>
              <w:marRight w:val="0"/>
              <w:marTop w:val="0"/>
              <w:marBottom w:val="0"/>
              <w:divBdr>
                <w:top w:val="none" w:sz="0" w:space="0" w:color="auto"/>
                <w:left w:val="none" w:sz="0" w:space="0" w:color="auto"/>
                <w:bottom w:val="none" w:sz="0" w:space="0" w:color="auto"/>
                <w:right w:val="none" w:sz="0" w:space="0" w:color="auto"/>
              </w:divBdr>
            </w:div>
            <w:div w:id="944844886">
              <w:marLeft w:val="0"/>
              <w:marRight w:val="0"/>
              <w:marTop w:val="0"/>
              <w:marBottom w:val="0"/>
              <w:divBdr>
                <w:top w:val="none" w:sz="0" w:space="0" w:color="auto"/>
                <w:left w:val="none" w:sz="0" w:space="0" w:color="auto"/>
                <w:bottom w:val="none" w:sz="0" w:space="0" w:color="auto"/>
                <w:right w:val="none" w:sz="0" w:space="0" w:color="auto"/>
              </w:divBdr>
            </w:div>
            <w:div w:id="1958557555">
              <w:marLeft w:val="0"/>
              <w:marRight w:val="0"/>
              <w:marTop w:val="0"/>
              <w:marBottom w:val="0"/>
              <w:divBdr>
                <w:top w:val="none" w:sz="0" w:space="0" w:color="auto"/>
                <w:left w:val="none" w:sz="0" w:space="0" w:color="auto"/>
                <w:bottom w:val="none" w:sz="0" w:space="0" w:color="auto"/>
                <w:right w:val="none" w:sz="0" w:space="0" w:color="auto"/>
              </w:divBdr>
            </w:div>
            <w:div w:id="1628705834">
              <w:marLeft w:val="0"/>
              <w:marRight w:val="0"/>
              <w:marTop w:val="0"/>
              <w:marBottom w:val="0"/>
              <w:divBdr>
                <w:top w:val="none" w:sz="0" w:space="0" w:color="auto"/>
                <w:left w:val="none" w:sz="0" w:space="0" w:color="auto"/>
                <w:bottom w:val="none" w:sz="0" w:space="0" w:color="auto"/>
                <w:right w:val="none" w:sz="0" w:space="0" w:color="auto"/>
              </w:divBdr>
            </w:div>
            <w:div w:id="445664312">
              <w:marLeft w:val="0"/>
              <w:marRight w:val="0"/>
              <w:marTop w:val="0"/>
              <w:marBottom w:val="0"/>
              <w:divBdr>
                <w:top w:val="none" w:sz="0" w:space="0" w:color="auto"/>
                <w:left w:val="none" w:sz="0" w:space="0" w:color="auto"/>
                <w:bottom w:val="none" w:sz="0" w:space="0" w:color="auto"/>
                <w:right w:val="none" w:sz="0" w:space="0" w:color="auto"/>
              </w:divBdr>
            </w:div>
            <w:div w:id="409347291">
              <w:marLeft w:val="0"/>
              <w:marRight w:val="0"/>
              <w:marTop w:val="0"/>
              <w:marBottom w:val="0"/>
              <w:divBdr>
                <w:top w:val="none" w:sz="0" w:space="0" w:color="auto"/>
                <w:left w:val="none" w:sz="0" w:space="0" w:color="auto"/>
                <w:bottom w:val="none" w:sz="0" w:space="0" w:color="auto"/>
                <w:right w:val="none" w:sz="0" w:space="0" w:color="auto"/>
              </w:divBdr>
            </w:div>
            <w:div w:id="1872956431">
              <w:marLeft w:val="0"/>
              <w:marRight w:val="0"/>
              <w:marTop w:val="0"/>
              <w:marBottom w:val="0"/>
              <w:divBdr>
                <w:top w:val="none" w:sz="0" w:space="0" w:color="auto"/>
                <w:left w:val="none" w:sz="0" w:space="0" w:color="auto"/>
                <w:bottom w:val="none" w:sz="0" w:space="0" w:color="auto"/>
                <w:right w:val="none" w:sz="0" w:space="0" w:color="auto"/>
              </w:divBdr>
            </w:div>
            <w:div w:id="346294730">
              <w:marLeft w:val="0"/>
              <w:marRight w:val="0"/>
              <w:marTop w:val="0"/>
              <w:marBottom w:val="0"/>
              <w:divBdr>
                <w:top w:val="none" w:sz="0" w:space="0" w:color="auto"/>
                <w:left w:val="none" w:sz="0" w:space="0" w:color="auto"/>
                <w:bottom w:val="none" w:sz="0" w:space="0" w:color="auto"/>
                <w:right w:val="none" w:sz="0" w:space="0" w:color="auto"/>
              </w:divBdr>
            </w:div>
            <w:div w:id="305164410">
              <w:marLeft w:val="0"/>
              <w:marRight w:val="0"/>
              <w:marTop w:val="0"/>
              <w:marBottom w:val="0"/>
              <w:divBdr>
                <w:top w:val="none" w:sz="0" w:space="0" w:color="auto"/>
                <w:left w:val="none" w:sz="0" w:space="0" w:color="auto"/>
                <w:bottom w:val="none" w:sz="0" w:space="0" w:color="auto"/>
                <w:right w:val="none" w:sz="0" w:space="0" w:color="auto"/>
              </w:divBdr>
            </w:div>
            <w:div w:id="436023971">
              <w:marLeft w:val="0"/>
              <w:marRight w:val="0"/>
              <w:marTop w:val="0"/>
              <w:marBottom w:val="0"/>
              <w:divBdr>
                <w:top w:val="none" w:sz="0" w:space="0" w:color="auto"/>
                <w:left w:val="none" w:sz="0" w:space="0" w:color="auto"/>
                <w:bottom w:val="none" w:sz="0" w:space="0" w:color="auto"/>
                <w:right w:val="none" w:sz="0" w:space="0" w:color="auto"/>
              </w:divBdr>
            </w:div>
            <w:div w:id="950672210">
              <w:marLeft w:val="0"/>
              <w:marRight w:val="0"/>
              <w:marTop w:val="0"/>
              <w:marBottom w:val="0"/>
              <w:divBdr>
                <w:top w:val="none" w:sz="0" w:space="0" w:color="auto"/>
                <w:left w:val="none" w:sz="0" w:space="0" w:color="auto"/>
                <w:bottom w:val="none" w:sz="0" w:space="0" w:color="auto"/>
                <w:right w:val="none" w:sz="0" w:space="0" w:color="auto"/>
              </w:divBdr>
            </w:div>
            <w:div w:id="847138068">
              <w:marLeft w:val="0"/>
              <w:marRight w:val="0"/>
              <w:marTop w:val="0"/>
              <w:marBottom w:val="0"/>
              <w:divBdr>
                <w:top w:val="none" w:sz="0" w:space="0" w:color="auto"/>
                <w:left w:val="none" w:sz="0" w:space="0" w:color="auto"/>
                <w:bottom w:val="none" w:sz="0" w:space="0" w:color="auto"/>
                <w:right w:val="none" w:sz="0" w:space="0" w:color="auto"/>
              </w:divBdr>
            </w:div>
            <w:div w:id="153616646">
              <w:marLeft w:val="0"/>
              <w:marRight w:val="0"/>
              <w:marTop w:val="0"/>
              <w:marBottom w:val="0"/>
              <w:divBdr>
                <w:top w:val="none" w:sz="0" w:space="0" w:color="auto"/>
                <w:left w:val="none" w:sz="0" w:space="0" w:color="auto"/>
                <w:bottom w:val="none" w:sz="0" w:space="0" w:color="auto"/>
                <w:right w:val="none" w:sz="0" w:space="0" w:color="auto"/>
              </w:divBdr>
            </w:div>
            <w:div w:id="1260522045">
              <w:marLeft w:val="0"/>
              <w:marRight w:val="0"/>
              <w:marTop w:val="0"/>
              <w:marBottom w:val="0"/>
              <w:divBdr>
                <w:top w:val="none" w:sz="0" w:space="0" w:color="auto"/>
                <w:left w:val="none" w:sz="0" w:space="0" w:color="auto"/>
                <w:bottom w:val="none" w:sz="0" w:space="0" w:color="auto"/>
                <w:right w:val="none" w:sz="0" w:space="0" w:color="auto"/>
              </w:divBdr>
            </w:div>
            <w:div w:id="1506433682">
              <w:marLeft w:val="0"/>
              <w:marRight w:val="0"/>
              <w:marTop w:val="0"/>
              <w:marBottom w:val="0"/>
              <w:divBdr>
                <w:top w:val="none" w:sz="0" w:space="0" w:color="auto"/>
                <w:left w:val="none" w:sz="0" w:space="0" w:color="auto"/>
                <w:bottom w:val="none" w:sz="0" w:space="0" w:color="auto"/>
                <w:right w:val="none" w:sz="0" w:space="0" w:color="auto"/>
              </w:divBdr>
            </w:div>
            <w:div w:id="665865191">
              <w:marLeft w:val="0"/>
              <w:marRight w:val="0"/>
              <w:marTop w:val="0"/>
              <w:marBottom w:val="0"/>
              <w:divBdr>
                <w:top w:val="none" w:sz="0" w:space="0" w:color="auto"/>
                <w:left w:val="none" w:sz="0" w:space="0" w:color="auto"/>
                <w:bottom w:val="none" w:sz="0" w:space="0" w:color="auto"/>
                <w:right w:val="none" w:sz="0" w:space="0" w:color="auto"/>
              </w:divBdr>
            </w:div>
            <w:div w:id="2053461862">
              <w:marLeft w:val="0"/>
              <w:marRight w:val="0"/>
              <w:marTop w:val="0"/>
              <w:marBottom w:val="0"/>
              <w:divBdr>
                <w:top w:val="none" w:sz="0" w:space="0" w:color="auto"/>
                <w:left w:val="none" w:sz="0" w:space="0" w:color="auto"/>
                <w:bottom w:val="none" w:sz="0" w:space="0" w:color="auto"/>
                <w:right w:val="none" w:sz="0" w:space="0" w:color="auto"/>
              </w:divBdr>
            </w:div>
            <w:div w:id="336272777">
              <w:marLeft w:val="0"/>
              <w:marRight w:val="0"/>
              <w:marTop w:val="0"/>
              <w:marBottom w:val="0"/>
              <w:divBdr>
                <w:top w:val="none" w:sz="0" w:space="0" w:color="auto"/>
                <w:left w:val="none" w:sz="0" w:space="0" w:color="auto"/>
                <w:bottom w:val="none" w:sz="0" w:space="0" w:color="auto"/>
                <w:right w:val="none" w:sz="0" w:space="0" w:color="auto"/>
              </w:divBdr>
            </w:div>
            <w:div w:id="526798514">
              <w:marLeft w:val="0"/>
              <w:marRight w:val="0"/>
              <w:marTop w:val="0"/>
              <w:marBottom w:val="0"/>
              <w:divBdr>
                <w:top w:val="none" w:sz="0" w:space="0" w:color="auto"/>
                <w:left w:val="none" w:sz="0" w:space="0" w:color="auto"/>
                <w:bottom w:val="none" w:sz="0" w:space="0" w:color="auto"/>
                <w:right w:val="none" w:sz="0" w:space="0" w:color="auto"/>
              </w:divBdr>
            </w:div>
            <w:div w:id="335545336">
              <w:marLeft w:val="0"/>
              <w:marRight w:val="0"/>
              <w:marTop w:val="0"/>
              <w:marBottom w:val="0"/>
              <w:divBdr>
                <w:top w:val="none" w:sz="0" w:space="0" w:color="auto"/>
                <w:left w:val="none" w:sz="0" w:space="0" w:color="auto"/>
                <w:bottom w:val="none" w:sz="0" w:space="0" w:color="auto"/>
                <w:right w:val="none" w:sz="0" w:space="0" w:color="auto"/>
              </w:divBdr>
            </w:div>
            <w:div w:id="1225600565">
              <w:marLeft w:val="0"/>
              <w:marRight w:val="0"/>
              <w:marTop w:val="0"/>
              <w:marBottom w:val="0"/>
              <w:divBdr>
                <w:top w:val="none" w:sz="0" w:space="0" w:color="auto"/>
                <w:left w:val="none" w:sz="0" w:space="0" w:color="auto"/>
                <w:bottom w:val="none" w:sz="0" w:space="0" w:color="auto"/>
                <w:right w:val="none" w:sz="0" w:space="0" w:color="auto"/>
              </w:divBdr>
            </w:div>
            <w:div w:id="979649387">
              <w:marLeft w:val="0"/>
              <w:marRight w:val="0"/>
              <w:marTop w:val="0"/>
              <w:marBottom w:val="0"/>
              <w:divBdr>
                <w:top w:val="none" w:sz="0" w:space="0" w:color="auto"/>
                <w:left w:val="none" w:sz="0" w:space="0" w:color="auto"/>
                <w:bottom w:val="none" w:sz="0" w:space="0" w:color="auto"/>
                <w:right w:val="none" w:sz="0" w:space="0" w:color="auto"/>
              </w:divBdr>
            </w:div>
            <w:div w:id="1938561460">
              <w:marLeft w:val="0"/>
              <w:marRight w:val="0"/>
              <w:marTop w:val="0"/>
              <w:marBottom w:val="0"/>
              <w:divBdr>
                <w:top w:val="none" w:sz="0" w:space="0" w:color="auto"/>
                <w:left w:val="none" w:sz="0" w:space="0" w:color="auto"/>
                <w:bottom w:val="none" w:sz="0" w:space="0" w:color="auto"/>
                <w:right w:val="none" w:sz="0" w:space="0" w:color="auto"/>
              </w:divBdr>
            </w:div>
            <w:div w:id="570971214">
              <w:marLeft w:val="0"/>
              <w:marRight w:val="0"/>
              <w:marTop w:val="0"/>
              <w:marBottom w:val="0"/>
              <w:divBdr>
                <w:top w:val="none" w:sz="0" w:space="0" w:color="auto"/>
                <w:left w:val="none" w:sz="0" w:space="0" w:color="auto"/>
                <w:bottom w:val="none" w:sz="0" w:space="0" w:color="auto"/>
                <w:right w:val="none" w:sz="0" w:space="0" w:color="auto"/>
              </w:divBdr>
            </w:div>
            <w:div w:id="1222909939">
              <w:marLeft w:val="0"/>
              <w:marRight w:val="0"/>
              <w:marTop w:val="0"/>
              <w:marBottom w:val="0"/>
              <w:divBdr>
                <w:top w:val="none" w:sz="0" w:space="0" w:color="auto"/>
                <w:left w:val="none" w:sz="0" w:space="0" w:color="auto"/>
                <w:bottom w:val="none" w:sz="0" w:space="0" w:color="auto"/>
                <w:right w:val="none" w:sz="0" w:space="0" w:color="auto"/>
              </w:divBdr>
            </w:div>
            <w:div w:id="853305580">
              <w:marLeft w:val="0"/>
              <w:marRight w:val="0"/>
              <w:marTop w:val="0"/>
              <w:marBottom w:val="0"/>
              <w:divBdr>
                <w:top w:val="none" w:sz="0" w:space="0" w:color="auto"/>
                <w:left w:val="none" w:sz="0" w:space="0" w:color="auto"/>
                <w:bottom w:val="none" w:sz="0" w:space="0" w:color="auto"/>
                <w:right w:val="none" w:sz="0" w:space="0" w:color="auto"/>
              </w:divBdr>
            </w:div>
            <w:div w:id="1219321419">
              <w:marLeft w:val="0"/>
              <w:marRight w:val="0"/>
              <w:marTop w:val="0"/>
              <w:marBottom w:val="0"/>
              <w:divBdr>
                <w:top w:val="none" w:sz="0" w:space="0" w:color="auto"/>
                <w:left w:val="none" w:sz="0" w:space="0" w:color="auto"/>
                <w:bottom w:val="none" w:sz="0" w:space="0" w:color="auto"/>
                <w:right w:val="none" w:sz="0" w:space="0" w:color="auto"/>
              </w:divBdr>
            </w:div>
            <w:div w:id="141967528">
              <w:marLeft w:val="0"/>
              <w:marRight w:val="0"/>
              <w:marTop w:val="0"/>
              <w:marBottom w:val="0"/>
              <w:divBdr>
                <w:top w:val="none" w:sz="0" w:space="0" w:color="auto"/>
                <w:left w:val="none" w:sz="0" w:space="0" w:color="auto"/>
                <w:bottom w:val="none" w:sz="0" w:space="0" w:color="auto"/>
                <w:right w:val="none" w:sz="0" w:space="0" w:color="auto"/>
              </w:divBdr>
            </w:div>
            <w:div w:id="77674421">
              <w:marLeft w:val="0"/>
              <w:marRight w:val="0"/>
              <w:marTop w:val="0"/>
              <w:marBottom w:val="0"/>
              <w:divBdr>
                <w:top w:val="none" w:sz="0" w:space="0" w:color="auto"/>
                <w:left w:val="none" w:sz="0" w:space="0" w:color="auto"/>
                <w:bottom w:val="none" w:sz="0" w:space="0" w:color="auto"/>
                <w:right w:val="none" w:sz="0" w:space="0" w:color="auto"/>
              </w:divBdr>
            </w:div>
            <w:div w:id="757992290">
              <w:marLeft w:val="0"/>
              <w:marRight w:val="0"/>
              <w:marTop w:val="0"/>
              <w:marBottom w:val="0"/>
              <w:divBdr>
                <w:top w:val="none" w:sz="0" w:space="0" w:color="auto"/>
                <w:left w:val="none" w:sz="0" w:space="0" w:color="auto"/>
                <w:bottom w:val="none" w:sz="0" w:space="0" w:color="auto"/>
                <w:right w:val="none" w:sz="0" w:space="0" w:color="auto"/>
              </w:divBdr>
            </w:div>
            <w:div w:id="1128203174">
              <w:marLeft w:val="0"/>
              <w:marRight w:val="0"/>
              <w:marTop w:val="0"/>
              <w:marBottom w:val="0"/>
              <w:divBdr>
                <w:top w:val="none" w:sz="0" w:space="0" w:color="auto"/>
                <w:left w:val="none" w:sz="0" w:space="0" w:color="auto"/>
                <w:bottom w:val="none" w:sz="0" w:space="0" w:color="auto"/>
                <w:right w:val="none" w:sz="0" w:space="0" w:color="auto"/>
              </w:divBdr>
            </w:div>
            <w:div w:id="323052695">
              <w:marLeft w:val="0"/>
              <w:marRight w:val="0"/>
              <w:marTop w:val="0"/>
              <w:marBottom w:val="0"/>
              <w:divBdr>
                <w:top w:val="none" w:sz="0" w:space="0" w:color="auto"/>
                <w:left w:val="none" w:sz="0" w:space="0" w:color="auto"/>
                <w:bottom w:val="none" w:sz="0" w:space="0" w:color="auto"/>
                <w:right w:val="none" w:sz="0" w:space="0" w:color="auto"/>
              </w:divBdr>
            </w:div>
            <w:div w:id="249238509">
              <w:marLeft w:val="0"/>
              <w:marRight w:val="0"/>
              <w:marTop w:val="0"/>
              <w:marBottom w:val="0"/>
              <w:divBdr>
                <w:top w:val="none" w:sz="0" w:space="0" w:color="auto"/>
                <w:left w:val="none" w:sz="0" w:space="0" w:color="auto"/>
                <w:bottom w:val="none" w:sz="0" w:space="0" w:color="auto"/>
                <w:right w:val="none" w:sz="0" w:space="0" w:color="auto"/>
              </w:divBdr>
            </w:div>
            <w:div w:id="23680340">
              <w:marLeft w:val="0"/>
              <w:marRight w:val="0"/>
              <w:marTop w:val="0"/>
              <w:marBottom w:val="0"/>
              <w:divBdr>
                <w:top w:val="none" w:sz="0" w:space="0" w:color="auto"/>
                <w:left w:val="none" w:sz="0" w:space="0" w:color="auto"/>
                <w:bottom w:val="none" w:sz="0" w:space="0" w:color="auto"/>
                <w:right w:val="none" w:sz="0" w:space="0" w:color="auto"/>
              </w:divBdr>
            </w:div>
            <w:div w:id="475295016">
              <w:marLeft w:val="0"/>
              <w:marRight w:val="0"/>
              <w:marTop w:val="0"/>
              <w:marBottom w:val="0"/>
              <w:divBdr>
                <w:top w:val="none" w:sz="0" w:space="0" w:color="auto"/>
                <w:left w:val="none" w:sz="0" w:space="0" w:color="auto"/>
                <w:bottom w:val="none" w:sz="0" w:space="0" w:color="auto"/>
                <w:right w:val="none" w:sz="0" w:space="0" w:color="auto"/>
              </w:divBdr>
            </w:div>
            <w:div w:id="812527064">
              <w:marLeft w:val="0"/>
              <w:marRight w:val="0"/>
              <w:marTop w:val="0"/>
              <w:marBottom w:val="0"/>
              <w:divBdr>
                <w:top w:val="none" w:sz="0" w:space="0" w:color="auto"/>
                <w:left w:val="none" w:sz="0" w:space="0" w:color="auto"/>
                <w:bottom w:val="none" w:sz="0" w:space="0" w:color="auto"/>
                <w:right w:val="none" w:sz="0" w:space="0" w:color="auto"/>
              </w:divBdr>
            </w:div>
            <w:div w:id="1554391639">
              <w:marLeft w:val="0"/>
              <w:marRight w:val="0"/>
              <w:marTop w:val="0"/>
              <w:marBottom w:val="0"/>
              <w:divBdr>
                <w:top w:val="none" w:sz="0" w:space="0" w:color="auto"/>
                <w:left w:val="none" w:sz="0" w:space="0" w:color="auto"/>
                <w:bottom w:val="none" w:sz="0" w:space="0" w:color="auto"/>
                <w:right w:val="none" w:sz="0" w:space="0" w:color="auto"/>
              </w:divBdr>
            </w:div>
            <w:div w:id="1853489687">
              <w:marLeft w:val="0"/>
              <w:marRight w:val="0"/>
              <w:marTop w:val="0"/>
              <w:marBottom w:val="0"/>
              <w:divBdr>
                <w:top w:val="none" w:sz="0" w:space="0" w:color="auto"/>
                <w:left w:val="none" w:sz="0" w:space="0" w:color="auto"/>
                <w:bottom w:val="none" w:sz="0" w:space="0" w:color="auto"/>
                <w:right w:val="none" w:sz="0" w:space="0" w:color="auto"/>
              </w:divBdr>
            </w:div>
            <w:div w:id="1023214358">
              <w:marLeft w:val="0"/>
              <w:marRight w:val="0"/>
              <w:marTop w:val="0"/>
              <w:marBottom w:val="0"/>
              <w:divBdr>
                <w:top w:val="none" w:sz="0" w:space="0" w:color="auto"/>
                <w:left w:val="none" w:sz="0" w:space="0" w:color="auto"/>
                <w:bottom w:val="none" w:sz="0" w:space="0" w:color="auto"/>
                <w:right w:val="none" w:sz="0" w:space="0" w:color="auto"/>
              </w:divBdr>
            </w:div>
            <w:div w:id="1527213437">
              <w:marLeft w:val="0"/>
              <w:marRight w:val="0"/>
              <w:marTop w:val="0"/>
              <w:marBottom w:val="0"/>
              <w:divBdr>
                <w:top w:val="none" w:sz="0" w:space="0" w:color="auto"/>
                <w:left w:val="none" w:sz="0" w:space="0" w:color="auto"/>
                <w:bottom w:val="none" w:sz="0" w:space="0" w:color="auto"/>
                <w:right w:val="none" w:sz="0" w:space="0" w:color="auto"/>
              </w:divBdr>
            </w:div>
            <w:div w:id="263153632">
              <w:marLeft w:val="0"/>
              <w:marRight w:val="0"/>
              <w:marTop w:val="0"/>
              <w:marBottom w:val="0"/>
              <w:divBdr>
                <w:top w:val="none" w:sz="0" w:space="0" w:color="auto"/>
                <w:left w:val="none" w:sz="0" w:space="0" w:color="auto"/>
                <w:bottom w:val="none" w:sz="0" w:space="0" w:color="auto"/>
                <w:right w:val="none" w:sz="0" w:space="0" w:color="auto"/>
              </w:divBdr>
            </w:div>
            <w:div w:id="828525695">
              <w:marLeft w:val="0"/>
              <w:marRight w:val="0"/>
              <w:marTop w:val="0"/>
              <w:marBottom w:val="0"/>
              <w:divBdr>
                <w:top w:val="none" w:sz="0" w:space="0" w:color="auto"/>
                <w:left w:val="none" w:sz="0" w:space="0" w:color="auto"/>
                <w:bottom w:val="none" w:sz="0" w:space="0" w:color="auto"/>
                <w:right w:val="none" w:sz="0" w:space="0" w:color="auto"/>
              </w:divBdr>
            </w:div>
            <w:div w:id="12991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775">
      <w:bodyDiv w:val="1"/>
      <w:marLeft w:val="0"/>
      <w:marRight w:val="0"/>
      <w:marTop w:val="0"/>
      <w:marBottom w:val="0"/>
      <w:divBdr>
        <w:top w:val="none" w:sz="0" w:space="0" w:color="auto"/>
        <w:left w:val="none" w:sz="0" w:space="0" w:color="auto"/>
        <w:bottom w:val="none" w:sz="0" w:space="0" w:color="auto"/>
        <w:right w:val="none" w:sz="0" w:space="0" w:color="auto"/>
      </w:divBdr>
    </w:div>
    <w:div w:id="957837990">
      <w:bodyDiv w:val="1"/>
      <w:marLeft w:val="0"/>
      <w:marRight w:val="0"/>
      <w:marTop w:val="0"/>
      <w:marBottom w:val="0"/>
      <w:divBdr>
        <w:top w:val="none" w:sz="0" w:space="0" w:color="auto"/>
        <w:left w:val="none" w:sz="0" w:space="0" w:color="auto"/>
        <w:bottom w:val="none" w:sz="0" w:space="0" w:color="auto"/>
        <w:right w:val="none" w:sz="0" w:space="0" w:color="auto"/>
      </w:divBdr>
      <w:divsChild>
        <w:div w:id="171577313">
          <w:marLeft w:val="480"/>
          <w:marRight w:val="0"/>
          <w:marTop w:val="0"/>
          <w:marBottom w:val="0"/>
          <w:divBdr>
            <w:top w:val="none" w:sz="0" w:space="0" w:color="auto"/>
            <w:left w:val="none" w:sz="0" w:space="0" w:color="auto"/>
            <w:bottom w:val="none" w:sz="0" w:space="0" w:color="auto"/>
            <w:right w:val="none" w:sz="0" w:space="0" w:color="auto"/>
          </w:divBdr>
          <w:divsChild>
            <w:div w:id="11070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5660">
      <w:bodyDiv w:val="1"/>
      <w:marLeft w:val="0"/>
      <w:marRight w:val="0"/>
      <w:marTop w:val="0"/>
      <w:marBottom w:val="0"/>
      <w:divBdr>
        <w:top w:val="none" w:sz="0" w:space="0" w:color="auto"/>
        <w:left w:val="none" w:sz="0" w:space="0" w:color="auto"/>
        <w:bottom w:val="none" w:sz="0" w:space="0" w:color="auto"/>
        <w:right w:val="none" w:sz="0" w:space="0" w:color="auto"/>
      </w:divBdr>
    </w:div>
    <w:div w:id="1042441878">
      <w:bodyDiv w:val="1"/>
      <w:marLeft w:val="0"/>
      <w:marRight w:val="0"/>
      <w:marTop w:val="0"/>
      <w:marBottom w:val="0"/>
      <w:divBdr>
        <w:top w:val="none" w:sz="0" w:space="0" w:color="auto"/>
        <w:left w:val="none" w:sz="0" w:space="0" w:color="auto"/>
        <w:bottom w:val="none" w:sz="0" w:space="0" w:color="auto"/>
        <w:right w:val="none" w:sz="0" w:space="0" w:color="auto"/>
      </w:divBdr>
      <w:divsChild>
        <w:div w:id="2111536342">
          <w:marLeft w:val="0"/>
          <w:marRight w:val="0"/>
          <w:marTop w:val="0"/>
          <w:marBottom w:val="0"/>
          <w:divBdr>
            <w:top w:val="none" w:sz="0" w:space="0" w:color="auto"/>
            <w:left w:val="none" w:sz="0" w:space="0" w:color="auto"/>
            <w:bottom w:val="none" w:sz="0" w:space="0" w:color="auto"/>
            <w:right w:val="none" w:sz="0" w:space="0" w:color="auto"/>
          </w:divBdr>
          <w:divsChild>
            <w:div w:id="7281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6946">
      <w:bodyDiv w:val="1"/>
      <w:marLeft w:val="0"/>
      <w:marRight w:val="0"/>
      <w:marTop w:val="0"/>
      <w:marBottom w:val="0"/>
      <w:divBdr>
        <w:top w:val="none" w:sz="0" w:space="0" w:color="auto"/>
        <w:left w:val="none" w:sz="0" w:space="0" w:color="auto"/>
        <w:bottom w:val="none" w:sz="0" w:space="0" w:color="auto"/>
        <w:right w:val="none" w:sz="0" w:space="0" w:color="auto"/>
      </w:divBdr>
      <w:divsChild>
        <w:div w:id="968363641">
          <w:marLeft w:val="480"/>
          <w:marRight w:val="0"/>
          <w:marTop w:val="0"/>
          <w:marBottom w:val="0"/>
          <w:divBdr>
            <w:top w:val="none" w:sz="0" w:space="0" w:color="auto"/>
            <w:left w:val="none" w:sz="0" w:space="0" w:color="auto"/>
            <w:bottom w:val="none" w:sz="0" w:space="0" w:color="auto"/>
            <w:right w:val="none" w:sz="0" w:space="0" w:color="auto"/>
          </w:divBdr>
          <w:divsChild>
            <w:div w:id="9228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5641">
      <w:bodyDiv w:val="1"/>
      <w:marLeft w:val="0"/>
      <w:marRight w:val="0"/>
      <w:marTop w:val="0"/>
      <w:marBottom w:val="0"/>
      <w:divBdr>
        <w:top w:val="none" w:sz="0" w:space="0" w:color="auto"/>
        <w:left w:val="none" w:sz="0" w:space="0" w:color="auto"/>
        <w:bottom w:val="none" w:sz="0" w:space="0" w:color="auto"/>
        <w:right w:val="none" w:sz="0" w:space="0" w:color="auto"/>
      </w:divBdr>
      <w:divsChild>
        <w:div w:id="458063608">
          <w:marLeft w:val="720"/>
          <w:marRight w:val="0"/>
          <w:marTop w:val="200"/>
          <w:marBottom w:val="0"/>
          <w:divBdr>
            <w:top w:val="none" w:sz="0" w:space="0" w:color="auto"/>
            <w:left w:val="none" w:sz="0" w:space="0" w:color="auto"/>
            <w:bottom w:val="none" w:sz="0" w:space="0" w:color="auto"/>
            <w:right w:val="none" w:sz="0" w:space="0" w:color="auto"/>
          </w:divBdr>
        </w:div>
        <w:div w:id="472674044">
          <w:marLeft w:val="720"/>
          <w:marRight w:val="0"/>
          <w:marTop w:val="200"/>
          <w:marBottom w:val="0"/>
          <w:divBdr>
            <w:top w:val="none" w:sz="0" w:space="0" w:color="auto"/>
            <w:left w:val="none" w:sz="0" w:space="0" w:color="auto"/>
            <w:bottom w:val="none" w:sz="0" w:space="0" w:color="auto"/>
            <w:right w:val="none" w:sz="0" w:space="0" w:color="auto"/>
          </w:divBdr>
        </w:div>
        <w:div w:id="1254514567">
          <w:marLeft w:val="720"/>
          <w:marRight w:val="0"/>
          <w:marTop w:val="200"/>
          <w:marBottom w:val="0"/>
          <w:divBdr>
            <w:top w:val="none" w:sz="0" w:space="0" w:color="auto"/>
            <w:left w:val="none" w:sz="0" w:space="0" w:color="auto"/>
            <w:bottom w:val="none" w:sz="0" w:space="0" w:color="auto"/>
            <w:right w:val="none" w:sz="0" w:space="0" w:color="auto"/>
          </w:divBdr>
        </w:div>
        <w:div w:id="896008744">
          <w:marLeft w:val="1440"/>
          <w:marRight w:val="0"/>
          <w:marTop w:val="100"/>
          <w:marBottom w:val="0"/>
          <w:divBdr>
            <w:top w:val="none" w:sz="0" w:space="0" w:color="auto"/>
            <w:left w:val="none" w:sz="0" w:space="0" w:color="auto"/>
            <w:bottom w:val="none" w:sz="0" w:space="0" w:color="auto"/>
            <w:right w:val="none" w:sz="0" w:space="0" w:color="auto"/>
          </w:divBdr>
        </w:div>
        <w:div w:id="1375888174">
          <w:marLeft w:val="1440"/>
          <w:marRight w:val="0"/>
          <w:marTop w:val="100"/>
          <w:marBottom w:val="0"/>
          <w:divBdr>
            <w:top w:val="none" w:sz="0" w:space="0" w:color="auto"/>
            <w:left w:val="none" w:sz="0" w:space="0" w:color="auto"/>
            <w:bottom w:val="none" w:sz="0" w:space="0" w:color="auto"/>
            <w:right w:val="none" w:sz="0" w:space="0" w:color="auto"/>
          </w:divBdr>
        </w:div>
        <w:div w:id="62799227">
          <w:marLeft w:val="1440"/>
          <w:marRight w:val="0"/>
          <w:marTop w:val="100"/>
          <w:marBottom w:val="0"/>
          <w:divBdr>
            <w:top w:val="none" w:sz="0" w:space="0" w:color="auto"/>
            <w:left w:val="none" w:sz="0" w:space="0" w:color="auto"/>
            <w:bottom w:val="none" w:sz="0" w:space="0" w:color="auto"/>
            <w:right w:val="none" w:sz="0" w:space="0" w:color="auto"/>
          </w:divBdr>
        </w:div>
        <w:div w:id="811825408">
          <w:marLeft w:val="1440"/>
          <w:marRight w:val="0"/>
          <w:marTop w:val="100"/>
          <w:marBottom w:val="0"/>
          <w:divBdr>
            <w:top w:val="none" w:sz="0" w:space="0" w:color="auto"/>
            <w:left w:val="none" w:sz="0" w:space="0" w:color="auto"/>
            <w:bottom w:val="none" w:sz="0" w:space="0" w:color="auto"/>
            <w:right w:val="none" w:sz="0" w:space="0" w:color="auto"/>
          </w:divBdr>
        </w:div>
        <w:div w:id="713771242">
          <w:marLeft w:val="1440"/>
          <w:marRight w:val="0"/>
          <w:marTop w:val="100"/>
          <w:marBottom w:val="0"/>
          <w:divBdr>
            <w:top w:val="none" w:sz="0" w:space="0" w:color="auto"/>
            <w:left w:val="none" w:sz="0" w:space="0" w:color="auto"/>
            <w:bottom w:val="none" w:sz="0" w:space="0" w:color="auto"/>
            <w:right w:val="none" w:sz="0" w:space="0" w:color="auto"/>
          </w:divBdr>
        </w:div>
        <w:div w:id="442116247">
          <w:marLeft w:val="720"/>
          <w:marRight w:val="0"/>
          <w:marTop w:val="200"/>
          <w:marBottom w:val="0"/>
          <w:divBdr>
            <w:top w:val="none" w:sz="0" w:space="0" w:color="auto"/>
            <w:left w:val="none" w:sz="0" w:space="0" w:color="auto"/>
            <w:bottom w:val="none" w:sz="0" w:space="0" w:color="auto"/>
            <w:right w:val="none" w:sz="0" w:space="0" w:color="auto"/>
          </w:divBdr>
        </w:div>
      </w:divsChild>
    </w:div>
    <w:div w:id="1087456466">
      <w:bodyDiv w:val="1"/>
      <w:marLeft w:val="0"/>
      <w:marRight w:val="0"/>
      <w:marTop w:val="0"/>
      <w:marBottom w:val="0"/>
      <w:divBdr>
        <w:top w:val="none" w:sz="0" w:space="0" w:color="auto"/>
        <w:left w:val="none" w:sz="0" w:space="0" w:color="auto"/>
        <w:bottom w:val="none" w:sz="0" w:space="0" w:color="auto"/>
        <w:right w:val="none" w:sz="0" w:space="0" w:color="auto"/>
      </w:divBdr>
    </w:div>
    <w:div w:id="1094202272">
      <w:bodyDiv w:val="1"/>
      <w:marLeft w:val="0"/>
      <w:marRight w:val="0"/>
      <w:marTop w:val="0"/>
      <w:marBottom w:val="0"/>
      <w:divBdr>
        <w:top w:val="none" w:sz="0" w:space="0" w:color="auto"/>
        <w:left w:val="none" w:sz="0" w:space="0" w:color="auto"/>
        <w:bottom w:val="none" w:sz="0" w:space="0" w:color="auto"/>
        <w:right w:val="none" w:sz="0" w:space="0" w:color="auto"/>
      </w:divBdr>
      <w:divsChild>
        <w:div w:id="962537760">
          <w:marLeft w:val="480"/>
          <w:marRight w:val="0"/>
          <w:marTop w:val="0"/>
          <w:marBottom w:val="0"/>
          <w:divBdr>
            <w:top w:val="none" w:sz="0" w:space="0" w:color="auto"/>
            <w:left w:val="none" w:sz="0" w:space="0" w:color="auto"/>
            <w:bottom w:val="none" w:sz="0" w:space="0" w:color="auto"/>
            <w:right w:val="none" w:sz="0" w:space="0" w:color="auto"/>
          </w:divBdr>
          <w:divsChild>
            <w:div w:id="4553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5484">
      <w:bodyDiv w:val="1"/>
      <w:marLeft w:val="0"/>
      <w:marRight w:val="0"/>
      <w:marTop w:val="0"/>
      <w:marBottom w:val="0"/>
      <w:divBdr>
        <w:top w:val="none" w:sz="0" w:space="0" w:color="auto"/>
        <w:left w:val="none" w:sz="0" w:space="0" w:color="auto"/>
        <w:bottom w:val="none" w:sz="0" w:space="0" w:color="auto"/>
        <w:right w:val="none" w:sz="0" w:space="0" w:color="auto"/>
      </w:divBdr>
      <w:divsChild>
        <w:div w:id="2061898548">
          <w:marLeft w:val="0"/>
          <w:marRight w:val="0"/>
          <w:marTop w:val="0"/>
          <w:marBottom w:val="0"/>
          <w:divBdr>
            <w:top w:val="none" w:sz="0" w:space="0" w:color="auto"/>
            <w:left w:val="none" w:sz="0" w:space="0" w:color="auto"/>
            <w:bottom w:val="none" w:sz="0" w:space="0" w:color="auto"/>
            <w:right w:val="none" w:sz="0" w:space="0" w:color="auto"/>
          </w:divBdr>
          <w:divsChild>
            <w:div w:id="12179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7217">
      <w:bodyDiv w:val="1"/>
      <w:marLeft w:val="0"/>
      <w:marRight w:val="0"/>
      <w:marTop w:val="0"/>
      <w:marBottom w:val="0"/>
      <w:divBdr>
        <w:top w:val="none" w:sz="0" w:space="0" w:color="auto"/>
        <w:left w:val="none" w:sz="0" w:space="0" w:color="auto"/>
        <w:bottom w:val="none" w:sz="0" w:space="0" w:color="auto"/>
        <w:right w:val="none" w:sz="0" w:space="0" w:color="auto"/>
      </w:divBdr>
    </w:div>
    <w:div w:id="1191259094">
      <w:bodyDiv w:val="1"/>
      <w:marLeft w:val="0"/>
      <w:marRight w:val="0"/>
      <w:marTop w:val="0"/>
      <w:marBottom w:val="0"/>
      <w:divBdr>
        <w:top w:val="none" w:sz="0" w:space="0" w:color="auto"/>
        <w:left w:val="none" w:sz="0" w:space="0" w:color="auto"/>
        <w:bottom w:val="none" w:sz="0" w:space="0" w:color="auto"/>
        <w:right w:val="none" w:sz="0" w:space="0" w:color="auto"/>
      </w:divBdr>
      <w:divsChild>
        <w:div w:id="316150227">
          <w:marLeft w:val="0"/>
          <w:marRight w:val="0"/>
          <w:marTop w:val="0"/>
          <w:marBottom w:val="0"/>
          <w:divBdr>
            <w:top w:val="none" w:sz="0" w:space="0" w:color="auto"/>
            <w:left w:val="none" w:sz="0" w:space="0" w:color="auto"/>
            <w:bottom w:val="none" w:sz="0" w:space="0" w:color="auto"/>
            <w:right w:val="none" w:sz="0" w:space="0" w:color="auto"/>
          </w:divBdr>
          <w:divsChild>
            <w:div w:id="13418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2569">
      <w:bodyDiv w:val="1"/>
      <w:marLeft w:val="0"/>
      <w:marRight w:val="0"/>
      <w:marTop w:val="0"/>
      <w:marBottom w:val="0"/>
      <w:divBdr>
        <w:top w:val="none" w:sz="0" w:space="0" w:color="auto"/>
        <w:left w:val="none" w:sz="0" w:space="0" w:color="auto"/>
        <w:bottom w:val="none" w:sz="0" w:space="0" w:color="auto"/>
        <w:right w:val="none" w:sz="0" w:space="0" w:color="auto"/>
      </w:divBdr>
      <w:divsChild>
        <w:div w:id="1552495041">
          <w:marLeft w:val="480"/>
          <w:marRight w:val="0"/>
          <w:marTop w:val="0"/>
          <w:marBottom w:val="0"/>
          <w:divBdr>
            <w:top w:val="none" w:sz="0" w:space="0" w:color="auto"/>
            <w:left w:val="none" w:sz="0" w:space="0" w:color="auto"/>
            <w:bottom w:val="none" w:sz="0" w:space="0" w:color="auto"/>
            <w:right w:val="none" w:sz="0" w:space="0" w:color="auto"/>
          </w:divBdr>
          <w:divsChild>
            <w:div w:id="18670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1527">
      <w:bodyDiv w:val="1"/>
      <w:marLeft w:val="0"/>
      <w:marRight w:val="0"/>
      <w:marTop w:val="0"/>
      <w:marBottom w:val="0"/>
      <w:divBdr>
        <w:top w:val="none" w:sz="0" w:space="0" w:color="auto"/>
        <w:left w:val="none" w:sz="0" w:space="0" w:color="auto"/>
        <w:bottom w:val="none" w:sz="0" w:space="0" w:color="auto"/>
        <w:right w:val="none" w:sz="0" w:space="0" w:color="auto"/>
      </w:divBdr>
      <w:divsChild>
        <w:div w:id="1095325514">
          <w:marLeft w:val="0"/>
          <w:marRight w:val="0"/>
          <w:marTop w:val="0"/>
          <w:marBottom w:val="0"/>
          <w:divBdr>
            <w:top w:val="none" w:sz="0" w:space="0" w:color="auto"/>
            <w:left w:val="none" w:sz="0" w:space="0" w:color="auto"/>
            <w:bottom w:val="none" w:sz="0" w:space="0" w:color="auto"/>
            <w:right w:val="none" w:sz="0" w:space="0" w:color="auto"/>
          </w:divBdr>
          <w:divsChild>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2154">
      <w:bodyDiv w:val="1"/>
      <w:marLeft w:val="0"/>
      <w:marRight w:val="0"/>
      <w:marTop w:val="0"/>
      <w:marBottom w:val="0"/>
      <w:divBdr>
        <w:top w:val="none" w:sz="0" w:space="0" w:color="auto"/>
        <w:left w:val="none" w:sz="0" w:space="0" w:color="auto"/>
        <w:bottom w:val="none" w:sz="0" w:space="0" w:color="auto"/>
        <w:right w:val="none" w:sz="0" w:space="0" w:color="auto"/>
      </w:divBdr>
      <w:divsChild>
        <w:div w:id="1368724884">
          <w:marLeft w:val="720"/>
          <w:marRight w:val="0"/>
          <w:marTop w:val="200"/>
          <w:marBottom w:val="0"/>
          <w:divBdr>
            <w:top w:val="none" w:sz="0" w:space="0" w:color="auto"/>
            <w:left w:val="none" w:sz="0" w:space="0" w:color="auto"/>
            <w:bottom w:val="none" w:sz="0" w:space="0" w:color="auto"/>
            <w:right w:val="none" w:sz="0" w:space="0" w:color="auto"/>
          </w:divBdr>
        </w:div>
      </w:divsChild>
    </w:div>
    <w:div w:id="1328829414">
      <w:bodyDiv w:val="1"/>
      <w:marLeft w:val="0"/>
      <w:marRight w:val="0"/>
      <w:marTop w:val="0"/>
      <w:marBottom w:val="0"/>
      <w:divBdr>
        <w:top w:val="none" w:sz="0" w:space="0" w:color="auto"/>
        <w:left w:val="none" w:sz="0" w:space="0" w:color="auto"/>
        <w:bottom w:val="none" w:sz="0" w:space="0" w:color="auto"/>
        <w:right w:val="none" w:sz="0" w:space="0" w:color="auto"/>
      </w:divBdr>
      <w:divsChild>
        <w:div w:id="1290087629">
          <w:marLeft w:val="480"/>
          <w:marRight w:val="0"/>
          <w:marTop w:val="0"/>
          <w:marBottom w:val="0"/>
          <w:divBdr>
            <w:top w:val="none" w:sz="0" w:space="0" w:color="auto"/>
            <w:left w:val="none" w:sz="0" w:space="0" w:color="auto"/>
            <w:bottom w:val="none" w:sz="0" w:space="0" w:color="auto"/>
            <w:right w:val="none" w:sz="0" w:space="0" w:color="auto"/>
          </w:divBdr>
          <w:divsChild>
            <w:div w:id="11946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6028">
      <w:bodyDiv w:val="1"/>
      <w:marLeft w:val="0"/>
      <w:marRight w:val="0"/>
      <w:marTop w:val="0"/>
      <w:marBottom w:val="0"/>
      <w:divBdr>
        <w:top w:val="none" w:sz="0" w:space="0" w:color="auto"/>
        <w:left w:val="none" w:sz="0" w:space="0" w:color="auto"/>
        <w:bottom w:val="none" w:sz="0" w:space="0" w:color="auto"/>
        <w:right w:val="none" w:sz="0" w:space="0" w:color="auto"/>
      </w:divBdr>
      <w:divsChild>
        <w:div w:id="163278214">
          <w:marLeft w:val="720"/>
          <w:marRight w:val="0"/>
          <w:marTop w:val="200"/>
          <w:marBottom w:val="0"/>
          <w:divBdr>
            <w:top w:val="none" w:sz="0" w:space="0" w:color="auto"/>
            <w:left w:val="none" w:sz="0" w:space="0" w:color="auto"/>
            <w:bottom w:val="none" w:sz="0" w:space="0" w:color="auto"/>
            <w:right w:val="none" w:sz="0" w:space="0" w:color="auto"/>
          </w:divBdr>
        </w:div>
      </w:divsChild>
    </w:div>
    <w:div w:id="1410686904">
      <w:bodyDiv w:val="1"/>
      <w:marLeft w:val="0"/>
      <w:marRight w:val="0"/>
      <w:marTop w:val="0"/>
      <w:marBottom w:val="0"/>
      <w:divBdr>
        <w:top w:val="none" w:sz="0" w:space="0" w:color="auto"/>
        <w:left w:val="none" w:sz="0" w:space="0" w:color="auto"/>
        <w:bottom w:val="none" w:sz="0" w:space="0" w:color="auto"/>
        <w:right w:val="none" w:sz="0" w:space="0" w:color="auto"/>
      </w:divBdr>
      <w:divsChild>
        <w:div w:id="218633520">
          <w:marLeft w:val="0"/>
          <w:marRight w:val="0"/>
          <w:marTop w:val="0"/>
          <w:marBottom w:val="0"/>
          <w:divBdr>
            <w:top w:val="none" w:sz="0" w:space="0" w:color="auto"/>
            <w:left w:val="none" w:sz="0" w:space="0" w:color="auto"/>
            <w:bottom w:val="none" w:sz="0" w:space="0" w:color="auto"/>
            <w:right w:val="none" w:sz="0" w:space="0" w:color="auto"/>
          </w:divBdr>
          <w:divsChild>
            <w:div w:id="11823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1478">
      <w:bodyDiv w:val="1"/>
      <w:marLeft w:val="0"/>
      <w:marRight w:val="0"/>
      <w:marTop w:val="0"/>
      <w:marBottom w:val="0"/>
      <w:divBdr>
        <w:top w:val="none" w:sz="0" w:space="0" w:color="auto"/>
        <w:left w:val="none" w:sz="0" w:space="0" w:color="auto"/>
        <w:bottom w:val="none" w:sz="0" w:space="0" w:color="auto"/>
        <w:right w:val="none" w:sz="0" w:space="0" w:color="auto"/>
      </w:divBdr>
      <w:divsChild>
        <w:div w:id="1803575462">
          <w:marLeft w:val="480"/>
          <w:marRight w:val="0"/>
          <w:marTop w:val="0"/>
          <w:marBottom w:val="0"/>
          <w:divBdr>
            <w:top w:val="none" w:sz="0" w:space="0" w:color="auto"/>
            <w:left w:val="none" w:sz="0" w:space="0" w:color="auto"/>
            <w:bottom w:val="none" w:sz="0" w:space="0" w:color="auto"/>
            <w:right w:val="none" w:sz="0" w:space="0" w:color="auto"/>
          </w:divBdr>
          <w:divsChild>
            <w:div w:id="1235243459">
              <w:marLeft w:val="0"/>
              <w:marRight w:val="0"/>
              <w:marTop w:val="0"/>
              <w:marBottom w:val="0"/>
              <w:divBdr>
                <w:top w:val="none" w:sz="0" w:space="0" w:color="auto"/>
                <w:left w:val="none" w:sz="0" w:space="0" w:color="auto"/>
                <w:bottom w:val="none" w:sz="0" w:space="0" w:color="auto"/>
                <w:right w:val="none" w:sz="0" w:space="0" w:color="auto"/>
              </w:divBdr>
            </w:div>
            <w:div w:id="1078020038">
              <w:marLeft w:val="0"/>
              <w:marRight w:val="0"/>
              <w:marTop w:val="0"/>
              <w:marBottom w:val="0"/>
              <w:divBdr>
                <w:top w:val="none" w:sz="0" w:space="0" w:color="auto"/>
                <w:left w:val="none" w:sz="0" w:space="0" w:color="auto"/>
                <w:bottom w:val="none" w:sz="0" w:space="0" w:color="auto"/>
                <w:right w:val="none" w:sz="0" w:space="0" w:color="auto"/>
              </w:divBdr>
            </w:div>
            <w:div w:id="273096594">
              <w:marLeft w:val="0"/>
              <w:marRight w:val="0"/>
              <w:marTop w:val="0"/>
              <w:marBottom w:val="0"/>
              <w:divBdr>
                <w:top w:val="none" w:sz="0" w:space="0" w:color="auto"/>
                <w:left w:val="none" w:sz="0" w:space="0" w:color="auto"/>
                <w:bottom w:val="none" w:sz="0" w:space="0" w:color="auto"/>
                <w:right w:val="none" w:sz="0" w:space="0" w:color="auto"/>
              </w:divBdr>
            </w:div>
            <w:div w:id="588201491">
              <w:marLeft w:val="0"/>
              <w:marRight w:val="0"/>
              <w:marTop w:val="0"/>
              <w:marBottom w:val="0"/>
              <w:divBdr>
                <w:top w:val="none" w:sz="0" w:space="0" w:color="auto"/>
                <w:left w:val="none" w:sz="0" w:space="0" w:color="auto"/>
                <w:bottom w:val="none" w:sz="0" w:space="0" w:color="auto"/>
                <w:right w:val="none" w:sz="0" w:space="0" w:color="auto"/>
              </w:divBdr>
            </w:div>
            <w:div w:id="2029789130">
              <w:marLeft w:val="0"/>
              <w:marRight w:val="0"/>
              <w:marTop w:val="0"/>
              <w:marBottom w:val="0"/>
              <w:divBdr>
                <w:top w:val="none" w:sz="0" w:space="0" w:color="auto"/>
                <w:left w:val="none" w:sz="0" w:space="0" w:color="auto"/>
                <w:bottom w:val="none" w:sz="0" w:space="0" w:color="auto"/>
                <w:right w:val="none" w:sz="0" w:space="0" w:color="auto"/>
              </w:divBdr>
            </w:div>
            <w:div w:id="711198368">
              <w:marLeft w:val="0"/>
              <w:marRight w:val="0"/>
              <w:marTop w:val="0"/>
              <w:marBottom w:val="0"/>
              <w:divBdr>
                <w:top w:val="none" w:sz="0" w:space="0" w:color="auto"/>
                <w:left w:val="none" w:sz="0" w:space="0" w:color="auto"/>
                <w:bottom w:val="none" w:sz="0" w:space="0" w:color="auto"/>
                <w:right w:val="none" w:sz="0" w:space="0" w:color="auto"/>
              </w:divBdr>
            </w:div>
            <w:div w:id="856427406">
              <w:marLeft w:val="0"/>
              <w:marRight w:val="0"/>
              <w:marTop w:val="0"/>
              <w:marBottom w:val="0"/>
              <w:divBdr>
                <w:top w:val="none" w:sz="0" w:space="0" w:color="auto"/>
                <w:left w:val="none" w:sz="0" w:space="0" w:color="auto"/>
                <w:bottom w:val="none" w:sz="0" w:space="0" w:color="auto"/>
                <w:right w:val="none" w:sz="0" w:space="0" w:color="auto"/>
              </w:divBdr>
            </w:div>
            <w:div w:id="1436168624">
              <w:marLeft w:val="0"/>
              <w:marRight w:val="0"/>
              <w:marTop w:val="0"/>
              <w:marBottom w:val="0"/>
              <w:divBdr>
                <w:top w:val="none" w:sz="0" w:space="0" w:color="auto"/>
                <w:left w:val="none" w:sz="0" w:space="0" w:color="auto"/>
                <w:bottom w:val="none" w:sz="0" w:space="0" w:color="auto"/>
                <w:right w:val="none" w:sz="0" w:space="0" w:color="auto"/>
              </w:divBdr>
            </w:div>
            <w:div w:id="814300257">
              <w:marLeft w:val="0"/>
              <w:marRight w:val="0"/>
              <w:marTop w:val="0"/>
              <w:marBottom w:val="0"/>
              <w:divBdr>
                <w:top w:val="none" w:sz="0" w:space="0" w:color="auto"/>
                <w:left w:val="none" w:sz="0" w:space="0" w:color="auto"/>
                <w:bottom w:val="none" w:sz="0" w:space="0" w:color="auto"/>
                <w:right w:val="none" w:sz="0" w:space="0" w:color="auto"/>
              </w:divBdr>
            </w:div>
            <w:div w:id="1799562494">
              <w:marLeft w:val="0"/>
              <w:marRight w:val="0"/>
              <w:marTop w:val="0"/>
              <w:marBottom w:val="0"/>
              <w:divBdr>
                <w:top w:val="none" w:sz="0" w:space="0" w:color="auto"/>
                <w:left w:val="none" w:sz="0" w:space="0" w:color="auto"/>
                <w:bottom w:val="none" w:sz="0" w:space="0" w:color="auto"/>
                <w:right w:val="none" w:sz="0" w:space="0" w:color="auto"/>
              </w:divBdr>
            </w:div>
            <w:div w:id="741950938">
              <w:marLeft w:val="0"/>
              <w:marRight w:val="0"/>
              <w:marTop w:val="0"/>
              <w:marBottom w:val="0"/>
              <w:divBdr>
                <w:top w:val="none" w:sz="0" w:space="0" w:color="auto"/>
                <w:left w:val="none" w:sz="0" w:space="0" w:color="auto"/>
                <w:bottom w:val="none" w:sz="0" w:space="0" w:color="auto"/>
                <w:right w:val="none" w:sz="0" w:space="0" w:color="auto"/>
              </w:divBdr>
            </w:div>
            <w:div w:id="1210190398">
              <w:marLeft w:val="0"/>
              <w:marRight w:val="0"/>
              <w:marTop w:val="0"/>
              <w:marBottom w:val="0"/>
              <w:divBdr>
                <w:top w:val="none" w:sz="0" w:space="0" w:color="auto"/>
                <w:left w:val="none" w:sz="0" w:space="0" w:color="auto"/>
                <w:bottom w:val="none" w:sz="0" w:space="0" w:color="auto"/>
                <w:right w:val="none" w:sz="0" w:space="0" w:color="auto"/>
              </w:divBdr>
            </w:div>
            <w:div w:id="2037272005">
              <w:marLeft w:val="0"/>
              <w:marRight w:val="0"/>
              <w:marTop w:val="0"/>
              <w:marBottom w:val="0"/>
              <w:divBdr>
                <w:top w:val="none" w:sz="0" w:space="0" w:color="auto"/>
                <w:left w:val="none" w:sz="0" w:space="0" w:color="auto"/>
                <w:bottom w:val="none" w:sz="0" w:space="0" w:color="auto"/>
                <w:right w:val="none" w:sz="0" w:space="0" w:color="auto"/>
              </w:divBdr>
            </w:div>
            <w:div w:id="740834281">
              <w:marLeft w:val="0"/>
              <w:marRight w:val="0"/>
              <w:marTop w:val="0"/>
              <w:marBottom w:val="0"/>
              <w:divBdr>
                <w:top w:val="none" w:sz="0" w:space="0" w:color="auto"/>
                <w:left w:val="none" w:sz="0" w:space="0" w:color="auto"/>
                <w:bottom w:val="none" w:sz="0" w:space="0" w:color="auto"/>
                <w:right w:val="none" w:sz="0" w:space="0" w:color="auto"/>
              </w:divBdr>
            </w:div>
            <w:div w:id="1838499133">
              <w:marLeft w:val="0"/>
              <w:marRight w:val="0"/>
              <w:marTop w:val="0"/>
              <w:marBottom w:val="0"/>
              <w:divBdr>
                <w:top w:val="none" w:sz="0" w:space="0" w:color="auto"/>
                <w:left w:val="none" w:sz="0" w:space="0" w:color="auto"/>
                <w:bottom w:val="none" w:sz="0" w:space="0" w:color="auto"/>
                <w:right w:val="none" w:sz="0" w:space="0" w:color="auto"/>
              </w:divBdr>
            </w:div>
            <w:div w:id="1444303544">
              <w:marLeft w:val="0"/>
              <w:marRight w:val="0"/>
              <w:marTop w:val="0"/>
              <w:marBottom w:val="0"/>
              <w:divBdr>
                <w:top w:val="none" w:sz="0" w:space="0" w:color="auto"/>
                <w:left w:val="none" w:sz="0" w:space="0" w:color="auto"/>
                <w:bottom w:val="none" w:sz="0" w:space="0" w:color="auto"/>
                <w:right w:val="none" w:sz="0" w:space="0" w:color="auto"/>
              </w:divBdr>
            </w:div>
            <w:div w:id="1793212074">
              <w:marLeft w:val="0"/>
              <w:marRight w:val="0"/>
              <w:marTop w:val="0"/>
              <w:marBottom w:val="0"/>
              <w:divBdr>
                <w:top w:val="none" w:sz="0" w:space="0" w:color="auto"/>
                <w:left w:val="none" w:sz="0" w:space="0" w:color="auto"/>
                <w:bottom w:val="none" w:sz="0" w:space="0" w:color="auto"/>
                <w:right w:val="none" w:sz="0" w:space="0" w:color="auto"/>
              </w:divBdr>
            </w:div>
            <w:div w:id="202594932">
              <w:marLeft w:val="0"/>
              <w:marRight w:val="0"/>
              <w:marTop w:val="0"/>
              <w:marBottom w:val="0"/>
              <w:divBdr>
                <w:top w:val="none" w:sz="0" w:space="0" w:color="auto"/>
                <w:left w:val="none" w:sz="0" w:space="0" w:color="auto"/>
                <w:bottom w:val="none" w:sz="0" w:space="0" w:color="auto"/>
                <w:right w:val="none" w:sz="0" w:space="0" w:color="auto"/>
              </w:divBdr>
            </w:div>
            <w:div w:id="852692444">
              <w:marLeft w:val="0"/>
              <w:marRight w:val="0"/>
              <w:marTop w:val="0"/>
              <w:marBottom w:val="0"/>
              <w:divBdr>
                <w:top w:val="none" w:sz="0" w:space="0" w:color="auto"/>
                <w:left w:val="none" w:sz="0" w:space="0" w:color="auto"/>
                <w:bottom w:val="none" w:sz="0" w:space="0" w:color="auto"/>
                <w:right w:val="none" w:sz="0" w:space="0" w:color="auto"/>
              </w:divBdr>
            </w:div>
            <w:div w:id="1139805201">
              <w:marLeft w:val="0"/>
              <w:marRight w:val="0"/>
              <w:marTop w:val="0"/>
              <w:marBottom w:val="0"/>
              <w:divBdr>
                <w:top w:val="none" w:sz="0" w:space="0" w:color="auto"/>
                <w:left w:val="none" w:sz="0" w:space="0" w:color="auto"/>
                <w:bottom w:val="none" w:sz="0" w:space="0" w:color="auto"/>
                <w:right w:val="none" w:sz="0" w:space="0" w:color="auto"/>
              </w:divBdr>
            </w:div>
            <w:div w:id="1827238481">
              <w:marLeft w:val="0"/>
              <w:marRight w:val="0"/>
              <w:marTop w:val="0"/>
              <w:marBottom w:val="0"/>
              <w:divBdr>
                <w:top w:val="none" w:sz="0" w:space="0" w:color="auto"/>
                <w:left w:val="none" w:sz="0" w:space="0" w:color="auto"/>
                <w:bottom w:val="none" w:sz="0" w:space="0" w:color="auto"/>
                <w:right w:val="none" w:sz="0" w:space="0" w:color="auto"/>
              </w:divBdr>
            </w:div>
            <w:div w:id="1185247168">
              <w:marLeft w:val="0"/>
              <w:marRight w:val="0"/>
              <w:marTop w:val="0"/>
              <w:marBottom w:val="0"/>
              <w:divBdr>
                <w:top w:val="none" w:sz="0" w:space="0" w:color="auto"/>
                <w:left w:val="none" w:sz="0" w:space="0" w:color="auto"/>
                <w:bottom w:val="none" w:sz="0" w:space="0" w:color="auto"/>
                <w:right w:val="none" w:sz="0" w:space="0" w:color="auto"/>
              </w:divBdr>
            </w:div>
            <w:div w:id="1021973702">
              <w:marLeft w:val="0"/>
              <w:marRight w:val="0"/>
              <w:marTop w:val="0"/>
              <w:marBottom w:val="0"/>
              <w:divBdr>
                <w:top w:val="none" w:sz="0" w:space="0" w:color="auto"/>
                <w:left w:val="none" w:sz="0" w:space="0" w:color="auto"/>
                <w:bottom w:val="none" w:sz="0" w:space="0" w:color="auto"/>
                <w:right w:val="none" w:sz="0" w:space="0" w:color="auto"/>
              </w:divBdr>
            </w:div>
            <w:div w:id="1816489840">
              <w:marLeft w:val="0"/>
              <w:marRight w:val="0"/>
              <w:marTop w:val="0"/>
              <w:marBottom w:val="0"/>
              <w:divBdr>
                <w:top w:val="none" w:sz="0" w:space="0" w:color="auto"/>
                <w:left w:val="none" w:sz="0" w:space="0" w:color="auto"/>
                <w:bottom w:val="none" w:sz="0" w:space="0" w:color="auto"/>
                <w:right w:val="none" w:sz="0" w:space="0" w:color="auto"/>
              </w:divBdr>
            </w:div>
            <w:div w:id="1287851458">
              <w:marLeft w:val="0"/>
              <w:marRight w:val="0"/>
              <w:marTop w:val="0"/>
              <w:marBottom w:val="0"/>
              <w:divBdr>
                <w:top w:val="none" w:sz="0" w:space="0" w:color="auto"/>
                <w:left w:val="none" w:sz="0" w:space="0" w:color="auto"/>
                <w:bottom w:val="none" w:sz="0" w:space="0" w:color="auto"/>
                <w:right w:val="none" w:sz="0" w:space="0" w:color="auto"/>
              </w:divBdr>
            </w:div>
            <w:div w:id="1628583586">
              <w:marLeft w:val="0"/>
              <w:marRight w:val="0"/>
              <w:marTop w:val="0"/>
              <w:marBottom w:val="0"/>
              <w:divBdr>
                <w:top w:val="none" w:sz="0" w:space="0" w:color="auto"/>
                <w:left w:val="none" w:sz="0" w:space="0" w:color="auto"/>
                <w:bottom w:val="none" w:sz="0" w:space="0" w:color="auto"/>
                <w:right w:val="none" w:sz="0" w:space="0" w:color="auto"/>
              </w:divBdr>
            </w:div>
            <w:div w:id="1966737025">
              <w:marLeft w:val="0"/>
              <w:marRight w:val="0"/>
              <w:marTop w:val="0"/>
              <w:marBottom w:val="0"/>
              <w:divBdr>
                <w:top w:val="none" w:sz="0" w:space="0" w:color="auto"/>
                <w:left w:val="none" w:sz="0" w:space="0" w:color="auto"/>
                <w:bottom w:val="none" w:sz="0" w:space="0" w:color="auto"/>
                <w:right w:val="none" w:sz="0" w:space="0" w:color="auto"/>
              </w:divBdr>
            </w:div>
            <w:div w:id="374044241">
              <w:marLeft w:val="0"/>
              <w:marRight w:val="0"/>
              <w:marTop w:val="0"/>
              <w:marBottom w:val="0"/>
              <w:divBdr>
                <w:top w:val="none" w:sz="0" w:space="0" w:color="auto"/>
                <w:left w:val="none" w:sz="0" w:space="0" w:color="auto"/>
                <w:bottom w:val="none" w:sz="0" w:space="0" w:color="auto"/>
                <w:right w:val="none" w:sz="0" w:space="0" w:color="auto"/>
              </w:divBdr>
            </w:div>
            <w:div w:id="1017733878">
              <w:marLeft w:val="0"/>
              <w:marRight w:val="0"/>
              <w:marTop w:val="0"/>
              <w:marBottom w:val="0"/>
              <w:divBdr>
                <w:top w:val="none" w:sz="0" w:space="0" w:color="auto"/>
                <w:left w:val="none" w:sz="0" w:space="0" w:color="auto"/>
                <w:bottom w:val="none" w:sz="0" w:space="0" w:color="auto"/>
                <w:right w:val="none" w:sz="0" w:space="0" w:color="auto"/>
              </w:divBdr>
            </w:div>
            <w:div w:id="511647266">
              <w:marLeft w:val="0"/>
              <w:marRight w:val="0"/>
              <w:marTop w:val="0"/>
              <w:marBottom w:val="0"/>
              <w:divBdr>
                <w:top w:val="none" w:sz="0" w:space="0" w:color="auto"/>
                <w:left w:val="none" w:sz="0" w:space="0" w:color="auto"/>
                <w:bottom w:val="none" w:sz="0" w:space="0" w:color="auto"/>
                <w:right w:val="none" w:sz="0" w:space="0" w:color="auto"/>
              </w:divBdr>
            </w:div>
            <w:div w:id="437725054">
              <w:marLeft w:val="0"/>
              <w:marRight w:val="0"/>
              <w:marTop w:val="0"/>
              <w:marBottom w:val="0"/>
              <w:divBdr>
                <w:top w:val="none" w:sz="0" w:space="0" w:color="auto"/>
                <w:left w:val="none" w:sz="0" w:space="0" w:color="auto"/>
                <w:bottom w:val="none" w:sz="0" w:space="0" w:color="auto"/>
                <w:right w:val="none" w:sz="0" w:space="0" w:color="auto"/>
              </w:divBdr>
            </w:div>
            <w:div w:id="609701860">
              <w:marLeft w:val="0"/>
              <w:marRight w:val="0"/>
              <w:marTop w:val="0"/>
              <w:marBottom w:val="0"/>
              <w:divBdr>
                <w:top w:val="none" w:sz="0" w:space="0" w:color="auto"/>
                <w:left w:val="none" w:sz="0" w:space="0" w:color="auto"/>
                <w:bottom w:val="none" w:sz="0" w:space="0" w:color="auto"/>
                <w:right w:val="none" w:sz="0" w:space="0" w:color="auto"/>
              </w:divBdr>
            </w:div>
            <w:div w:id="1886601525">
              <w:marLeft w:val="0"/>
              <w:marRight w:val="0"/>
              <w:marTop w:val="0"/>
              <w:marBottom w:val="0"/>
              <w:divBdr>
                <w:top w:val="none" w:sz="0" w:space="0" w:color="auto"/>
                <w:left w:val="none" w:sz="0" w:space="0" w:color="auto"/>
                <w:bottom w:val="none" w:sz="0" w:space="0" w:color="auto"/>
                <w:right w:val="none" w:sz="0" w:space="0" w:color="auto"/>
              </w:divBdr>
            </w:div>
            <w:div w:id="731080764">
              <w:marLeft w:val="0"/>
              <w:marRight w:val="0"/>
              <w:marTop w:val="0"/>
              <w:marBottom w:val="0"/>
              <w:divBdr>
                <w:top w:val="none" w:sz="0" w:space="0" w:color="auto"/>
                <w:left w:val="none" w:sz="0" w:space="0" w:color="auto"/>
                <w:bottom w:val="none" w:sz="0" w:space="0" w:color="auto"/>
                <w:right w:val="none" w:sz="0" w:space="0" w:color="auto"/>
              </w:divBdr>
            </w:div>
            <w:div w:id="1666473980">
              <w:marLeft w:val="0"/>
              <w:marRight w:val="0"/>
              <w:marTop w:val="0"/>
              <w:marBottom w:val="0"/>
              <w:divBdr>
                <w:top w:val="none" w:sz="0" w:space="0" w:color="auto"/>
                <w:left w:val="none" w:sz="0" w:space="0" w:color="auto"/>
                <w:bottom w:val="none" w:sz="0" w:space="0" w:color="auto"/>
                <w:right w:val="none" w:sz="0" w:space="0" w:color="auto"/>
              </w:divBdr>
            </w:div>
            <w:div w:id="1548880773">
              <w:marLeft w:val="0"/>
              <w:marRight w:val="0"/>
              <w:marTop w:val="0"/>
              <w:marBottom w:val="0"/>
              <w:divBdr>
                <w:top w:val="none" w:sz="0" w:space="0" w:color="auto"/>
                <w:left w:val="none" w:sz="0" w:space="0" w:color="auto"/>
                <w:bottom w:val="none" w:sz="0" w:space="0" w:color="auto"/>
                <w:right w:val="none" w:sz="0" w:space="0" w:color="auto"/>
              </w:divBdr>
            </w:div>
            <w:div w:id="1832521134">
              <w:marLeft w:val="0"/>
              <w:marRight w:val="0"/>
              <w:marTop w:val="0"/>
              <w:marBottom w:val="0"/>
              <w:divBdr>
                <w:top w:val="none" w:sz="0" w:space="0" w:color="auto"/>
                <w:left w:val="none" w:sz="0" w:space="0" w:color="auto"/>
                <w:bottom w:val="none" w:sz="0" w:space="0" w:color="auto"/>
                <w:right w:val="none" w:sz="0" w:space="0" w:color="auto"/>
              </w:divBdr>
            </w:div>
            <w:div w:id="1252080371">
              <w:marLeft w:val="0"/>
              <w:marRight w:val="0"/>
              <w:marTop w:val="0"/>
              <w:marBottom w:val="0"/>
              <w:divBdr>
                <w:top w:val="none" w:sz="0" w:space="0" w:color="auto"/>
                <w:left w:val="none" w:sz="0" w:space="0" w:color="auto"/>
                <w:bottom w:val="none" w:sz="0" w:space="0" w:color="auto"/>
                <w:right w:val="none" w:sz="0" w:space="0" w:color="auto"/>
              </w:divBdr>
            </w:div>
            <w:div w:id="285429362">
              <w:marLeft w:val="0"/>
              <w:marRight w:val="0"/>
              <w:marTop w:val="0"/>
              <w:marBottom w:val="0"/>
              <w:divBdr>
                <w:top w:val="none" w:sz="0" w:space="0" w:color="auto"/>
                <w:left w:val="none" w:sz="0" w:space="0" w:color="auto"/>
                <w:bottom w:val="none" w:sz="0" w:space="0" w:color="auto"/>
                <w:right w:val="none" w:sz="0" w:space="0" w:color="auto"/>
              </w:divBdr>
            </w:div>
            <w:div w:id="384373309">
              <w:marLeft w:val="0"/>
              <w:marRight w:val="0"/>
              <w:marTop w:val="0"/>
              <w:marBottom w:val="0"/>
              <w:divBdr>
                <w:top w:val="none" w:sz="0" w:space="0" w:color="auto"/>
                <w:left w:val="none" w:sz="0" w:space="0" w:color="auto"/>
                <w:bottom w:val="none" w:sz="0" w:space="0" w:color="auto"/>
                <w:right w:val="none" w:sz="0" w:space="0" w:color="auto"/>
              </w:divBdr>
            </w:div>
            <w:div w:id="1240017504">
              <w:marLeft w:val="0"/>
              <w:marRight w:val="0"/>
              <w:marTop w:val="0"/>
              <w:marBottom w:val="0"/>
              <w:divBdr>
                <w:top w:val="none" w:sz="0" w:space="0" w:color="auto"/>
                <w:left w:val="none" w:sz="0" w:space="0" w:color="auto"/>
                <w:bottom w:val="none" w:sz="0" w:space="0" w:color="auto"/>
                <w:right w:val="none" w:sz="0" w:space="0" w:color="auto"/>
              </w:divBdr>
            </w:div>
            <w:div w:id="740711979">
              <w:marLeft w:val="0"/>
              <w:marRight w:val="0"/>
              <w:marTop w:val="0"/>
              <w:marBottom w:val="0"/>
              <w:divBdr>
                <w:top w:val="none" w:sz="0" w:space="0" w:color="auto"/>
                <w:left w:val="none" w:sz="0" w:space="0" w:color="auto"/>
                <w:bottom w:val="none" w:sz="0" w:space="0" w:color="auto"/>
                <w:right w:val="none" w:sz="0" w:space="0" w:color="auto"/>
              </w:divBdr>
            </w:div>
            <w:div w:id="1087111962">
              <w:marLeft w:val="0"/>
              <w:marRight w:val="0"/>
              <w:marTop w:val="0"/>
              <w:marBottom w:val="0"/>
              <w:divBdr>
                <w:top w:val="none" w:sz="0" w:space="0" w:color="auto"/>
                <w:left w:val="none" w:sz="0" w:space="0" w:color="auto"/>
                <w:bottom w:val="none" w:sz="0" w:space="0" w:color="auto"/>
                <w:right w:val="none" w:sz="0" w:space="0" w:color="auto"/>
              </w:divBdr>
            </w:div>
            <w:div w:id="2011789816">
              <w:marLeft w:val="0"/>
              <w:marRight w:val="0"/>
              <w:marTop w:val="0"/>
              <w:marBottom w:val="0"/>
              <w:divBdr>
                <w:top w:val="none" w:sz="0" w:space="0" w:color="auto"/>
                <w:left w:val="none" w:sz="0" w:space="0" w:color="auto"/>
                <w:bottom w:val="none" w:sz="0" w:space="0" w:color="auto"/>
                <w:right w:val="none" w:sz="0" w:space="0" w:color="auto"/>
              </w:divBdr>
            </w:div>
            <w:div w:id="1576629419">
              <w:marLeft w:val="0"/>
              <w:marRight w:val="0"/>
              <w:marTop w:val="0"/>
              <w:marBottom w:val="0"/>
              <w:divBdr>
                <w:top w:val="none" w:sz="0" w:space="0" w:color="auto"/>
                <w:left w:val="none" w:sz="0" w:space="0" w:color="auto"/>
                <w:bottom w:val="none" w:sz="0" w:space="0" w:color="auto"/>
                <w:right w:val="none" w:sz="0" w:space="0" w:color="auto"/>
              </w:divBdr>
            </w:div>
            <w:div w:id="2013334075">
              <w:marLeft w:val="0"/>
              <w:marRight w:val="0"/>
              <w:marTop w:val="0"/>
              <w:marBottom w:val="0"/>
              <w:divBdr>
                <w:top w:val="none" w:sz="0" w:space="0" w:color="auto"/>
                <w:left w:val="none" w:sz="0" w:space="0" w:color="auto"/>
                <w:bottom w:val="none" w:sz="0" w:space="0" w:color="auto"/>
                <w:right w:val="none" w:sz="0" w:space="0" w:color="auto"/>
              </w:divBdr>
            </w:div>
            <w:div w:id="1937248475">
              <w:marLeft w:val="0"/>
              <w:marRight w:val="0"/>
              <w:marTop w:val="0"/>
              <w:marBottom w:val="0"/>
              <w:divBdr>
                <w:top w:val="none" w:sz="0" w:space="0" w:color="auto"/>
                <w:left w:val="none" w:sz="0" w:space="0" w:color="auto"/>
                <w:bottom w:val="none" w:sz="0" w:space="0" w:color="auto"/>
                <w:right w:val="none" w:sz="0" w:space="0" w:color="auto"/>
              </w:divBdr>
            </w:div>
            <w:div w:id="966161359">
              <w:marLeft w:val="0"/>
              <w:marRight w:val="0"/>
              <w:marTop w:val="0"/>
              <w:marBottom w:val="0"/>
              <w:divBdr>
                <w:top w:val="none" w:sz="0" w:space="0" w:color="auto"/>
                <w:left w:val="none" w:sz="0" w:space="0" w:color="auto"/>
                <w:bottom w:val="none" w:sz="0" w:space="0" w:color="auto"/>
                <w:right w:val="none" w:sz="0" w:space="0" w:color="auto"/>
              </w:divBdr>
            </w:div>
            <w:div w:id="20208663">
              <w:marLeft w:val="0"/>
              <w:marRight w:val="0"/>
              <w:marTop w:val="0"/>
              <w:marBottom w:val="0"/>
              <w:divBdr>
                <w:top w:val="none" w:sz="0" w:space="0" w:color="auto"/>
                <w:left w:val="none" w:sz="0" w:space="0" w:color="auto"/>
                <w:bottom w:val="none" w:sz="0" w:space="0" w:color="auto"/>
                <w:right w:val="none" w:sz="0" w:space="0" w:color="auto"/>
              </w:divBdr>
            </w:div>
            <w:div w:id="351956829">
              <w:marLeft w:val="0"/>
              <w:marRight w:val="0"/>
              <w:marTop w:val="0"/>
              <w:marBottom w:val="0"/>
              <w:divBdr>
                <w:top w:val="none" w:sz="0" w:space="0" w:color="auto"/>
                <w:left w:val="none" w:sz="0" w:space="0" w:color="auto"/>
                <w:bottom w:val="none" w:sz="0" w:space="0" w:color="auto"/>
                <w:right w:val="none" w:sz="0" w:space="0" w:color="auto"/>
              </w:divBdr>
            </w:div>
            <w:div w:id="1774278297">
              <w:marLeft w:val="0"/>
              <w:marRight w:val="0"/>
              <w:marTop w:val="0"/>
              <w:marBottom w:val="0"/>
              <w:divBdr>
                <w:top w:val="none" w:sz="0" w:space="0" w:color="auto"/>
                <w:left w:val="none" w:sz="0" w:space="0" w:color="auto"/>
                <w:bottom w:val="none" w:sz="0" w:space="0" w:color="auto"/>
                <w:right w:val="none" w:sz="0" w:space="0" w:color="auto"/>
              </w:divBdr>
            </w:div>
            <w:div w:id="986979953">
              <w:marLeft w:val="0"/>
              <w:marRight w:val="0"/>
              <w:marTop w:val="0"/>
              <w:marBottom w:val="0"/>
              <w:divBdr>
                <w:top w:val="none" w:sz="0" w:space="0" w:color="auto"/>
                <w:left w:val="none" w:sz="0" w:space="0" w:color="auto"/>
                <w:bottom w:val="none" w:sz="0" w:space="0" w:color="auto"/>
                <w:right w:val="none" w:sz="0" w:space="0" w:color="auto"/>
              </w:divBdr>
            </w:div>
            <w:div w:id="1687170203">
              <w:marLeft w:val="0"/>
              <w:marRight w:val="0"/>
              <w:marTop w:val="0"/>
              <w:marBottom w:val="0"/>
              <w:divBdr>
                <w:top w:val="none" w:sz="0" w:space="0" w:color="auto"/>
                <w:left w:val="none" w:sz="0" w:space="0" w:color="auto"/>
                <w:bottom w:val="none" w:sz="0" w:space="0" w:color="auto"/>
                <w:right w:val="none" w:sz="0" w:space="0" w:color="auto"/>
              </w:divBdr>
            </w:div>
            <w:div w:id="1508132807">
              <w:marLeft w:val="0"/>
              <w:marRight w:val="0"/>
              <w:marTop w:val="0"/>
              <w:marBottom w:val="0"/>
              <w:divBdr>
                <w:top w:val="none" w:sz="0" w:space="0" w:color="auto"/>
                <w:left w:val="none" w:sz="0" w:space="0" w:color="auto"/>
                <w:bottom w:val="none" w:sz="0" w:space="0" w:color="auto"/>
                <w:right w:val="none" w:sz="0" w:space="0" w:color="auto"/>
              </w:divBdr>
            </w:div>
            <w:div w:id="716272177">
              <w:marLeft w:val="0"/>
              <w:marRight w:val="0"/>
              <w:marTop w:val="0"/>
              <w:marBottom w:val="0"/>
              <w:divBdr>
                <w:top w:val="none" w:sz="0" w:space="0" w:color="auto"/>
                <w:left w:val="none" w:sz="0" w:space="0" w:color="auto"/>
                <w:bottom w:val="none" w:sz="0" w:space="0" w:color="auto"/>
                <w:right w:val="none" w:sz="0" w:space="0" w:color="auto"/>
              </w:divBdr>
            </w:div>
            <w:div w:id="1991329793">
              <w:marLeft w:val="0"/>
              <w:marRight w:val="0"/>
              <w:marTop w:val="0"/>
              <w:marBottom w:val="0"/>
              <w:divBdr>
                <w:top w:val="none" w:sz="0" w:space="0" w:color="auto"/>
                <w:left w:val="none" w:sz="0" w:space="0" w:color="auto"/>
                <w:bottom w:val="none" w:sz="0" w:space="0" w:color="auto"/>
                <w:right w:val="none" w:sz="0" w:space="0" w:color="auto"/>
              </w:divBdr>
            </w:div>
            <w:div w:id="1775402416">
              <w:marLeft w:val="0"/>
              <w:marRight w:val="0"/>
              <w:marTop w:val="0"/>
              <w:marBottom w:val="0"/>
              <w:divBdr>
                <w:top w:val="none" w:sz="0" w:space="0" w:color="auto"/>
                <w:left w:val="none" w:sz="0" w:space="0" w:color="auto"/>
                <w:bottom w:val="none" w:sz="0" w:space="0" w:color="auto"/>
                <w:right w:val="none" w:sz="0" w:space="0" w:color="auto"/>
              </w:divBdr>
            </w:div>
            <w:div w:id="1992365819">
              <w:marLeft w:val="0"/>
              <w:marRight w:val="0"/>
              <w:marTop w:val="0"/>
              <w:marBottom w:val="0"/>
              <w:divBdr>
                <w:top w:val="none" w:sz="0" w:space="0" w:color="auto"/>
                <w:left w:val="none" w:sz="0" w:space="0" w:color="auto"/>
                <w:bottom w:val="none" w:sz="0" w:space="0" w:color="auto"/>
                <w:right w:val="none" w:sz="0" w:space="0" w:color="auto"/>
              </w:divBdr>
            </w:div>
            <w:div w:id="871499389">
              <w:marLeft w:val="0"/>
              <w:marRight w:val="0"/>
              <w:marTop w:val="0"/>
              <w:marBottom w:val="0"/>
              <w:divBdr>
                <w:top w:val="none" w:sz="0" w:space="0" w:color="auto"/>
                <w:left w:val="none" w:sz="0" w:space="0" w:color="auto"/>
                <w:bottom w:val="none" w:sz="0" w:space="0" w:color="auto"/>
                <w:right w:val="none" w:sz="0" w:space="0" w:color="auto"/>
              </w:divBdr>
            </w:div>
            <w:div w:id="2114738462">
              <w:marLeft w:val="0"/>
              <w:marRight w:val="0"/>
              <w:marTop w:val="0"/>
              <w:marBottom w:val="0"/>
              <w:divBdr>
                <w:top w:val="none" w:sz="0" w:space="0" w:color="auto"/>
                <w:left w:val="none" w:sz="0" w:space="0" w:color="auto"/>
                <w:bottom w:val="none" w:sz="0" w:space="0" w:color="auto"/>
                <w:right w:val="none" w:sz="0" w:space="0" w:color="auto"/>
              </w:divBdr>
            </w:div>
            <w:div w:id="1688098710">
              <w:marLeft w:val="0"/>
              <w:marRight w:val="0"/>
              <w:marTop w:val="0"/>
              <w:marBottom w:val="0"/>
              <w:divBdr>
                <w:top w:val="none" w:sz="0" w:space="0" w:color="auto"/>
                <w:left w:val="none" w:sz="0" w:space="0" w:color="auto"/>
                <w:bottom w:val="none" w:sz="0" w:space="0" w:color="auto"/>
                <w:right w:val="none" w:sz="0" w:space="0" w:color="auto"/>
              </w:divBdr>
            </w:div>
            <w:div w:id="627735994">
              <w:marLeft w:val="0"/>
              <w:marRight w:val="0"/>
              <w:marTop w:val="0"/>
              <w:marBottom w:val="0"/>
              <w:divBdr>
                <w:top w:val="none" w:sz="0" w:space="0" w:color="auto"/>
                <w:left w:val="none" w:sz="0" w:space="0" w:color="auto"/>
                <w:bottom w:val="none" w:sz="0" w:space="0" w:color="auto"/>
                <w:right w:val="none" w:sz="0" w:space="0" w:color="auto"/>
              </w:divBdr>
            </w:div>
            <w:div w:id="2019502504">
              <w:marLeft w:val="0"/>
              <w:marRight w:val="0"/>
              <w:marTop w:val="0"/>
              <w:marBottom w:val="0"/>
              <w:divBdr>
                <w:top w:val="none" w:sz="0" w:space="0" w:color="auto"/>
                <w:left w:val="none" w:sz="0" w:space="0" w:color="auto"/>
                <w:bottom w:val="none" w:sz="0" w:space="0" w:color="auto"/>
                <w:right w:val="none" w:sz="0" w:space="0" w:color="auto"/>
              </w:divBdr>
            </w:div>
            <w:div w:id="442504310">
              <w:marLeft w:val="0"/>
              <w:marRight w:val="0"/>
              <w:marTop w:val="0"/>
              <w:marBottom w:val="0"/>
              <w:divBdr>
                <w:top w:val="none" w:sz="0" w:space="0" w:color="auto"/>
                <w:left w:val="none" w:sz="0" w:space="0" w:color="auto"/>
                <w:bottom w:val="none" w:sz="0" w:space="0" w:color="auto"/>
                <w:right w:val="none" w:sz="0" w:space="0" w:color="auto"/>
              </w:divBdr>
            </w:div>
            <w:div w:id="79524273">
              <w:marLeft w:val="0"/>
              <w:marRight w:val="0"/>
              <w:marTop w:val="0"/>
              <w:marBottom w:val="0"/>
              <w:divBdr>
                <w:top w:val="none" w:sz="0" w:space="0" w:color="auto"/>
                <w:left w:val="none" w:sz="0" w:space="0" w:color="auto"/>
                <w:bottom w:val="none" w:sz="0" w:space="0" w:color="auto"/>
                <w:right w:val="none" w:sz="0" w:space="0" w:color="auto"/>
              </w:divBdr>
            </w:div>
            <w:div w:id="1249265117">
              <w:marLeft w:val="0"/>
              <w:marRight w:val="0"/>
              <w:marTop w:val="0"/>
              <w:marBottom w:val="0"/>
              <w:divBdr>
                <w:top w:val="none" w:sz="0" w:space="0" w:color="auto"/>
                <w:left w:val="none" w:sz="0" w:space="0" w:color="auto"/>
                <w:bottom w:val="none" w:sz="0" w:space="0" w:color="auto"/>
                <w:right w:val="none" w:sz="0" w:space="0" w:color="auto"/>
              </w:divBdr>
            </w:div>
            <w:div w:id="1043482967">
              <w:marLeft w:val="0"/>
              <w:marRight w:val="0"/>
              <w:marTop w:val="0"/>
              <w:marBottom w:val="0"/>
              <w:divBdr>
                <w:top w:val="none" w:sz="0" w:space="0" w:color="auto"/>
                <w:left w:val="none" w:sz="0" w:space="0" w:color="auto"/>
                <w:bottom w:val="none" w:sz="0" w:space="0" w:color="auto"/>
                <w:right w:val="none" w:sz="0" w:space="0" w:color="auto"/>
              </w:divBdr>
            </w:div>
            <w:div w:id="529029562">
              <w:marLeft w:val="0"/>
              <w:marRight w:val="0"/>
              <w:marTop w:val="0"/>
              <w:marBottom w:val="0"/>
              <w:divBdr>
                <w:top w:val="none" w:sz="0" w:space="0" w:color="auto"/>
                <w:left w:val="none" w:sz="0" w:space="0" w:color="auto"/>
                <w:bottom w:val="none" w:sz="0" w:space="0" w:color="auto"/>
                <w:right w:val="none" w:sz="0" w:space="0" w:color="auto"/>
              </w:divBdr>
            </w:div>
            <w:div w:id="1712732534">
              <w:marLeft w:val="0"/>
              <w:marRight w:val="0"/>
              <w:marTop w:val="0"/>
              <w:marBottom w:val="0"/>
              <w:divBdr>
                <w:top w:val="none" w:sz="0" w:space="0" w:color="auto"/>
                <w:left w:val="none" w:sz="0" w:space="0" w:color="auto"/>
                <w:bottom w:val="none" w:sz="0" w:space="0" w:color="auto"/>
                <w:right w:val="none" w:sz="0" w:space="0" w:color="auto"/>
              </w:divBdr>
            </w:div>
            <w:div w:id="1782215663">
              <w:marLeft w:val="0"/>
              <w:marRight w:val="0"/>
              <w:marTop w:val="0"/>
              <w:marBottom w:val="0"/>
              <w:divBdr>
                <w:top w:val="none" w:sz="0" w:space="0" w:color="auto"/>
                <w:left w:val="none" w:sz="0" w:space="0" w:color="auto"/>
                <w:bottom w:val="none" w:sz="0" w:space="0" w:color="auto"/>
                <w:right w:val="none" w:sz="0" w:space="0" w:color="auto"/>
              </w:divBdr>
            </w:div>
            <w:div w:id="1100493248">
              <w:marLeft w:val="0"/>
              <w:marRight w:val="0"/>
              <w:marTop w:val="0"/>
              <w:marBottom w:val="0"/>
              <w:divBdr>
                <w:top w:val="none" w:sz="0" w:space="0" w:color="auto"/>
                <w:left w:val="none" w:sz="0" w:space="0" w:color="auto"/>
                <w:bottom w:val="none" w:sz="0" w:space="0" w:color="auto"/>
                <w:right w:val="none" w:sz="0" w:space="0" w:color="auto"/>
              </w:divBdr>
            </w:div>
            <w:div w:id="393167326">
              <w:marLeft w:val="0"/>
              <w:marRight w:val="0"/>
              <w:marTop w:val="0"/>
              <w:marBottom w:val="0"/>
              <w:divBdr>
                <w:top w:val="none" w:sz="0" w:space="0" w:color="auto"/>
                <w:left w:val="none" w:sz="0" w:space="0" w:color="auto"/>
                <w:bottom w:val="none" w:sz="0" w:space="0" w:color="auto"/>
                <w:right w:val="none" w:sz="0" w:space="0" w:color="auto"/>
              </w:divBdr>
            </w:div>
            <w:div w:id="2040739321">
              <w:marLeft w:val="0"/>
              <w:marRight w:val="0"/>
              <w:marTop w:val="0"/>
              <w:marBottom w:val="0"/>
              <w:divBdr>
                <w:top w:val="none" w:sz="0" w:space="0" w:color="auto"/>
                <w:left w:val="none" w:sz="0" w:space="0" w:color="auto"/>
                <w:bottom w:val="none" w:sz="0" w:space="0" w:color="auto"/>
                <w:right w:val="none" w:sz="0" w:space="0" w:color="auto"/>
              </w:divBdr>
            </w:div>
            <w:div w:id="821895321">
              <w:marLeft w:val="0"/>
              <w:marRight w:val="0"/>
              <w:marTop w:val="0"/>
              <w:marBottom w:val="0"/>
              <w:divBdr>
                <w:top w:val="none" w:sz="0" w:space="0" w:color="auto"/>
                <w:left w:val="none" w:sz="0" w:space="0" w:color="auto"/>
                <w:bottom w:val="none" w:sz="0" w:space="0" w:color="auto"/>
                <w:right w:val="none" w:sz="0" w:space="0" w:color="auto"/>
              </w:divBdr>
            </w:div>
            <w:div w:id="316807946">
              <w:marLeft w:val="0"/>
              <w:marRight w:val="0"/>
              <w:marTop w:val="0"/>
              <w:marBottom w:val="0"/>
              <w:divBdr>
                <w:top w:val="none" w:sz="0" w:space="0" w:color="auto"/>
                <w:left w:val="none" w:sz="0" w:space="0" w:color="auto"/>
                <w:bottom w:val="none" w:sz="0" w:space="0" w:color="auto"/>
                <w:right w:val="none" w:sz="0" w:space="0" w:color="auto"/>
              </w:divBdr>
            </w:div>
            <w:div w:id="1856730701">
              <w:marLeft w:val="0"/>
              <w:marRight w:val="0"/>
              <w:marTop w:val="0"/>
              <w:marBottom w:val="0"/>
              <w:divBdr>
                <w:top w:val="none" w:sz="0" w:space="0" w:color="auto"/>
                <w:left w:val="none" w:sz="0" w:space="0" w:color="auto"/>
                <w:bottom w:val="none" w:sz="0" w:space="0" w:color="auto"/>
                <w:right w:val="none" w:sz="0" w:space="0" w:color="auto"/>
              </w:divBdr>
            </w:div>
            <w:div w:id="136142409">
              <w:marLeft w:val="0"/>
              <w:marRight w:val="0"/>
              <w:marTop w:val="0"/>
              <w:marBottom w:val="0"/>
              <w:divBdr>
                <w:top w:val="none" w:sz="0" w:space="0" w:color="auto"/>
                <w:left w:val="none" w:sz="0" w:space="0" w:color="auto"/>
                <w:bottom w:val="none" w:sz="0" w:space="0" w:color="auto"/>
                <w:right w:val="none" w:sz="0" w:space="0" w:color="auto"/>
              </w:divBdr>
            </w:div>
            <w:div w:id="844398259">
              <w:marLeft w:val="0"/>
              <w:marRight w:val="0"/>
              <w:marTop w:val="0"/>
              <w:marBottom w:val="0"/>
              <w:divBdr>
                <w:top w:val="none" w:sz="0" w:space="0" w:color="auto"/>
                <w:left w:val="none" w:sz="0" w:space="0" w:color="auto"/>
                <w:bottom w:val="none" w:sz="0" w:space="0" w:color="auto"/>
                <w:right w:val="none" w:sz="0" w:space="0" w:color="auto"/>
              </w:divBdr>
            </w:div>
            <w:div w:id="1397555212">
              <w:marLeft w:val="0"/>
              <w:marRight w:val="0"/>
              <w:marTop w:val="0"/>
              <w:marBottom w:val="0"/>
              <w:divBdr>
                <w:top w:val="none" w:sz="0" w:space="0" w:color="auto"/>
                <w:left w:val="none" w:sz="0" w:space="0" w:color="auto"/>
                <w:bottom w:val="none" w:sz="0" w:space="0" w:color="auto"/>
                <w:right w:val="none" w:sz="0" w:space="0" w:color="auto"/>
              </w:divBdr>
            </w:div>
            <w:div w:id="1584728870">
              <w:marLeft w:val="0"/>
              <w:marRight w:val="0"/>
              <w:marTop w:val="0"/>
              <w:marBottom w:val="0"/>
              <w:divBdr>
                <w:top w:val="none" w:sz="0" w:space="0" w:color="auto"/>
                <w:left w:val="none" w:sz="0" w:space="0" w:color="auto"/>
                <w:bottom w:val="none" w:sz="0" w:space="0" w:color="auto"/>
                <w:right w:val="none" w:sz="0" w:space="0" w:color="auto"/>
              </w:divBdr>
            </w:div>
            <w:div w:id="1123310469">
              <w:marLeft w:val="0"/>
              <w:marRight w:val="0"/>
              <w:marTop w:val="0"/>
              <w:marBottom w:val="0"/>
              <w:divBdr>
                <w:top w:val="none" w:sz="0" w:space="0" w:color="auto"/>
                <w:left w:val="none" w:sz="0" w:space="0" w:color="auto"/>
                <w:bottom w:val="none" w:sz="0" w:space="0" w:color="auto"/>
                <w:right w:val="none" w:sz="0" w:space="0" w:color="auto"/>
              </w:divBdr>
            </w:div>
            <w:div w:id="3183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2731">
      <w:bodyDiv w:val="1"/>
      <w:marLeft w:val="0"/>
      <w:marRight w:val="0"/>
      <w:marTop w:val="0"/>
      <w:marBottom w:val="0"/>
      <w:divBdr>
        <w:top w:val="none" w:sz="0" w:space="0" w:color="auto"/>
        <w:left w:val="none" w:sz="0" w:space="0" w:color="auto"/>
        <w:bottom w:val="none" w:sz="0" w:space="0" w:color="auto"/>
        <w:right w:val="none" w:sz="0" w:space="0" w:color="auto"/>
      </w:divBdr>
      <w:divsChild>
        <w:div w:id="1662929260">
          <w:marLeft w:val="0"/>
          <w:marRight w:val="0"/>
          <w:marTop w:val="0"/>
          <w:marBottom w:val="0"/>
          <w:divBdr>
            <w:top w:val="none" w:sz="0" w:space="0" w:color="auto"/>
            <w:left w:val="none" w:sz="0" w:space="0" w:color="auto"/>
            <w:bottom w:val="none" w:sz="0" w:space="0" w:color="auto"/>
            <w:right w:val="none" w:sz="0" w:space="0" w:color="auto"/>
          </w:divBdr>
          <w:divsChild>
            <w:div w:id="3402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2776">
      <w:bodyDiv w:val="1"/>
      <w:marLeft w:val="0"/>
      <w:marRight w:val="0"/>
      <w:marTop w:val="0"/>
      <w:marBottom w:val="0"/>
      <w:divBdr>
        <w:top w:val="none" w:sz="0" w:space="0" w:color="auto"/>
        <w:left w:val="none" w:sz="0" w:space="0" w:color="auto"/>
        <w:bottom w:val="none" w:sz="0" w:space="0" w:color="auto"/>
        <w:right w:val="none" w:sz="0" w:space="0" w:color="auto"/>
      </w:divBdr>
      <w:divsChild>
        <w:div w:id="1889030676">
          <w:marLeft w:val="480"/>
          <w:marRight w:val="0"/>
          <w:marTop w:val="0"/>
          <w:marBottom w:val="0"/>
          <w:divBdr>
            <w:top w:val="none" w:sz="0" w:space="0" w:color="auto"/>
            <w:left w:val="none" w:sz="0" w:space="0" w:color="auto"/>
            <w:bottom w:val="none" w:sz="0" w:space="0" w:color="auto"/>
            <w:right w:val="none" w:sz="0" w:space="0" w:color="auto"/>
          </w:divBdr>
          <w:divsChild>
            <w:div w:id="17954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0446">
      <w:bodyDiv w:val="1"/>
      <w:marLeft w:val="0"/>
      <w:marRight w:val="0"/>
      <w:marTop w:val="0"/>
      <w:marBottom w:val="0"/>
      <w:divBdr>
        <w:top w:val="none" w:sz="0" w:space="0" w:color="auto"/>
        <w:left w:val="none" w:sz="0" w:space="0" w:color="auto"/>
        <w:bottom w:val="none" w:sz="0" w:space="0" w:color="auto"/>
        <w:right w:val="none" w:sz="0" w:space="0" w:color="auto"/>
      </w:divBdr>
      <w:divsChild>
        <w:div w:id="1296133467">
          <w:marLeft w:val="480"/>
          <w:marRight w:val="0"/>
          <w:marTop w:val="0"/>
          <w:marBottom w:val="0"/>
          <w:divBdr>
            <w:top w:val="none" w:sz="0" w:space="0" w:color="auto"/>
            <w:left w:val="none" w:sz="0" w:space="0" w:color="auto"/>
            <w:bottom w:val="none" w:sz="0" w:space="0" w:color="auto"/>
            <w:right w:val="none" w:sz="0" w:space="0" w:color="auto"/>
          </w:divBdr>
          <w:divsChild>
            <w:div w:id="18716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651">
      <w:bodyDiv w:val="1"/>
      <w:marLeft w:val="0"/>
      <w:marRight w:val="0"/>
      <w:marTop w:val="0"/>
      <w:marBottom w:val="0"/>
      <w:divBdr>
        <w:top w:val="none" w:sz="0" w:space="0" w:color="auto"/>
        <w:left w:val="none" w:sz="0" w:space="0" w:color="auto"/>
        <w:bottom w:val="none" w:sz="0" w:space="0" w:color="auto"/>
        <w:right w:val="none" w:sz="0" w:space="0" w:color="auto"/>
      </w:divBdr>
      <w:divsChild>
        <w:div w:id="1504274322">
          <w:marLeft w:val="0"/>
          <w:marRight w:val="0"/>
          <w:marTop w:val="0"/>
          <w:marBottom w:val="0"/>
          <w:divBdr>
            <w:top w:val="none" w:sz="0" w:space="0" w:color="auto"/>
            <w:left w:val="none" w:sz="0" w:space="0" w:color="auto"/>
            <w:bottom w:val="none" w:sz="0" w:space="0" w:color="auto"/>
            <w:right w:val="none" w:sz="0" w:space="0" w:color="auto"/>
          </w:divBdr>
          <w:divsChild>
            <w:div w:id="9847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142">
      <w:bodyDiv w:val="1"/>
      <w:marLeft w:val="0"/>
      <w:marRight w:val="0"/>
      <w:marTop w:val="0"/>
      <w:marBottom w:val="0"/>
      <w:divBdr>
        <w:top w:val="none" w:sz="0" w:space="0" w:color="auto"/>
        <w:left w:val="none" w:sz="0" w:space="0" w:color="auto"/>
        <w:bottom w:val="none" w:sz="0" w:space="0" w:color="auto"/>
        <w:right w:val="none" w:sz="0" w:space="0" w:color="auto"/>
      </w:divBdr>
      <w:divsChild>
        <w:div w:id="923607375">
          <w:marLeft w:val="0"/>
          <w:marRight w:val="0"/>
          <w:marTop w:val="0"/>
          <w:marBottom w:val="0"/>
          <w:divBdr>
            <w:top w:val="none" w:sz="0" w:space="0" w:color="auto"/>
            <w:left w:val="none" w:sz="0" w:space="0" w:color="auto"/>
            <w:bottom w:val="none" w:sz="0" w:space="0" w:color="auto"/>
            <w:right w:val="none" w:sz="0" w:space="0" w:color="auto"/>
          </w:divBdr>
          <w:divsChild>
            <w:div w:id="2856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3069">
      <w:bodyDiv w:val="1"/>
      <w:marLeft w:val="0"/>
      <w:marRight w:val="0"/>
      <w:marTop w:val="0"/>
      <w:marBottom w:val="0"/>
      <w:divBdr>
        <w:top w:val="none" w:sz="0" w:space="0" w:color="auto"/>
        <w:left w:val="none" w:sz="0" w:space="0" w:color="auto"/>
        <w:bottom w:val="none" w:sz="0" w:space="0" w:color="auto"/>
        <w:right w:val="none" w:sz="0" w:space="0" w:color="auto"/>
      </w:divBdr>
    </w:div>
    <w:div w:id="1755545529">
      <w:bodyDiv w:val="1"/>
      <w:marLeft w:val="0"/>
      <w:marRight w:val="0"/>
      <w:marTop w:val="0"/>
      <w:marBottom w:val="0"/>
      <w:divBdr>
        <w:top w:val="none" w:sz="0" w:space="0" w:color="auto"/>
        <w:left w:val="none" w:sz="0" w:space="0" w:color="auto"/>
        <w:bottom w:val="none" w:sz="0" w:space="0" w:color="auto"/>
        <w:right w:val="none" w:sz="0" w:space="0" w:color="auto"/>
      </w:divBdr>
      <w:divsChild>
        <w:div w:id="1734699899">
          <w:marLeft w:val="0"/>
          <w:marRight w:val="0"/>
          <w:marTop w:val="0"/>
          <w:marBottom w:val="0"/>
          <w:divBdr>
            <w:top w:val="none" w:sz="0" w:space="0" w:color="auto"/>
            <w:left w:val="none" w:sz="0" w:space="0" w:color="auto"/>
            <w:bottom w:val="none" w:sz="0" w:space="0" w:color="auto"/>
            <w:right w:val="none" w:sz="0" w:space="0" w:color="auto"/>
          </w:divBdr>
          <w:divsChild>
            <w:div w:id="17561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7172">
      <w:bodyDiv w:val="1"/>
      <w:marLeft w:val="0"/>
      <w:marRight w:val="0"/>
      <w:marTop w:val="0"/>
      <w:marBottom w:val="0"/>
      <w:divBdr>
        <w:top w:val="none" w:sz="0" w:space="0" w:color="auto"/>
        <w:left w:val="none" w:sz="0" w:space="0" w:color="auto"/>
        <w:bottom w:val="none" w:sz="0" w:space="0" w:color="auto"/>
        <w:right w:val="none" w:sz="0" w:space="0" w:color="auto"/>
      </w:divBdr>
      <w:divsChild>
        <w:div w:id="1041130409">
          <w:marLeft w:val="480"/>
          <w:marRight w:val="0"/>
          <w:marTop w:val="0"/>
          <w:marBottom w:val="0"/>
          <w:divBdr>
            <w:top w:val="none" w:sz="0" w:space="0" w:color="auto"/>
            <w:left w:val="none" w:sz="0" w:space="0" w:color="auto"/>
            <w:bottom w:val="none" w:sz="0" w:space="0" w:color="auto"/>
            <w:right w:val="none" w:sz="0" w:space="0" w:color="auto"/>
          </w:divBdr>
          <w:divsChild>
            <w:div w:id="12309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3867">
      <w:bodyDiv w:val="1"/>
      <w:marLeft w:val="0"/>
      <w:marRight w:val="0"/>
      <w:marTop w:val="0"/>
      <w:marBottom w:val="0"/>
      <w:divBdr>
        <w:top w:val="none" w:sz="0" w:space="0" w:color="auto"/>
        <w:left w:val="none" w:sz="0" w:space="0" w:color="auto"/>
        <w:bottom w:val="none" w:sz="0" w:space="0" w:color="auto"/>
        <w:right w:val="none" w:sz="0" w:space="0" w:color="auto"/>
      </w:divBdr>
    </w:div>
    <w:div w:id="1846049730">
      <w:bodyDiv w:val="1"/>
      <w:marLeft w:val="0"/>
      <w:marRight w:val="0"/>
      <w:marTop w:val="0"/>
      <w:marBottom w:val="0"/>
      <w:divBdr>
        <w:top w:val="none" w:sz="0" w:space="0" w:color="auto"/>
        <w:left w:val="none" w:sz="0" w:space="0" w:color="auto"/>
        <w:bottom w:val="none" w:sz="0" w:space="0" w:color="auto"/>
        <w:right w:val="none" w:sz="0" w:space="0" w:color="auto"/>
      </w:divBdr>
    </w:div>
    <w:div w:id="1927302316">
      <w:bodyDiv w:val="1"/>
      <w:marLeft w:val="0"/>
      <w:marRight w:val="0"/>
      <w:marTop w:val="0"/>
      <w:marBottom w:val="0"/>
      <w:divBdr>
        <w:top w:val="none" w:sz="0" w:space="0" w:color="auto"/>
        <w:left w:val="none" w:sz="0" w:space="0" w:color="auto"/>
        <w:bottom w:val="none" w:sz="0" w:space="0" w:color="auto"/>
        <w:right w:val="none" w:sz="0" w:space="0" w:color="auto"/>
      </w:divBdr>
      <w:divsChild>
        <w:div w:id="1702586615">
          <w:marLeft w:val="480"/>
          <w:marRight w:val="0"/>
          <w:marTop w:val="0"/>
          <w:marBottom w:val="0"/>
          <w:divBdr>
            <w:top w:val="none" w:sz="0" w:space="0" w:color="auto"/>
            <w:left w:val="none" w:sz="0" w:space="0" w:color="auto"/>
            <w:bottom w:val="none" w:sz="0" w:space="0" w:color="auto"/>
            <w:right w:val="none" w:sz="0" w:space="0" w:color="auto"/>
          </w:divBdr>
          <w:divsChild>
            <w:div w:id="1214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job.2217" TargetMode="External"/><Relationship Id="rId21" Type="http://schemas.openxmlformats.org/officeDocument/2006/relationships/hyperlink" Target="https://www.apa.org/news/press/releases/stress/2020/report-october" TargetMode="External"/><Relationship Id="rId42" Type="http://schemas.openxmlformats.org/officeDocument/2006/relationships/hyperlink" Target="https://doi.org/10.1038/s44159-022-00056-w" TargetMode="External"/><Relationship Id="rId47" Type="http://schemas.openxmlformats.org/officeDocument/2006/relationships/hyperlink" Target="https://doi.org/10.1146/annurev-orgpsych-032117-104640" TargetMode="External"/><Relationship Id="rId63" Type="http://schemas.openxmlformats.org/officeDocument/2006/relationships/hyperlink" Target="https://doi.org/10.1016/j.jvb.2017.05.008" TargetMode="External"/><Relationship Id="rId68" Type="http://schemas.openxmlformats.org/officeDocument/2006/relationships/hyperlink" Target="https://doi.org/10.1037/1076-8998.12.3.204" TargetMode="External"/><Relationship Id="rId84" Type="http://schemas.openxmlformats.org/officeDocument/2006/relationships/theme" Target="theme/theme1.xml"/><Relationship Id="rId16" Type="http://schemas.openxmlformats.org/officeDocument/2006/relationships/footer" Target="footer4.xml"/><Relationship Id="rId11" Type="http://schemas.openxmlformats.org/officeDocument/2006/relationships/header" Target="header3.xml"/><Relationship Id="rId32" Type="http://schemas.openxmlformats.org/officeDocument/2006/relationships/hyperlink" Target="https://doi.org/10.3390/su14042121" TargetMode="External"/><Relationship Id="rId37" Type="http://schemas.openxmlformats.org/officeDocument/2006/relationships/hyperlink" Target="https://doi.org/10.1037/0021-9010.86.3.499" TargetMode="External"/><Relationship Id="rId53" Type="http://schemas.openxmlformats.org/officeDocument/2006/relationships/hyperlink" Target="https://doi.org/10.1080/03634523.2019.1568512" TargetMode="External"/><Relationship Id="rId58" Type="http://schemas.openxmlformats.org/officeDocument/2006/relationships/hyperlink" Target="https://doi.org/10.1037/a0028552" TargetMode="External"/><Relationship Id="rId74" Type="http://schemas.openxmlformats.org/officeDocument/2006/relationships/hyperlink" Target="https://doi.org/10.1007/s10902-019-00177-9" TargetMode="External"/><Relationship Id="rId79" Type="http://schemas.openxmlformats.org/officeDocument/2006/relationships/hyperlink" Target="https://doi.org/10.2307/259118" TargetMode="External"/><Relationship Id="rId5" Type="http://schemas.openxmlformats.org/officeDocument/2006/relationships/webSettings" Target="webSettings.xml"/><Relationship Id="rId61" Type="http://schemas.openxmlformats.org/officeDocument/2006/relationships/hyperlink" Target="https://doi.org/10.1080/02678373.2011.565619" TargetMode="External"/><Relationship Id="rId82" Type="http://schemas.openxmlformats.org/officeDocument/2006/relationships/footer" Target="footer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yperlink" Target="https://doi.org/10.1177/105649260092008" TargetMode="External"/><Relationship Id="rId27" Type="http://schemas.openxmlformats.org/officeDocument/2006/relationships/hyperlink" Target="https://doi.org/10.1177/21501319221101845" TargetMode="External"/><Relationship Id="rId30" Type="http://schemas.openxmlformats.org/officeDocument/2006/relationships/hyperlink" Target="https://doi.org/10.1108/09534819910273793" TargetMode="External"/><Relationship Id="rId35" Type="http://schemas.openxmlformats.org/officeDocument/2006/relationships/hyperlink" Target="https://doi.org/10.1207/S15327965PLI1104_01" TargetMode="External"/><Relationship Id="rId43" Type="http://schemas.openxmlformats.org/officeDocument/2006/relationships/hyperlink" Target="https://doi.org/10.1177/0739891318821124" TargetMode="External"/><Relationship Id="rId48" Type="http://schemas.openxmlformats.org/officeDocument/2006/relationships/hyperlink" Target="https://doi.org/10.5465/AMBPP.2019.15958abstract" TargetMode="External"/><Relationship Id="rId56" Type="http://schemas.openxmlformats.org/officeDocument/2006/relationships/hyperlink" Target="https://doi.org/10.1080/1359432X.2019.1646728" TargetMode="External"/><Relationship Id="rId64" Type="http://schemas.openxmlformats.org/officeDocument/2006/relationships/hyperlink" Target="https://doi.org/10.1016/j.orgdyn.2017.04.008" TargetMode="External"/><Relationship Id="rId69" Type="http://schemas.openxmlformats.org/officeDocument/2006/relationships/hyperlink" Target="https://doi.org/10.3390/ijerph16132334" TargetMode="External"/><Relationship Id="rId77" Type="http://schemas.openxmlformats.org/officeDocument/2006/relationships/hyperlink" Target="https://doi.org/10.1177/009164711504300203" TargetMode="External"/><Relationship Id="rId8" Type="http://schemas.openxmlformats.org/officeDocument/2006/relationships/header" Target="header1.xml"/><Relationship Id="rId51" Type="http://schemas.openxmlformats.org/officeDocument/2006/relationships/hyperlink" Target="https://doi.org/10.1037/h0054346" TargetMode="External"/><Relationship Id="rId72" Type="http://schemas.openxmlformats.org/officeDocument/2006/relationships/hyperlink" Target="https://doi.org/10.1016/j.jhtm.2019.10.010" TargetMode="External"/><Relationship Id="rId80" Type="http://schemas.openxmlformats.org/officeDocument/2006/relationships/hyperlink" Target="https://doi.org/10.1037/1072-5245.14.2.121"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doi.org/10.1108/13620430810870476" TargetMode="External"/><Relationship Id="rId33" Type="http://schemas.openxmlformats.org/officeDocument/2006/relationships/hyperlink" Target="https://www.proquest.com/dissertations-theses/trust-as-precursor-flow-social-cognitive-view/docview/2067507903/se-2" TargetMode="External"/><Relationship Id="rId38" Type="http://schemas.openxmlformats.org/officeDocument/2006/relationships/hyperlink" Target="https://pure.eur.nl/en/publications/e66c9942-aece-4fff-9316-4b8b8f4a9bf6" TargetMode="External"/><Relationship Id="rId46" Type="http://schemas.openxmlformats.org/officeDocument/2006/relationships/hyperlink" Target="https://doi.org/10.22108/ppls.2017.103917.1119" TargetMode="External"/><Relationship Id="rId59" Type="http://schemas.openxmlformats.org/officeDocument/2006/relationships/hyperlink" Target="https://doi.org/10.1111/1748-8583.12234" TargetMode="External"/><Relationship Id="rId67" Type="http://schemas.openxmlformats.org/officeDocument/2006/relationships/hyperlink" Target="https://doi.org/10.1108/01437730810894195" TargetMode="External"/><Relationship Id="rId20" Type="http://schemas.openxmlformats.org/officeDocument/2006/relationships/hyperlink" Target="https://www.federalregister.gov/d/2017-01058/p-818" TargetMode="External"/><Relationship Id="rId41" Type="http://schemas.openxmlformats.org/officeDocument/2006/relationships/hyperlink" Target="https://doi.org/htts:/doi.org/10.1002/job.322" TargetMode="External"/><Relationship Id="rId54" Type="http://schemas.openxmlformats.org/officeDocument/2006/relationships/hyperlink" Target="https://doi.org/10.1177/0018726715610642" TargetMode="External"/><Relationship Id="rId62" Type="http://schemas.openxmlformats.org/officeDocument/2006/relationships/hyperlink" Target="https://doi.org/10.1007/s13520-017-0073-y" TargetMode="External"/><Relationship Id="rId70" Type="http://schemas.openxmlformats.org/officeDocument/2006/relationships/hyperlink" Target="https://www.apa.org/news/press/releases/stress" TargetMode="External"/><Relationship Id="rId75" Type="http://schemas.openxmlformats.org/officeDocument/2006/relationships/hyperlink" Target="https://doi.org/10.1002/hrm.2175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doi.org/10.1016/j.jvb.2007.11.007" TargetMode="External"/><Relationship Id="rId28" Type="http://schemas.openxmlformats.org/officeDocument/2006/relationships/hyperlink" Target="https://doi.org/10.1111/joop.12052" TargetMode="External"/><Relationship Id="rId36" Type="http://schemas.openxmlformats.org/officeDocument/2006/relationships/hyperlink" Target="https://doi.org/10.1037/a0039002" TargetMode="External"/><Relationship Id="rId49" Type="http://schemas.openxmlformats.org/officeDocument/2006/relationships/hyperlink" Target="https://doi.org/10.22521/unibulletin.2020.92.3" TargetMode="External"/><Relationship Id="rId57" Type="http://schemas.openxmlformats.org/officeDocument/2006/relationships/hyperlink" Target="https://doi.org/10.1037/0021-9010.92.2.438" TargetMode="External"/><Relationship Id="rId10" Type="http://schemas.openxmlformats.org/officeDocument/2006/relationships/header" Target="header2.xml"/><Relationship Id="rId31" Type="http://schemas.openxmlformats.org/officeDocument/2006/relationships/hyperlink" Target="https://doi.org/10.1037/0021-9010.85.1.65" TargetMode="External"/><Relationship Id="rId44" Type="http://schemas.openxmlformats.org/officeDocument/2006/relationships/hyperlink" Target="https://doi.org/10.1080/09585192.2019.1683049" TargetMode="External"/><Relationship Id="rId52" Type="http://schemas.openxmlformats.org/officeDocument/2006/relationships/hyperlink" Target="https://www.taylorfrancis.com/chapters/edit/10.4324/9780203765425-6/psychological-aspects-workload-thea-meijman-gijsbertus-mulder" TargetMode="External"/><Relationship Id="rId60" Type="http://schemas.openxmlformats.org/officeDocument/2006/relationships/hyperlink" Target="https://doi.org/10.1177/1523422318756954" TargetMode="External"/><Relationship Id="rId65" Type="http://schemas.openxmlformats.org/officeDocument/2006/relationships/hyperlink" Target="https://doi.org/10.1023/A:1015630930326" TargetMode="External"/><Relationship Id="rId73" Type="http://schemas.openxmlformats.org/officeDocument/2006/relationships/hyperlink" Target="https://doi.org/10.1016/j.jvb.2011.05.009" TargetMode="External"/><Relationship Id="rId78" Type="http://schemas.openxmlformats.org/officeDocument/2006/relationships/hyperlink" Target="https://doi.org/10.1515/ppb-2017-0025" TargetMode="External"/><Relationship Id="rId81" Type="http://schemas.openxmlformats.org/officeDocument/2006/relationships/hyperlink" Target="https://doi.org/10.1002/job.2332"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s://www.federalregister.gov/documents/2017/01/19/2017-01058/federal-policy-for-the-protection-of-human-subjects" TargetMode="External"/><Relationship Id="rId34" Type="http://schemas.openxmlformats.org/officeDocument/2006/relationships/hyperlink" Target="https://doi.org/10.3846/btp.2023.16953" TargetMode="External"/><Relationship Id="rId50" Type="http://schemas.openxmlformats.org/officeDocument/2006/relationships/hyperlink" Target="https://doi.org/10.1348/096317909X476333" TargetMode="External"/><Relationship Id="rId55" Type="http://schemas.openxmlformats.org/officeDocument/2006/relationships/hyperlink" Target="https://doi.org/10.7903/cmr.20349" TargetMode="External"/><Relationship Id="rId76" Type="http://schemas.openxmlformats.org/officeDocument/2006/relationships/hyperlink" Target="https://doi.org/10.4102/sajip.v45i0.1567" TargetMode="External"/><Relationship Id="rId7" Type="http://schemas.openxmlformats.org/officeDocument/2006/relationships/endnotes" Target="endnotes.xml"/><Relationship Id="rId71" Type="http://schemas.openxmlformats.org/officeDocument/2006/relationships/hyperlink" Target="https://doi.org/10.1037/a0029213" TargetMode="External"/><Relationship Id="rId2" Type="http://schemas.openxmlformats.org/officeDocument/2006/relationships/numbering" Target="numbering.xml"/><Relationship Id="rId29" Type="http://schemas.openxmlformats.org/officeDocument/2006/relationships/hyperlink" Target="https://doi.org/10.1080/09585192.2020.1737177" TargetMode="External"/><Relationship Id="rId24" Type="http://schemas.openxmlformats.org/officeDocument/2006/relationships/hyperlink" Target="https://doi.org/10.1108/02683940710733115" TargetMode="External"/><Relationship Id="rId40" Type="http://schemas.openxmlformats.org/officeDocument/2006/relationships/hyperlink" Target="https://doi.org/10.1007/978-3-030-81311-6_1" TargetMode="External"/><Relationship Id="rId45" Type="http://schemas.openxmlformats.org/officeDocument/2006/relationships/hyperlink" Target="https://doi.org/10.1080/01443410.2019.1674249" TargetMode="External"/><Relationship Id="rId66" Type="http://schemas.openxmlformats.org/officeDocument/2006/relationships/hyperlink" Target="https://doi.org/10.1007/978-1-4614-23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5FD-E23C-4184-ACA5-C595AC8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682</TotalTime>
  <Pages>67</Pages>
  <Words>12965</Words>
  <Characters>73907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86699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David Moser</cp:lastModifiedBy>
  <cp:revision>265</cp:revision>
  <dcterms:created xsi:type="dcterms:W3CDTF">2023-03-31T00:51:00Z</dcterms:created>
  <dcterms:modified xsi:type="dcterms:W3CDTF">2023-04-14T18:29:00Z</dcterms:modified>
</cp:coreProperties>
</file>