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F8" w:rsidRDefault="00D61AAE">
      <w:pPr>
        <w:spacing w:after="317" w:line="271" w:lineRule="auto"/>
        <w:ind w:left="475" w:hanging="10"/>
      </w:pPr>
      <w:r>
        <w:rPr>
          <w:rFonts w:ascii="Times New Roman" w:eastAsia="Times New Roman" w:hAnsi="Times New Roman" w:cs="Times New Roman"/>
          <w:b/>
          <w:sz w:val="33"/>
        </w:rPr>
        <w:t>“The RISE and FALL of MANKIND and a forgiving Creator”</w:t>
      </w:r>
      <w:r>
        <w:rPr>
          <w:rFonts w:ascii="Times New Roman" w:eastAsia="Times New Roman" w:hAnsi="Times New Roman" w:cs="Times New Roman"/>
          <w:b/>
          <w:sz w:val="33"/>
          <w:vertAlign w:val="subscript"/>
        </w:rPr>
        <w:t xml:space="preserve"> </w:t>
      </w:r>
    </w:p>
    <w:p w:rsidR="004375F8" w:rsidRDefault="00D61AAE">
      <w:pPr>
        <w:spacing w:after="317" w:line="271" w:lineRule="auto"/>
        <w:ind w:left="475" w:hanging="10"/>
      </w:pPr>
      <w:r>
        <w:rPr>
          <w:rFonts w:ascii="Times New Roman" w:eastAsia="Times New Roman" w:hAnsi="Times New Roman" w:cs="Times New Roman"/>
          <w:b/>
          <w:sz w:val="33"/>
        </w:rPr>
        <w:t xml:space="preserve">Title of Paper </w:t>
      </w:r>
    </w:p>
    <w:p w:rsidR="004375F8" w:rsidRDefault="00D61AAE">
      <w:pPr>
        <w:spacing w:after="334"/>
        <w:ind w:left="480"/>
      </w:pPr>
      <w:r>
        <w:rPr>
          <w:rFonts w:ascii="Times New Roman" w:eastAsia="Times New Roman" w:hAnsi="Times New Roman" w:cs="Times New Roman"/>
          <w:b/>
          <w:sz w:val="33"/>
        </w:rPr>
        <w:t xml:space="preserve"> </w:t>
      </w:r>
    </w:p>
    <w:p w:rsidR="004375F8" w:rsidRDefault="00D61AAE">
      <w:pPr>
        <w:spacing w:after="317" w:line="271" w:lineRule="auto"/>
        <w:ind w:left="475" w:hanging="10"/>
      </w:pPr>
      <w:r>
        <w:rPr>
          <w:rFonts w:ascii="Times New Roman" w:eastAsia="Times New Roman" w:hAnsi="Times New Roman" w:cs="Times New Roman"/>
          <w:b/>
          <w:sz w:val="33"/>
        </w:rPr>
        <w:t xml:space="preserve">Begin your paper with the paper title at the top of the first page of text. The paper title </w:t>
      </w:r>
    </w:p>
    <w:p w:rsidR="004375F8" w:rsidRDefault="00D61AAE">
      <w:pPr>
        <w:spacing w:after="198" w:line="344" w:lineRule="auto"/>
        <w:ind w:left="475" w:right="351" w:hanging="10"/>
      </w:pPr>
      <w:proofErr w:type="gramStart"/>
      <w:r>
        <w:rPr>
          <w:rFonts w:ascii="Times New Roman" w:eastAsia="Times New Roman" w:hAnsi="Times New Roman" w:cs="Times New Roman"/>
          <w:b/>
          <w:sz w:val="33"/>
        </w:rPr>
        <w:t>acts</w:t>
      </w:r>
      <w:proofErr w:type="gramEnd"/>
      <w:r>
        <w:rPr>
          <w:rFonts w:ascii="Times New Roman" w:eastAsia="Times New Roman" w:hAnsi="Times New Roman" w:cs="Times New Roman"/>
          <w:b/>
          <w:sz w:val="33"/>
        </w:rPr>
        <w:t xml:space="preserve"> as a de facto Level 1 heading: It is centered and in bold title case font. Do not use the heading “Introduction”; text at the beginning of the paper is assumed to be the introduction. </w:t>
      </w:r>
    </w:p>
    <w:p w:rsidR="004375F8" w:rsidRDefault="00D61AAE">
      <w:pPr>
        <w:spacing w:after="317" w:line="271" w:lineRule="auto"/>
        <w:ind w:left="475" w:hanging="10"/>
      </w:pPr>
      <w:r>
        <w:rPr>
          <w:rFonts w:ascii="Times New Roman" w:eastAsia="Times New Roman" w:hAnsi="Times New Roman" w:cs="Times New Roman"/>
          <w:b/>
          <w:sz w:val="33"/>
        </w:rPr>
        <w:t>APA Style headings have five possible levels. Each main section st</w:t>
      </w:r>
      <w:r>
        <w:rPr>
          <w:rFonts w:ascii="Times New Roman" w:eastAsia="Times New Roman" w:hAnsi="Times New Roman" w:cs="Times New Roman"/>
          <w:b/>
          <w:sz w:val="33"/>
        </w:rPr>
        <w:t xml:space="preserve">arts with the highest </w:t>
      </w:r>
    </w:p>
    <w:p w:rsidR="004375F8" w:rsidRDefault="00D61AAE">
      <w:pPr>
        <w:spacing w:after="317" w:line="271" w:lineRule="auto"/>
        <w:ind w:left="475" w:hanging="10"/>
      </w:pPr>
      <w:proofErr w:type="gramStart"/>
      <w:r>
        <w:rPr>
          <w:rFonts w:ascii="Times New Roman" w:eastAsia="Times New Roman" w:hAnsi="Times New Roman" w:cs="Times New Roman"/>
          <w:b/>
          <w:sz w:val="33"/>
        </w:rPr>
        <w:t>level</w:t>
      </w:r>
      <w:proofErr w:type="gramEnd"/>
      <w:r>
        <w:rPr>
          <w:rFonts w:ascii="Times New Roman" w:eastAsia="Times New Roman" w:hAnsi="Times New Roman" w:cs="Times New Roman"/>
          <w:b/>
          <w:sz w:val="33"/>
        </w:rPr>
        <w:t xml:space="preserve"> of heading, even if one section has fewer levels of subheading than another section. For </w:t>
      </w:r>
    </w:p>
    <w:p w:rsidR="004375F8" w:rsidRDefault="00D61AAE">
      <w:pPr>
        <w:spacing w:after="317" w:line="271" w:lineRule="auto"/>
        <w:ind w:left="475" w:hanging="10"/>
      </w:pPr>
      <w:proofErr w:type="gramStart"/>
      <w:r>
        <w:rPr>
          <w:rFonts w:ascii="Times New Roman" w:eastAsia="Times New Roman" w:hAnsi="Times New Roman" w:cs="Times New Roman"/>
          <w:b/>
          <w:sz w:val="33"/>
        </w:rPr>
        <w:t>example</w:t>
      </w:r>
      <w:proofErr w:type="gramEnd"/>
      <w:r>
        <w:rPr>
          <w:rFonts w:ascii="Times New Roman" w:eastAsia="Times New Roman" w:hAnsi="Times New Roman" w:cs="Times New Roman"/>
          <w:b/>
          <w:sz w:val="33"/>
        </w:rPr>
        <w:t xml:space="preserve">, in a paper with Level 1 Method, Results, and Discussion headings, the Method and </w:t>
      </w:r>
    </w:p>
    <w:p w:rsidR="004375F8" w:rsidRDefault="00D61AAE">
      <w:pPr>
        <w:spacing w:after="147" w:line="376" w:lineRule="auto"/>
        <w:ind w:left="475" w:right="154" w:hanging="10"/>
      </w:pPr>
      <w:r>
        <w:rPr>
          <w:rFonts w:ascii="Times New Roman" w:eastAsia="Times New Roman" w:hAnsi="Times New Roman" w:cs="Times New Roman"/>
          <w:b/>
          <w:sz w:val="33"/>
        </w:rPr>
        <w:t>Results sections may each have two levels of s</w:t>
      </w:r>
      <w:r>
        <w:rPr>
          <w:rFonts w:ascii="Times New Roman" w:eastAsia="Times New Roman" w:hAnsi="Times New Roman" w:cs="Times New Roman"/>
          <w:b/>
          <w:sz w:val="33"/>
        </w:rPr>
        <w:t xml:space="preserve">ubheading (Levels 2 and 3), and the Discussion section may have only one level of subheading (Level 2). </w:t>
      </w:r>
    </w:p>
    <w:p w:rsidR="004375F8" w:rsidRDefault="00D61AAE">
      <w:pPr>
        <w:spacing w:after="317" w:line="271" w:lineRule="auto"/>
        <w:ind w:left="475" w:hanging="10"/>
      </w:pPr>
      <w:bookmarkStart w:id="0" w:name="_GoBack"/>
      <w:r>
        <w:rPr>
          <w:rFonts w:ascii="Times New Roman" w:eastAsia="Times New Roman" w:hAnsi="Times New Roman" w:cs="Times New Roman"/>
          <w:b/>
          <w:sz w:val="33"/>
        </w:rPr>
        <w:t xml:space="preserve">Level 2 Heading in the Introduction </w:t>
      </w:r>
    </w:p>
    <w:bookmarkEnd w:id="0"/>
    <w:p w:rsidR="004375F8" w:rsidRDefault="00D61AAE">
      <w:pPr>
        <w:spacing w:after="151" w:line="375" w:lineRule="auto"/>
        <w:ind w:left="475" w:right="557" w:hanging="10"/>
      </w:pPr>
      <w:r>
        <w:rPr>
          <w:rFonts w:ascii="Times New Roman" w:eastAsia="Times New Roman" w:hAnsi="Times New Roman" w:cs="Times New Roman"/>
          <w:b/>
          <w:sz w:val="33"/>
        </w:rPr>
        <w:t>Use Level 2 headings for any headings within the introduction, Level 3 for subsections of any Level 2 headings, an</w:t>
      </w:r>
      <w:r>
        <w:rPr>
          <w:rFonts w:ascii="Times New Roman" w:eastAsia="Times New Roman" w:hAnsi="Times New Roman" w:cs="Times New Roman"/>
          <w:b/>
          <w:sz w:val="33"/>
        </w:rPr>
        <w:t xml:space="preserve">d so on. </w:t>
      </w:r>
    </w:p>
    <w:p w:rsidR="004375F8" w:rsidRDefault="00D61AAE">
      <w:pPr>
        <w:spacing w:after="317" w:line="271" w:lineRule="auto"/>
        <w:ind w:left="475" w:hanging="10"/>
      </w:pPr>
      <w:r>
        <w:rPr>
          <w:rFonts w:ascii="Times New Roman" w:eastAsia="Times New Roman" w:hAnsi="Times New Roman" w:cs="Times New Roman"/>
          <w:b/>
          <w:sz w:val="33"/>
        </w:rPr>
        <w:lastRenderedPageBreak/>
        <w:t xml:space="preserve">Level 2 Heading in the Introduction </w:t>
      </w:r>
    </w:p>
    <w:p w:rsidR="004375F8" w:rsidRDefault="00D61AAE">
      <w:pPr>
        <w:spacing w:after="317" w:line="271" w:lineRule="auto"/>
        <w:ind w:left="475" w:hanging="10"/>
      </w:pPr>
      <w:r>
        <w:rPr>
          <w:rFonts w:ascii="Times New Roman" w:eastAsia="Times New Roman" w:hAnsi="Times New Roman" w:cs="Times New Roman"/>
          <w:b/>
          <w:sz w:val="33"/>
        </w:rPr>
        <w:t xml:space="preserve">Avoid having only one subsection heading within a section, just like in an outline. Use </w:t>
      </w:r>
    </w:p>
    <w:p w:rsidR="004375F8" w:rsidRDefault="00D61AAE">
      <w:pPr>
        <w:spacing w:after="317" w:line="271" w:lineRule="auto"/>
        <w:ind w:left="475" w:hanging="10"/>
      </w:pPr>
      <w:proofErr w:type="gramStart"/>
      <w:r>
        <w:rPr>
          <w:rFonts w:ascii="Times New Roman" w:eastAsia="Times New Roman" w:hAnsi="Times New Roman" w:cs="Times New Roman"/>
          <w:b/>
          <w:sz w:val="33"/>
        </w:rPr>
        <w:t>at</w:t>
      </w:r>
      <w:proofErr w:type="gramEnd"/>
      <w:r>
        <w:rPr>
          <w:rFonts w:ascii="Times New Roman" w:eastAsia="Times New Roman" w:hAnsi="Times New Roman" w:cs="Times New Roman"/>
          <w:b/>
          <w:sz w:val="33"/>
        </w:rPr>
        <w:t xml:space="preserve"> least two subsection headings within a section or use no subsection headings at all (e.g., in an </w:t>
      </w:r>
    </w:p>
    <w:p w:rsidR="004375F8" w:rsidRDefault="00D61AAE">
      <w:pPr>
        <w:spacing w:after="317" w:line="271" w:lineRule="auto"/>
        <w:ind w:left="475" w:hanging="10"/>
      </w:pPr>
      <w:proofErr w:type="gramStart"/>
      <w:r>
        <w:rPr>
          <w:rFonts w:ascii="Times New Roman" w:eastAsia="Times New Roman" w:hAnsi="Times New Roman" w:cs="Times New Roman"/>
          <w:b/>
          <w:sz w:val="33"/>
        </w:rPr>
        <w:t>outline</w:t>
      </w:r>
      <w:proofErr w:type="gramEnd"/>
      <w:r>
        <w:rPr>
          <w:rFonts w:ascii="Times New Roman" w:eastAsia="Times New Roman" w:hAnsi="Times New Roman" w:cs="Times New Roman"/>
          <w:b/>
          <w:sz w:val="33"/>
        </w:rPr>
        <w:t xml:space="preserve">, a section </w:t>
      </w:r>
      <w:r>
        <w:rPr>
          <w:rFonts w:ascii="Times New Roman" w:eastAsia="Times New Roman" w:hAnsi="Times New Roman" w:cs="Times New Roman"/>
          <w:b/>
          <w:sz w:val="33"/>
        </w:rPr>
        <w:t xml:space="preserve">numbered with a Roman numeral would be divided into either a minimum of A </w:t>
      </w:r>
    </w:p>
    <w:p w:rsidR="004375F8" w:rsidRDefault="00D61AAE">
      <w:pPr>
        <w:spacing w:after="317" w:line="271" w:lineRule="auto"/>
        <w:ind w:left="475" w:hanging="10"/>
      </w:pPr>
      <w:proofErr w:type="gramStart"/>
      <w:r>
        <w:rPr>
          <w:rFonts w:ascii="Times New Roman" w:eastAsia="Times New Roman" w:hAnsi="Times New Roman" w:cs="Times New Roman"/>
          <w:b/>
          <w:sz w:val="33"/>
        </w:rPr>
        <w:t>and</w:t>
      </w:r>
      <w:proofErr w:type="gramEnd"/>
      <w:r>
        <w:rPr>
          <w:rFonts w:ascii="Times New Roman" w:eastAsia="Times New Roman" w:hAnsi="Times New Roman" w:cs="Times New Roman"/>
          <w:b/>
          <w:sz w:val="33"/>
        </w:rPr>
        <w:t xml:space="preserve"> B subsections or no subsections; an A subsection would not stand alone). </w:t>
      </w:r>
    </w:p>
    <w:p w:rsidR="004375F8" w:rsidRDefault="00D61AAE">
      <w:pPr>
        <w:spacing w:after="317" w:line="271" w:lineRule="auto"/>
        <w:ind w:left="475" w:hanging="10"/>
      </w:pPr>
      <w:r>
        <w:rPr>
          <w:rFonts w:ascii="Times New Roman" w:eastAsia="Times New Roman" w:hAnsi="Times New Roman" w:cs="Times New Roman"/>
          <w:b/>
          <w:sz w:val="33"/>
        </w:rPr>
        <w:t xml:space="preserve">Level 1 Heading for First Main Section </w:t>
      </w:r>
      <w:proofErr w:type="gramStart"/>
      <w:r>
        <w:rPr>
          <w:rFonts w:ascii="Times New Roman" w:eastAsia="Times New Roman" w:hAnsi="Times New Roman" w:cs="Times New Roman"/>
          <w:b/>
          <w:sz w:val="33"/>
        </w:rPr>
        <w:t>After</w:t>
      </w:r>
      <w:proofErr w:type="gramEnd"/>
      <w:r>
        <w:rPr>
          <w:rFonts w:ascii="Times New Roman" w:eastAsia="Times New Roman" w:hAnsi="Times New Roman" w:cs="Times New Roman"/>
          <w:b/>
          <w:sz w:val="33"/>
        </w:rPr>
        <w:t xml:space="preserve"> the Introduction </w:t>
      </w:r>
    </w:p>
    <w:p w:rsidR="004375F8" w:rsidRDefault="00D61AAE">
      <w:pPr>
        <w:spacing w:after="148" w:line="376" w:lineRule="auto"/>
        <w:ind w:left="475" w:right="1481" w:hanging="10"/>
      </w:pPr>
      <w:r>
        <w:rPr>
          <w:rFonts w:ascii="Times New Roman" w:eastAsia="Times New Roman" w:hAnsi="Times New Roman" w:cs="Times New Roman"/>
          <w:b/>
          <w:sz w:val="33"/>
        </w:rPr>
        <w:t>After the introduction (regardless of wh</w:t>
      </w:r>
      <w:r>
        <w:rPr>
          <w:rFonts w:ascii="Times New Roman" w:eastAsia="Times New Roman" w:hAnsi="Times New Roman" w:cs="Times New Roman"/>
          <w:b/>
          <w:sz w:val="33"/>
        </w:rPr>
        <w:t xml:space="preserve">ether it includes headings), use a Level 1 heading for the next main section of the paper (e.g., Method). </w:t>
      </w:r>
    </w:p>
    <w:p w:rsidR="004375F8" w:rsidRDefault="00D61AAE">
      <w:pPr>
        <w:spacing w:after="0" w:line="470" w:lineRule="auto"/>
        <w:ind w:left="475" w:right="6211" w:hanging="10"/>
      </w:pPr>
      <w:r>
        <w:rPr>
          <w:rFonts w:ascii="Times New Roman" w:eastAsia="Times New Roman" w:hAnsi="Times New Roman" w:cs="Times New Roman"/>
          <w:b/>
          <w:sz w:val="33"/>
        </w:rPr>
        <w:t xml:space="preserve">Level 2 Heading Level 2 Heading </w:t>
      </w:r>
    </w:p>
    <w:p w:rsidR="004375F8" w:rsidRDefault="00D61AAE">
      <w:pPr>
        <w:spacing w:after="337"/>
        <w:ind w:left="480"/>
      </w:pPr>
      <w:r>
        <w:rPr>
          <w:rFonts w:ascii="Times New Roman" w:eastAsia="Times New Roman" w:hAnsi="Times New Roman" w:cs="Times New Roman"/>
          <w:b/>
          <w:sz w:val="33"/>
        </w:rPr>
        <w:t xml:space="preserve"> </w:t>
      </w:r>
    </w:p>
    <w:p w:rsidR="004375F8" w:rsidRDefault="00D61AAE">
      <w:pPr>
        <w:spacing w:after="317" w:line="271" w:lineRule="auto"/>
        <w:ind w:left="475" w:hanging="10"/>
      </w:pPr>
      <w:r>
        <w:rPr>
          <w:rFonts w:ascii="Times New Roman" w:eastAsia="Times New Roman" w:hAnsi="Times New Roman" w:cs="Times New Roman"/>
          <w:b/>
          <w:sz w:val="33"/>
        </w:rPr>
        <w:t xml:space="preserve">Level 2 Heading </w:t>
      </w:r>
    </w:p>
    <w:p w:rsidR="004375F8" w:rsidRDefault="00D61AAE">
      <w:pPr>
        <w:spacing w:after="317" w:line="271" w:lineRule="auto"/>
        <w:ind w:left="475" w:hanging="10"/>
      </w:pPr>
      <w:r>
        <w:rPr>
          <w:rFonts w:ascii="Times New Roman" w:eastAsia="Times New Roman" w:hAnsi="Times New Roman" w:cs="Times New Roman"/>
          <w:b/>
          <w:sz w:val="33"/>
        </w:rPr>
        <w:t xml:space="preserve">All topics of equal importance should have the same level of heading. For example, in </w:t>
      </w:r>
    </w:p>
    <w:p w:rsidR="004375F8" w:rsidRDefault="00D61AAE">
      <w:pPr>
        <w:spacing w:after="317" w:line="271" w:lineRule="auto"/>
        <w:ind w:left="475" w:hanging="10"/>
      </w:pPr>
      <w:proofErr w:type="gramStart"/>
      <w:r>
        <w:rPr>
          <w:rFonts w:ascii="Times New Roman" w:eastAsia="Times New Roman" w:hAnsi="Times New Roman" w:cs="Times New Roman"/>
          <w:b/>
          <w:sz w:val="33"/>
        </w:rPr>
        <w:lastRenderedPageBreak/>
        <w:t>a</w:t>
      </w:r>
      <w:proofErr w:type="gramEnd"/>
      <w:r>
        <w:rPr>
          <w:rFonts w:ascii="Times New Roman" w:eastAsia="Times New Roman" w:hAnsi="Times New Roman" w:cs="Times New Roman"/>
          <w:b/>
          <w:sz w:val="33"/>
        </w:rPr>
        <w:t xml:space="preserve"> </w:t>
      </w:r>
      <w:proofErr w:type="spellStart"/>
      <w:r>
        <w:rPr>
          <w:rFonts w:ascii="Times New Roman" w:eastAsia="Times New Roman" w:hAnsi="Times New Roman" w:cs="Times New Roman"/>
          <w:b/>
          <w:sz w:val="33"/>
        </w:rPr>
        <w:t>multiexperiment</w:t>
      </w:r>
      <w:proofErr w:type="spellEnd"/>
      <w:r>
        <w:rPr>
          <w:rFonts w:ascii="Times New Roman" w:eastAsia="Times New Roman" w:hAnsi="Times New Roman" w:cs="Times New Roman"/>
          <w:b/>
          <w:sz w:val="33"/>
        </w:rPr>
        <w:t xml:space="preserve"> paper, the headings for the Method and Results sections for Experiment 1 </w:t>
      </w:r>
    </w:p>
    <w:p w:rsidR="004375F8" w:rsidRDefault="00D61AAE">
      <w:pPr>
        <w:spacing w:after="317" w:line="271" w:lineRule="auto"/>
        <w:ind w:left="475" w:hanging="10"/>
      </w:pPr>
      <w:proofErr w:type="gramStart"/>
      <w:r>
        <w:rPr>
          <w:rFonts w:ascii="Times New Roman" w:eastAsia="Times New Roman" w:hAnsi="Times New Roman" w:cs="Times New Roman"/>
          <w:b/>
          <w:sz w:val="33"/>
        </w:rPr>
        <w:t>should</w:t>
      </w:r>
      <w:proofErr w:type="gramEnd"/>
      <w:r>
        <w:rPr>
          <w:rFonts w:ascii="Times New Roman" w:eastAsia="Times New Roman" w:hAnsi="Times New Roman" w:cs="Times New Roman"/>
          <w:b/>
          <w:sz w:val="33"/>
        </w:rPr>
        <w:t xml:space="preserve"> be the same level as the headings for the Method and Results sections for Experiment </w:t>
      </w:r>
    </w:p>
    <w:p w:rsidR="004375F8" w:rsidRDefault="00D61AAE">
      <w:pPr>
        <w:spacing w:after="21" w:line="271" w:lineRule="auto"/>
        <w:ind w:left="475" w:hanging="10"/>
      </w:pPr>
      <w:r>
        <w:rPr>
          <w:rFonts w:ascii="Times New Roman" w:eastAsia="Times New Roman" w:hAnsi="Times New Roman" w:cs="Times New Roman"/>
          <w:b/>
          <w:sz w:val="33"/>
        </w:rPr>
        <w:t xml:space="preserve">2, with parallel wording. In a single-experiment paper, the </w:t>
      </w:r>
    </w:p>
    <w:p w:rsidR="004375F8" w:rsidRDefault="00D61AAE">
      <w:pPr>
        <w:spacing w:after="317" w:line="271" w:lineRule="auto"/>
        <w:ind w:left="475" w:hanging="10"/>
      </w:pPr>
      <w:r>
        <w:rPr>
          <w:rFonts w:ascii="Times New Roman" w:eastAsia="Times New Roman" w:hAnsi="Times New Roman" w:cs="Times New Roman"/>
          <w:b/>
          <w:sz w:val="33"/>
        </w:rPr>
        <w:t>Method, Re</w:t>
      </w:r>
      <w:r>
        <w:rPr>
          <w:rFonts w:ascii="Times New Roman" w:eastAsia="Times New Roman" w:hAnsi="Times New Roman" w:cs="Times New Roman"/>
          <w:b/>
          <w:sz w:val="33"/>
        </w:rPr>
        <w:t xml:space="preserve">sults, and Discussion </w:t>
      </w:r>
    </w:p>
    <w:p w:rsidR="004375F8" w:rsidRDefault="00D61AAE">
      <w:pPr>
        <w:spacing w:after="337"/>
        <w:ind w:left="480"/>
      </w:pPr>
      <w:r>
        <w:rPr>
          <w:rFonts w:ascii="Times New Roman" w:eastAsia="Times New Roman" w:hAnsi="Times New Roman" w:cs="Times New Roman"/>
          <w:b/>
          <w:sz w:val="33"/>
        </w:rPr>
        <w:t xml:space="preserve"> </w:t>
      </w:r>
    </w:p>
    <w:p w:rsidR="004375F8" w:rsidRDefault="00D61AAE">
      <w:pPr>
        <w:spacing w:after="317" w:line="271" w:lineRule="auto"/>
        <w:ind w:left="475" w:hanging="10"/>
      </w:pPr>
      <w:r>
        <w:rPr>
          <w:rFonts w:ascii="Times New Roman" w:eastAsia="Times New Roman" w:hAnsi="Times New Roman" w:cs="Times New Roman"/>
          <w:b/>
          <w:sz w:val="33"/>
        </w:rPr>
        <w:t xml:space="preserve">2 </w:t>
      </w:r>
    </w:p>
    <w:p w:rsidR="004375F8" w:rsidRDefault="00D61AAE">
      <w:pPr>
        <w:spacing w:after="337"/>
        <w:ind w:left="480"/>
      </w:pPr>
      <w:r>
        <w:rPr>
          <w:rFonts w:ascii="Times New Roman" w:eastAsia="Times New Roman" w:hAnsi="Times New Roman" w:cs="Times New Roman"/>
          <w:b/>
          <w:sz w:val="33"/>
        </w:rPr>
        <w:t xml:space="preserve"> </w:t>
      </w:r>
    </w:p>
    <w:p w:rsidR="004375F8" w:rsidRDefault="00D61AAE">
      <w:pPr>
        <w:spacing w:after="317" w:line="271" w:lineRule="auto"/>
        <w:ind w:left="475" w:hanging="10"/>
      </w:pPr>
      <w:proofErr w:type="gramStart"/>
      <w:r>
        <w:rPr>
          <w:rFonts w:ascii="Times New Roman" w:eastAsia="Times New Roman" w:hAnsi="Times New Roman" w:cs="Times New Roman"/>
          <w:b/>
          <w:sz w:val="33"/>
        </w:rPr>
        <w:t>sections</w:t>
      </w:r>
      <w:proofErr w:type="gramEnd"/>
      <w:r>
        <w:rPr>
          <w:rFonts w:ascii="Times New Roman" w:eastAsia="Times New Roman" w:hAnsi="Times New Roman" w:cs="Times New Roman"/>
          <w:b/>
          <w:sz w:val="33"/>
        </w:rPr>
        <w:t xml:space="preserve"> should all have the same heading level. </w:t>
      </w:r>
    </w:p>
    <w:p w:rsidR="004375F8" w:rsidRDefault="00D61AAE">
      <w:pPr>
        <w:spacing w:after="317" w:line="271" w:lineRule="auto"/>
        <w:ind w:left="475" w:hanging="10"/>
      </w:pPr>
      <w:r>
        <w:rPr>
          <w:rFonts w:ascii="Times New Roman" w:eastAsia="Times New Roman" w:hAnsi="Times New Roman" w:cs="Times New Roman"/>
          <w:b/>
          <w:sz w:val="33"/>
        </w:rPr>
        <w:t xml:space="preserve">Level 3 Heading </w:t>
      </w:r>
    </w:p>
    <w:p w:rsidR="004375F8" w:rsidRDefault="00D61AAE">
      <w:pPr>
        <w:spacing w:after="148" w:line="376" w:lineRule="auto"/>
        <w:ind w:left="475" w:right="334" w:hanging="10"/>
      </w:pPr>
      <w:r>
        <w:rPr>
          <w:rFonts w:ascii="Times New Roman" w:eastAsia="Times New Roman" w:hAnsi="Times New Roman" w:cs="Times New Roman"/>
          <w:b/>
          <w:sz w:val="33"/>
        </w:rPr>
        <w:t xml:space="preserve">Use Level 3 headings for subsections of Level 2 headings. Do not use abbreviations in headings unless they already defined in the text. </w:t>
      </w:r>
    </w:p>
    <w:p w:rsidR="004375F8" w:rsidRDefault="00D61AAE">
      <w:pPr>
        <w:spacing w:after="317" w:line="271" w:lineRule="auto"/>
        <w:ind w:left="475" w:hanging="10"/>
      </w:pPr>
      <w:r>
        <w:rPr>
          <w:rFonts w:ascii="Times New Roman" w:eastAsia="Times New Roman" w:hAnsi="Times New Roman" w:cs="Times New Roman"/>
          <w:b/>
          <w:sz w:val="33"/>
        </w:rPr>
        <w:t xml:space="preserve">Level 3 Heading </w:t>
      </w:r>
    </w:p>
    <w:p w:rsidR="004375F8" w:rsidRDefault="00D61AAE">
      <w:pPr>
        <w:spacing w:after="317" w:line="271" w:lineRule="auto"/>
        <w:ind w:left="475" w:hanging="10"/>
      </w:pPr>
      <w:r>
        <w:rPr>
          <w:rFonts w:ascii="Times New Roman" w:eastAsia="Times New Roman" w:hAnsi="Times New Roman" w:cs="Times New Roman"/>
          <w:b/>
          <w:sz w:val="33"/>
        </w:rPr>
        <w:t>The n</w:t>
      </w:r>
      <w:r>
        <w:rPr>
          <w:rFonts w:ascii="Times New Roman" w:eastAsia="Times New Roman" w:hAnsi="Times New Roman" w:cs="Times New Roman"/>
          <w:b/>
          <w:sz w:val="33"/>
        </w:rPr>
        <w:t xml:space="preserve">umber of levels of heading needed for a paper depends on its length and complexity. </w:t>
      </w:r>
    </w:p>
    <w:p w:rsidR="004375F8" w:rsidRDefault="00D61AAE">
      <w:pPr>
        <w:spacing w:after="317" w:line="271" w:lineRule="auto"/>
        <w:ind w:left="475" w:hanging="10"/>
      </w:pPr>
      <w:r>
        <w:rPr>
          <w:rFonts w:ascii="Times New Roman" w:eastAsia="Times New Roman" w:hAnsi="Times New Roman" w:cs="Times New Roman"/>
          <w:b/>
          <w:sz w:val="33"/>
        </w:rPr>
        <w:t xml:space="preserve">Three levels of heading is average. </w:t>
      </w:r>
    </w:p>
    <w:p w:rsidR="004375F8" w:rsidRDefault="00D61AAE">
      <w:pPr>
        <w:spacing w:after="317" w:line="271" w:lineRule="auto"/>
        <w:ind w:left="475" w:hanging="10"/>
      </w:pPr>
      <w:r>
        <w:rPr>
          <w:rFonts w:ascii="Times New Roman" w:eastAsia="Times New Roman" w:hAnsi="Times New Roman" w:cs="Times New Roman"/>
          <w:b/>
          <w:sz w:val="33"/>
        </w:rPr>
        <w:t xml:space="preserve">Level 4 Heading. Use Level 4 headings for subsections of Level 3 headings. Use only </w:t>
      </w:r>
    </w:p>
    <w:p w:rsidR="004375F8" w:rsidRDefault="00D61AAE">
      <w:pPr>
        <w:spacing w:after="149" w:line="375" w:lineRule="auto"/>
        <w:ind w:left="475" w:right="98" w:hanging="10"/>
      </w:pPr>
      <w:proofErr w:type="gramStart"/>
      <w:r>
        <w:rPr>
          <w:rFonts w:ascii="Times New Roman" w:eastAsia="Times New Roman" w:hAnsi="Times New Roman" w:cs="Times New Roman"/>
          <w:b/>
          <w:sz w:val="33"/>
        </w:rPr>
        <w:lastRenderedPageBreak/>
        <w:t>the</w:t>
      </w:r>
      <w:proofErr w:type="gramEnd"/>
      <w:r>
        <w:rPr>
          <w:rFonts w:ascii="Times New Roman" w:eastAsia="Times New Roman" w:hAnsi="Times New Roman" w:cs="Times New Roman"/>
          <w:b/>
          <w:sz w:val="33"/>
        </w:rPr>
        <w:t xml:space="preserve"> number of headings necessary to differentiate distinct sections in your paper. Short student papers may not require any headings. </w:t>
      </w:r>
    </w:p>
    <w:p w:rsidR="004375F8" w:rsidRDefault="00D61AAE">
      <w:pPr>
        <w:spacing w:after="317" w:line="271" w:lineRule="auto"/>
        <w:ind w:left="475" w:hanging="10"/>
      </w:pPr>
      <w:r>
        <w:rPr>
          <w:rFonts w:ascii="Times New Roman" w:eastAsia="Times New Roman" w:hAnsi="Times New Roman" w:cs="Times New Roman"/>
          <w:b/>
          <w:sz w:val="33"/>
        </w:rPr>
        <w:t xml:space="preserve">Level 4 Heading. It is not necessary to add blank lines before or after headings, even if a </w:t>
      </w:r>
    </w:p>
    <w:p w:rsidR="004375F8" w:rsidRDefault="00D61AAE">
      <w:pPr>
        <w:spacing w:after="317" w:line="271" w:lineRule="auto"/>
        <w:ind w:left="475" w:hanging="10"/>
      </w:pPr>
      <w:proofErr w:type="gramStart"/>
      <w:r>
        <w:rPr>
          <w:rFonts w:ascii="Times New Roman" w:eastAsia="Times New Roman" w:hAnsi="Times New Roman" w:cs="Times New Roman"/>
          <w:b/>
          <w:sz w:val="33"/>
        </w:rPr>
        <w:t>heading</w:t>
      </w:r>
      <w:proofErr w:type="gramEnd"/>
      <w:r>
        <w:rPr>
          <w:rFonts w:ascii="Times New Roman" w:eastAsia="Times New Roman" w:hAnsi="Times New Roman" w:cs="Times New Roman"/>
          <w:b/>
          <w:sz w:val="33"/>
        </w:rPr>
        <w:t xml:space="preserve"> falls at the end of </w:t>
      </w:r>
      <w:r>
        <w:rPr>
          <w:rFonts w:ascii="Times New Roman" w:eastAsia="Times New Roman" w:hAnsi="Times New Roman" w:cs="Times New Roman"/>
          <w:b/>
          <w:sz w:val="33"/>
        </w:rPr>
        <w:t xml:space="preserve">a page. Do not add extra spacing between paragraphs. </w:t>
      </w:r>
    </w:p>
    <w:p w:rsidR="004375F8" w:rsidRDefault="00D61AAE">
      <w:pPr>
        <w:spacing w:after="317" w:line="271" w:lineRule="auto"/>
        <w:ind w:left="475" w:hanging="10"/>
      </w:pPr>
      <w:r>
        <w:rPr>
          <w:rFonts w:ascii="Times New Roman" w:eastAsia="Times New Roman" w:hAnsi="Times New Roman" w:cs="Times New Roman"/>
          <w:b/>
          <w:sz w:val="33"/>
        </w:rPr>
        <w:t>Level 5 Heading. Use Level 5 headings for subsections of Level 4 headings. In the</w:t>
      </w:r>
      <w:r>
        <w:rPr>
          <w:sz w:val="33"/>
          <w:vertAlign w:val="subscript"/>
        </w:rPr>
        <w:t xml:space="preserve"> </w:t>
      </w:r>
      <w:r>
        <w:rPr>
          <w:rFonts w:ascii="Times New Roman" w:eastAsia="Times New Roman" w:hAnsi="Times New Roman" w:cs="Times New Roman"/>
          <w:b/>
          <w:sz w:val="33"/>
        </w:rPr>
        <w:t xml:space="preserve">Publication Manual of the American Psychological Association (7th ed.), Table 2.3 shows how </w:t>
      </w:r>
    </w:p>
    <w:p w:rsidR="004375F8" w:rsidRDefault="00D61AAE">
      <w:pPr>
        <w:spacing w:after="317" w:line="271" w:lineRule="auto"/>
        <w:ind w:left="475" w:hanging="10"/>
      </w:pPr>
      <w:proofErr w:type="gramStart"/>
      <w:r>
        <w:rPr>
          <w:rFonts w:ascii="Times New Roman" w:eastAsia="Times New Roman" w:hAnsi="Times New Roman" w:cs="Times New Roman"/>
          <w:b/>
          <w:sz w:val="33"/>
        </w:rPr>
        <w:t>to</w:t>
      </w:r>
      <w:proofErr w:type="gramEnd"/>
      <w:r>
        <w:rPr>
          <w:rFonts w:ascii="Times New Roman" w:eastAsia="Times New Roman" w:hAnsi="Times New Roman" w:cs="Times New Roman"/>
          <w:b/>
          <w:sz w:val="33"/>
        </w:rPr>
        <w:t xml:space="preserve"> format each level of hea</w:t>
      </w:r>
      <w:r>
        <w:rPr>
          <w:rFonts w:ascii="Times New Roman" w:eastAsia="Times New Roman" w:hAnsi="Times New Roman" w:cs="Times New Roman"/>
          <w:b/>
          <w:sz w:val="33"/>
        </w:rPr>
        <w:t xml:space="preserve">ding, Figure 2.4 demonstrates the use of headings in the introduction, </w:t>
      </w:r>
    </w:p>
    <w:p w:rsidR="004375F8" w:rsidRDefault="00D61AAE">
      <w:pPr>
        <w:spacing w:after="317" w:line="271" w:lineRule="auto"/>
        <w:ind w:left="475" w:hanging="10"/>
      </w:pPr>
      <w:proofErr w:type="gramStart"/>
      <w:r>
        <w:rPr>
          <w:rFonts w:ascii="Times New Roman" w:eastAsia="Times New Roman" w:hAnsi="Times New Roman" w:cs="Times New Roman"/>
          <w:b/>
          <w:sz w:val="33"/>
        </w:rPr>
        <w:t>and</w:t>
      </w:r>
      <w:proofErr w:type="gramEnd"/>
      <w:r>
        <w:rPr>
          <w:rFonts w:ascii="Times New Roman" w:eastAsia="Times New Roman" w:hAnsi="Times New Roman" w:cs="Times New Roman"/>
          <w:b/>
          <w:sz w:val="33"/>
        </w:rPr>
        <w:t xml:space="preserve"> Figure 2.5 lists all the headings used in a sample paper in the correct format. In the Concise </w:t>
      </w:r>
    </w:p>
    <w:p w:rsidR="004375F8" w:rsidRDefault="00D61AAE">
      <w:pPr>
        <w:spacing w:after="149" w:line="375" w:lineRule="auto"/>
        <w:ind w:left="475" w:right="503" w:hanging="10"/>
      </w:pPr>
      <w:r>
        <w:rPr>
          <w:rFonts w:ascii="Times New Roman" w:eastAsia="Times New Roman" w:hAnsi="Times New Roman" w:cs="Times New Roman"/>
          <w:b/>
          <w:sz w:val="33"/>
        </w:rPr>
        <w:t xml:space="preserve">Guide to APA Style (7th ed.), this content is found in Table 1.3, Figure 1.3, and Figure 1.4, respectively. </w:t>
      </w:r>
    </w:p>
    <w:p w:rsidR="004375F8" w:rsidRDefault="00D61AAE">
      <w:pPr>
        <w:spacing w:after="317" w:line="271" w:lineRule="auto"/>
        <w:ind w:left="475" w:hanging="10"/>
      </w:pPr>
      <w:r>
        <w:rPr>
          <w:rFonts w:ascii="Times New Roman" w:eastAsia="Times New Roman" w:hAnsi="Times New Roman" w:cs="Times New Roman"/>
          <w:b/>
          <w:sz w:val="33"/>
        </w:rPr>
        <w:t xml:space="preserve">Level 5 Heading. The sample papers at the end of Chapter 2 in the Publication Manual </w:t>
      </w:r>
    </w:p>
    <w:p w:rsidR="004375F8" w:rsidRDefault="00D61AAE">
      <w:pPr>
        <w:spacing w:after="317" w:line="271" w:lineRule="auto"/>
        <w:ind w:left="475" w:hanging="10"/>
      </w:pPr>
      <w:proofErr w:type="gramStart"/>
      <w:r>
        <w:rPr>
          <w:rFonts w:ascii="Times New Roman" w:eastAsia="Times New Roman" w:hAnsi="Times New Roman" w:cs="Times New Roman"/>
          <w:b/>
          <w:sz w:val="33"/>
        </w:rPr>
        <w:t>and</w:t>
      </w:r>
      <w:proofErr w:type="gramEnd"/>
      <w:r>
        <w:rPr>
          <w:rFonts w:ascii="Times New Roman" w:eastAsia="Times New Roman" w:hAnsi="Times New Roman" w:cs="Times New Roman"/>
          <w:b/>
          <w:sz w:val="33"/>
        </w:rPr>
        <w:t xml:space="preserve"> Chapter 1 in the Concise Guide show the use of headings i</w:t>
      </w:r>
      <w:r>
        <w:rPr>
          <w:rFonts w:ascii="Times New Roman" w:eastAsia="Times New Roman" w:hAnsi="Times New Roman" w:cs="Times New Roman"/>
          <w:b/>
          <w:sz w:val="33"/>
        </w:rPr>
        <w:t xml:space="preserve">n context. Additional sample </w:t>
      </w:r>
    </w:p>
    <w:p w:rsidR="004375F8" w:rsidRDefault="00D61AAE">
      <w:pPr>
        <w:spacing w:after="317" w:line="271" w:lineRule="auto"/>
        <w:ind w:left="475" w:hanging="10"/>
      </w:pPr>
      <w:proofErr w:type="gramStart"/>
      <w:r>
        <w:rPr>
          <w:rFonts w:ascii="Times New Roman" w:eastAsia="Times New Roman" w:hAnsi="Times New Roman" w:cs="Times New Roman"/>
          <w:b/>
          <w:sz w:val="33"/>
        </w:rPr>
        <w:t>papers</w:t>
      </w:r>
      <w:proofErr w:type="gramEnd"/>
      <w:r>
        <w:rPr>
          <w:rFonts w:ascii="Times New Roman" w:eastAsia="Times New Roman" w:hAnsi="Times New Roman" w:cs="Times New Roman"/>
          <w:b/>
          <w:sz w:val="33"/>
        </w:rPr>
        <w:t xml:space="preserve"> can be found on the APA Style website (https://apastyle.apa.org) </w:t>
      </w:r>
    </w:p>
    <w:p w:rsidR="004375F8" w:rsidRDefault="00D61AAE">
      <w:pPr>
        <w:spacing w:after="317" w:line="271" w:lineRule="auto"/>
        <w:ind w:left="475" w:hanging="10"/>
      </w:pPr>
      <w:r>
        <w:rPr>
          <w:rFonts w:ascii="Times New Roman" w:eastAsia="Times New Roman" w:hAnsi="Times New Roman" w:cs="Times New Roman"/>
          <w:b/>
          <w:sz w:val="33"/>
        </w:rPr>
        <w:lastRenderedPageBreak/>
        <w:t xml:space="preserve">Definition: Worldview </w:t>
      </w:r>
    </w:p>
    <w:p w:rsidR="004375F8" w:rsidRDefault="00D61AAE">
      <w:pPr>
        <w:spacing w:after="0" w:line="332" w:lineRule="auto"/>
        <w:ind w:left="475" w:hanging="10"/>
      </w:pPr>
      <w:r>
        <w:rPr>
          <w:rFonts w:ascii="Times New Roman" w:eastAsia="Times New Roman" w:hAnsi="Times New Roman" w:cs="Times New Roman"/>
          <w:sz w:val="27"/>
        </w:rPr>
        <w:t>A worldview is a way you look at the world. It’s the lens through which you interpret all your experience and through which you ma</w:t>
      </w:r>
      <w:r>
        <w:rPr>
          <w:rFonts w:ascii="Times New Roman" w:eastAsia="Times New Roman" w:hAnsi="Times New Roman" w:cs="Times New Roman"/>
          <w:sz w:val="27"/>
        </w:rPr>
        <w:t xml:space="preserve">ke decisions. It’s your colored glasses you wear, even if you don’t know you’re wearing them. More technically, according to David </w:t>
      </w:r>
      <w:proofErr w:type="spellStart"/>
      <w:r>
        <w:rPr>
          <w:rFonts w:ascii="Times New Roman" w:eastAsia="Times New Roman" w:hAnsi="Times New Roman" w:cs="Times New Roman"/>
          <w:sz w:val="27"/>
        </w:rPr>
        <w:t>Noebel</w:t>
      </w:r>
      <w:proofErr w:type="spellEnd"/>
      <w:r>
        <w:rPr>
          <w:rFonts w:ascii="Times New Roman" w:eastAsia="Times New Roman" w:hAnsi="Times New Roman" w:cs="Times New Roman"/>
          <w:sz w:val="27"/>
        </w:rPr>
        <w:t xml:space="preserve">, author of </w:t>
      </w:r>
      <w:r>
        <w:rPr>
          <w:rFonts w:ascii="Times New Roman" w:eastAsia="Times New Roman" w:hAnsi="Times New Roman" w:cs="Times New Roman"/>
          <w:i/>
          <w:sz w:val="27"/>
        </w:rPr>
        <w:t>Understanding the Times</w:t>
      </w:r>
      <w:r>
        <w:rPr>
          <w:rFonts w:ascii="Times New Roman" w:eastAsia="Times New Roman" w:hAnsi="Times New Roman" w:cs="Times New Roman"/>
          <w:sz w:val="27"/>
        </w:rPr>
        <w:t xml:space="preserve">  </w:t>
      </w:r>
    </w:p>
    <w:p w:rsidR="004375F8" w:rsidRDefault="00D61AAE">
      <w:pPr>
        <w:spacing w:after="358"/>
        <w:ind w:left="480"/>
      </w:pPr>
      <w:r>
        <w:t xml:space="preserve"> </w:t>
      </w:r>
    </w:p>
    <w:p w:rsidR="004375F8" w:rsidRDefault="00D61AAE">
      <w:pPr>
        <w:spacing w:after="379" w:line="261" w:lineRule="auto"/>
        <w:ind w:left="475" w:hanging="10"/>
      </w:pPr>
      <w:r>
        <w:rPr>
          <w:rFonts w:ascii="Times New Roman" w:eastAsia="Times New Roman" w:hAnsi="Times New Roman" w:cs="Times New Roman"/>
          <w:sz w:val="27"/>
        </w:rPr>
        <w:t xml:space="preserve">, a worldview is… </w:t>
      </w:r>
    </w:p>
    <w:p w:rsidR="004375F8" w:rsidRDefault="00D61AAE">
      <w:pPr>
        <w:spacing w:after="270" w:line="344" w:lineRule="auto"/>
        <w:ind w:left="475" w:hanging="10"/>
      </w:pPr>
      <w:r>
        <w:rPr>
          <w:rFonts w:ascii="Times New Roman" w:eastAsia="Times New Roman" w:hAnsi="Times New Roman" w:cs="Times New Roman"/>
          <w:sz w:val="27"/>
        </w:rPr>
        <w:t xml:space="preserve">“The framework from which we view reality and make sense of </w:t>
      </w:r>
      <w:r>
        <w:rPr>
          <w:rFonts w:ascii="Times New Roman" w:eastAsia="Times New Roman" w:hAnsi="Times New Roman" w:cs="Times New Roman"/>
          <w:sz w:val="27"/>
        </w:rPr>
        <w:t xml:space="preserve">life and the world. “[It’s] any ideology, philosophy, theology, movement or religion that provides an overarching approach to understanding God, the world and man’s relations to God and the world.” </w:t>
      </w:r>
    </w:p>
    <w:p w:rsidR="004375F8" w:rsidRDefault="00D61AAE">
      <w:pPr>
        <w:spacing w:after="274" w:line="341" w:lineRule="auto"/>
        <w:ind w:left="475" w:hanging="10"/>
      </w:pPr>
      <w:r>
        <w:rPr>
          <w:rFonts w:ascii="Times New Roman" w:eastAsia="Times New Roman" w:hAnsi="Times New Roman" w:cs="Times New Roman"/>
          <w:sz w:val="27"/>
        </w:rPr>
        <w:t xml:space="preserve">That’s a great definition. But sometimes it helps to sum up many words with a few. So a more simple understanding comes from Chuck Colson who once said, a worldview is “the sum total of our beliefs about the world.” </w:t>
      </w:r>
    </w:p>
    <w:p w:rsidR="004375F8" w:rsidRDefault="00D61AAE">
      <w:pPr>
        <w:spacing w:after="208" w:line="341" w:lineRule="auto"/>
        <w:ind w:left="475" w:hanging="10"/>
      </w:pPr>
      <w:r>
        <w:rPr>
          <w:rFonts w:ascii="Times New Roman" w:eastAsia="Times New Roman" w:hAnsi="Times New Roman" w:cs="Times New Roman"/>
          <w:sz w:val="27"/>
        </w:rPr>
        <w:t>Everybody has a worldview. That worldvi</w:t>
      </w:r>
      <w:r>
        <w:rPr>
          <w:rFonts w:ascii="Times New Roman" w:eastAsia="Times New Roman" w:hAnsi="Times New Roman" w:cs="Times New Roman"/>
          <w:sz w:val="27"/>
        </w:rPr>
        <w:t xml:space="preserve">ew may not be well-developed or the person holding it may not be able to articulate it clearly, but each person has a distinct way they interpret their world. For instance, each of these people have a worldview… </w:t>
      </w:r>
    </w:p>
    <w:p w:rsidR="004375F8" w:rsidRDefault="00D61AAE">
      <w:pPr>
        <w:numPr>
          <w:ilvl w:val="0"/>
          <w:numId w:val="1"/>
        </w:numPr>
        <w:spacing w:after="48" w:line="261" w:lineRule="auto"/>
        <w:ind w:hanging="360"/>
      </w:pPr>
      <w:r>
        <w:rPr>
          <w:rFonts w:ascii="Times New Roman" w:eastAsia="Times New Roman" w:hAnsi="Times New Roman" w:cs="Times New Roman"/>
          <w:sz w:val="27"/>
        </w:rPr>
        <w:t>The crying 2-year old who believes he’s the</w:t>
      </w:r>
      <w:r>
        <w:rPr>
          <w:rFonts w:ascii="Times New Roman" w:eastAsia="Times New Roman" w:hAnsi="Times New Roman" w:cs="Times New Roman"/>
          <w:sz w:val="27"/>
        </w:rPr>
        <w:t xml:space="preserve"> center of the universe. </w:t>
      </w:r>
    </w:p>
    <w:p w:rsidR="004375F8" w:rsidRDefault="00D61AAE">
      <w:pPr>
        <w:numPr>
          <w:ilvl w:val="0"/>
          <w:numId w:val="1"/>
        </w:numPr>
        <w:spacing w:after="97" w:line="261" w:lineRule="auto"/>
        <w:ind w:hanging="360"/>
      </w:pPr>
      <w:r>
        <w:rPr>
          <w:rFonts w:ascii="Times New Roman" w:eastAsia="Times New Roman" w:hAnsi="Times New Roman" w:cs="Times New Roman"/>
          <w:sz w:val="27"/>
        </w:rPr>
        <w:t xml:space="preserve">The atheist biology professor who just finished a lecture on Neo-Darwinism. </w:t>
      </w:r>
    </w:p>
    <w:p w:rsidR="004375F8" w:rsidRDefault="00D61AAE">
      <w:pPr>
        <w:numPr>
          <w:ilvl w:val="0"/>
          <w:numId w:val="1"/>
        </w:numPr>
        <w:spacing w:after="48" w:line="261" w:lineRule="auto"/>
        <w:ind w:hanging="360"/>
      </w:pPr>
      <w:r>
        <w:rPr>
          <w:rFonts w:ascii="Times New Roman" w:eastAsia="Times New Roman" w:hAnsi="Times New Roman" w:cs="Times New Roman"/>
          <w:sz w:val="27"/>
        </w:rPr>
        <w:t xml:space="preserve">The Christian pastor who just posted a blog on his church’s website. </w:t>
      </w:r>
    </w:p>
    <w:p w:rsidR="004375F8" w:rsidRDefault="00D61AAE">
      <w:pPr>
        <w:numPr>
          <w:ilvl w:val="0"/>
          <w:numId w:val="1"/>
        </w:numPr>
        <w:spacing w:after="48" w:line="261" w:lineRule="auto"/>
        <w:ind w:hanging="360"/>
      </w:pPr>
      <w:r>
        <w:rPr>
          <w:rFonts w:ascii="Times New Roman" w:eastAsia="Times New Roman" w:hAnsi="Times New Roman" w:cs="Times New Roman"/>
          <w:sz w:val="27"/>
        </w:rPr>
        <w:t xml:space="preserve">The Hindu technical support rep who just answered your computer question. </w:t>
      </w:r>
    </w:p>
    <w:p w:rsidR="004375F8" w:rsidRDefault="00D61AAE">
      <w:pPr>
        <w:numPr>
          <w:ilvl w:val="0"/>
          <w:numId w:val="1"/>
        </w:numPr>
        <w:spacing w:after="48" w:line="261" w:lineRule="auto"/>
        <w:ind w:hanging="360"/>
      </w:pPr>
      <w:r>
        <w:rPr>
          <w:rFonts w:ascii="Times New Roman" w:eastAsia="Times New Roman" w:hAnsi="Times New Roman" w:cs="Times New Roman"/>
          <w:sz w:val="27"/>
        </w:rPr>
        <w:t>The stay</w:t>
      </w:r>
      <w:r>
        <w:rPr>
          <w:rFonts w:ascii="Times New Roman" w:eastAsia="Times New Roman" w:hAnsi="Times New Roman" w:cs="Times New Roman"/>
          <w:sz w:val="27"/>
        </w:rPr>
        <w:t xml:space="preserve">-at-home mom who just finished cooking dinner. </w:t>
      </w:r>
    </w:p>
    <w:p w:rsidR="004375F8" w:rsidRDefault="00D61AAE">
      <w:pPr>
        <w:spacing w:after="324" w:line="321" w:lineRule="auto"/>
        <w:ind w:left="475" w:hanging="10"/>
      </w:pPr>
      <w:r>
        <w:rPr>
          <w:rFonts w:ascii="Times New Roman" w:eastAsia="Times New Roman" w:hAnsi="Times New Roman" w:cs="Times New Roman"/>
          <w:sz w:val="27"/>
        </w:rPr>
        <w:t>You and I have our own worldview too. Whenever we overhear a conversation from someone in a coffee shop, or stumble upon lewd website, or when we read an unbelievable news story, we automatically file that ne</w:t>
      </w:r>
      <w:r>
        <w:rPr>
          <w:rFonts w:ascii="Times New Roman" w:eastAsia="Times New Roman" w:hAnsi="Times New Roman" w:cs="Times New Roman"/>
          <w:sz w:val="27"/>
        </w:rPr>
        <w:t xml:space="preserve">w information into a grid of prior understanding. That understanding is our worldview. </w:t>
      </w:r>
    </w:p>
    <w:p w:rsidR="004375F8" w:rsidRDefault="00D61AAE">
      <w:pPr>
        <w:spacing w:after="317" w:line="271" w:lineRule="auto"/>
        <w:ind w:left="475" w:hanging="10"/>
      </w:pPr>
      <w:r>
        <w:rPr>
          <w:rFonts w:ascii="Times New Roman" w:eastAsia="Times New Roman" w:hAnsi="Times New Roman" w:cs="Times New Roman"/>
          <w:b/>
          <w:sz w:val="33"/>
        </w:rPr>
        <w:lastRenderedPageBreak/>
        <w:t xml:space="preserve">Parts of a Worldview </w:t>
      </w:r>
    </w:p>
    <w:p w:rsidR="004375F8" w:rsidRDefault="00D61AAE">
      <w:pPr>
        <w:spacing w:after="179" w:line="336" w:lineRule="auto"/>
        <w:ind w:left="475" w:hanging="10"/>
      </w:pPr>
      <w:r>
        <w:rPr>
          <w:rFonts w:ascii="Times New Roman" w:eastAsia="Times New Roman" w:hAnsi="Times New Roman" w:cs="Times New Roman"/>
          <w:sz w:val="27"/>
        </w:rPr>
        <w:t>A worldview, like a philosophy, has different aspects. Depending on the teacher, some divide worldviews by a few parts and others by many parts. H</w:t>
      </w:r>
      <w:r>
        <w:rPr>
          <w:rFonts w:ascii="Times New Roman" w:eastAsia="Times New Roman" w:hAnsi="Times New Roman" w:cs="Times New Roman"/>
          <w:sz w:val="27"/>
        </w:rPr>
        <w:t xml:space="preserve">ere’s a simple, but not too expansive worldview framework. Every worldview includes the following 8 areas: </w:t>
      </w:r>
    </w:p>
    <w:p w:rsidR="004375F8" w:rsidRDefault="00D61AAE">
      <w:pPr>
        <w:numPr>
          <w:ilvl w:val="0"/>
          <w:numId w:val="2"/>
        </w:numPr>
        <w:spacing w:after="48" w:line="261" w:lineRule="auto"/>
        <w:ind w:hanging="360"/>
      </w:pPr>
      <w:r>
        <w:rPr>
          <w:rFonts w:ascii="Times New Roman" w:eastAsia="Times New Roman" w:hAnsi="Times New Roman" w:cs="Times New Roman"/>
          <w:sz w:val="27"/>
        </w:rPr>
        <w:t xml:space="preserve">God (Theology) </w:t>
      </w:r>
    </w:p>
    <w:p w:rsidR="004375F8" w:rsidRDefault="00D61AAE">
      <w:pPr>
        <w:numPr>
          <w:ilvl w:val="0"/>
          <w:numId w:val="2"/>
        </w:numPr>
        <w:spacing w:after="48" w:line="261" w:lineRule="auto"/>
        <w:ind w:hanging="360"/>
      </w:pPr>
      <w:r>
        <w:rPr>
          <w:rFonts w:ascii="Times New Roman" w:eastAsia="Times New Roman" w:hAnsi="Times New Roman" w:cs="Times New Roman"/>
          <w:sz w:val="27"/>
        </w:rPr>
        <w:t xml:space="preserve">Knowledge (Epistemology) </w:t>
      </w:r>
    </w:p>
    <w:p w:rsidR="004375F8" w:rsidRDefault="00D61AAE">
      <w:pPr>
        <w:numPr>
          <w:ilvl w:val="0"/>
          <w:numId w:val="2"/>
        </w:numPr>
        <w:spacing w:after="48" w:line="261" w:lineRule="auto"/>
        <w:ind w:hanging="360"/>
      </w:pPr>
      <w:r>
        <w:rPr>
          <w:rFonts w:ascii="Times New Roman" w:eastAsia="Times New Roman" w:hAnsi="Times New Roman" w:cs="Times New Roman"/>
          <w:sz w:val="27"/>
        </w:rPr>
        <w:t xml:space="preserve">Origin (Cosmology) </w:t>
      </w:r>
    </w:p>
    <w:p w:rsidR="004375F8" w:rsidRDefault="00D61AAE">
      <w:pPr>
        <w:numPr>
          <w:ilvl w:val="0"/>
          <w:numId w:val="2"/>
        </w:numPr>
        <w:spacing w:after="48" w:line="261" w:lineRule="auto"/>
        <w:ind w:hanging="360"/>
      </w:pPr>
      <w:r>
        <w:rPr>
          <w:rFonts w:ascii="Times New Roman" w:eastAsia="Times New Roman" w:hAnsi="Times New Roman" w:cs="Times New Roman"/>
          <w:sz w:val="27"/>
        </w:rPr>
        <w:t xml:space="preserve">Humanity (Anthropology) </w:t>
      </w:r>
    </w:p>
    <w:p w:rsidR="004375F8" w:rsidRDefault="00D61AAE">
      <w:pPr>
        <w:numPr>
          <w:ilvl w:val="0"/>
          <w:numId w:val="2"/>
        </w:numPr>
        <w:spacing w:after="48" w:line="261" w:lineRule="auto"/>
        <w:ind w:hanging="360"/>
      </w:pPr>
      <w:r>
        <w:rPr>
          <w:rFonts w:ascii="Times New Roman" w:eastAsia="Times New Roman" w:hAnsi="Times New Roman" w:cs="Times New Roman"/>
          <w:sz w:val="27"/>
        </w:rPr>
        <w:t xml:space="preserve">Morality (Ethics) </w:t>
      </w:r>
    </w:p>
    <w:p w:rsidR="004375F8" w:rsidRDefault="00D61AAE">
      <w:pPr>
        <w:numPr>
          <w:ilvl w:val="0"/>
          <w:numId w:val="2"/>
        </w:numPr>
        <w:spacing w:after="48" w:line="261" w:lineRule="auto"/>
        <w:ind w:hanging="360"/>
      </w:pPr>
      <w:r>
        <w:rPr>
          <w:rFonts w:ascii="Times New Roman" w:eastAsia="Times New Roman" w:hAnsi="Times New Roman" w:cs="Times New Roman"/>
          <w:sz w:val="27"/>
        </w:rPr>
        <w:t xml:space="preserve">Salvation (Soteriology) </w:t>
      </w:r>
    </w:p>
    <w:p w:rsidR="004375F8" w:rsidRDefault="00D61AAE">
      <w:pPr>
        <w:numPr>
          <w:ilvl w:val="0"/>
          <w:numId w:val="2"/>
        </w:numPr>
        <w:spacing w:after="48" w:line="261" w:lineRule="auto"/>
        <w:ind w:hanging="360"/>
      </w:pPr>
      <w:r>
        <w:rPr>
          <w:rFonts w:ascii="Times New Roman" w:eastAsia="Times New Roman" w:hAnsi="Times New Roman" w:cs="Times New Roman"/>
          <w:sz w:val="27"/>
        </w:rPr>
        <w:t xml:space="preserve">Meaning (Teleology) </w:t>
      </w:r>
    </w:p>
    <w:p w:rsidR="004375F8" w:rsidRDefault="00D61AAE">
      <w:pPr>
        <w:numPr>
          <w:ilvl w:val="0"/>
          <w:numId w:val="2"/>
        </w:numPr>
        <w:spacing w:after="153" w:line="261" w:lineRule="auto"/>
        <w:ind w:hanging="360"/>
      </w:pPr>
      <w:r>
        <w:rPr>
          <w:rFonts w:ascii="Times New Roman" w:eastAsia="Times New Roman" w:hAnsi="Times New Roman" w:cs="Times New Roman"/>
          <w:sz w:val="27"/>
        </w:rPr>
        <w:t xml:space="preserve">Destiny (Eschatology) </w:t>
      </w:r>
    </w:p>
    <w:p w:rsidR="004375F8" w:rsidRDefault="00D61AAE">
      <w:pPr>
        <w:spacing w:after="0" w:line="321" w:lineRule="auto"/>
        <w:ind w:left="475" w:hanging="10"/>
      </w:pPr>
      <w:r>
        <w:rPr>
          <w:rFonts w:ascii="Times New Roman" w:eastAsia="Times New Roman" w:hAnsi="Times New Roman" w:cs="Times New Roman"/>
          <w:b/>
          <w:sz w:val="27"/>
        </w:rPr>
        <w:t>God (Theology)</w:t>
      </w:r>
      <w:r>
        <w:rPr>
          <w:rFonts w:ascii="Times New Roman" w:eastAsia="Times New Roman" w:hAnsi="Times New Roman" w:cs="Times New Roman"/>
          <w:sz w:val="27"/>
        </w:rPr>
        <w:t xml:space="preserve"> – Every worldview has a theology – it says something about God or the divine. The view may be very precise or vague, explicit or implicit, negative or positive (i.e. atheistic vs. theistic), but ev</w:t>
      </w:r>
      <w:r>
        <w:rPr>
          <w:rFonts w:ascii="Times New Roman" w:eastAsia="Times New Roman" w:hAnsi="Times New Roman" w:cs="Times New Roman"/>
          <w:sz w:val="27"/>
        </w:rPr>
        <w:t xml:space="preserve">ery worldview talks about God. </w:t>
      </w:r>
      <w:r>
        <w:rPr>
          <w:rFonts w:ascii="Times New Roman" w:eastAsia="Times New Roman" w:hAnsi="Times New Roman" w:cs="Times New Roman"/>
          <w:b/>
          <w:sz w:val="27"/>
        </w:rPr>
        <w:t>Knowledge (Epistemology)</w:t>
      </w:r>
      <w:r>
        <w:rPr>
          <w:rFonts w:ascii="Times New Roman" w:eastAsia="Times New Roman" w:hAnsi="Times New Roman" w:cs="Times New Roman"/>
          <w:sz w:val="27"/>
        </w:rPr>
        <w:t xml:space="preserve"> – Likewise, worldviews usually attempt to explain knowledge: what we can know and how we can know it. It also comments on closely related subjects, like truth, logic, reason, experience, intuition, an</w:t>
      </w:r>
      <w:r>
        <w:rPr>
          <w:rFonts w:ascii="Times New Roman" w:eastAsia="Times New Roman" w:hAnsi="Times New Roman" w:cs="Times New Roman"/>
          <w:sz w:val="27"/>
        </w:rPr>
        <w:t xml:space="preserve">d revelation. </w:t>
      </w:r>
      <w:r>
        <w:rPr>
          <w:rFonts w:ascii="Times New Roman" w:eastAsia="Times New Roman" w:hAnsi="Times New Roman" w:cs="Times New Roman"/>
          <w:b/>
          <w:sz w:val="27"/>
        </w:rPr>
        <w:t>Origin (Cosmology)</w:t>
      </w:r>
      <w:r>
        <w:rPr>
          <w:rFonts w:ascii="Times New Roman" w:eastAsia="Times New Roman" w:hAnsi="Times New Roman" w:cs="Times New Roman"/>
          <w:sz w:val="27"/>
        </w:rPr>
        <w:t xml:space="preserve"> – Worldviews always explicitly or implicitly tell us where we came from. For instance, the secular worldviews relies on some form of molecules-</w:t>
      </w:r>
      <w:proofErr w:type="spellStart"/>
      <w:r>
        <w:rPr>
          <w:rFonts w:ascii="Times New Roman" w:eastAsia="Times New Roman" w:hAnsi="Times New Roman" w:cs="Times New Roman"/>
          <w:sz w:val="27"/>
        </w:rPr>
        <w:t>toman</w:t>
      </w:r>
      <w:proofErr w:type="spellEnd"/>
      <w:r>
        <w:rPr>
          <w:rFonts w:ascii="Times New Roman" w:eastAsia="Times New Roman" w:hAnsi="Times New Roman" w:cs="Times New Roman"/>
          <w:sz w:val="27"/>
        </w:rPr>
        <w:t xml:space="preserve"> evolution. Biblical Christianity teaches special creation in six days a fe</w:t>
      </w:r>
      <w:r>
        <w:rPr>
          <w:rFonts w:ascii="Times New Roman" w:eastAsia="Times New Roman" w:hAnsi="Times New Roman" w:cs="Times New Roman"/>
          <w:sz w:val="27"/>
        </w:rPr>
        <w:t xml:space="preserve">w thousand years ago. </w:t>
      </w:r>
    </w:p>
    <w:p w:rsidR="004375F8" w:rsidRDefault="00D61AAE">
      <w:pPr>
        <w:spacing w:after="310"/>
        <w:ind w:left="480"/>
      </w:pPr>
      <w:r>
        <w:t xml:space="preserve"> </w:t>
      </w:r>
    </w:p>
    <w:p w:rsidR="004375F8" w:rsidRDefault="00D61AAE">
      <w:pPr>
        <w:spacing w:after="1" w:line="321" w:lineRule="auto"/>
        <w:ind w:left="475" w:hanging="10"/>
      </w:pPr>
      <w:r>
        <w:rPr>
          <w:rFonts w:ascii="Times New Roman" w:eastAsia="Times New Roman" w:hAnsi="Times New Roman" w:cs="Times New Roman"/>
          <w:b/>
          <w:sz w:val="27"/>
        </w:rPr>
        <w:t>Humanity (Anthropology)</w:t>
      </w:r>
      <w:r>
        <w:rPr>
          <w:rFonts w:ascii="Times New Roman" w:eastAsia="Times New Roman" w:hAnsi="Times New Roman" w:cs="Times New Roman"/>
          <w:sz w:val="27"/>
        </w:rPr>
        <w:t xml:space="preserve"> – In the same way, every worldview has a take on human beings. It represents a certain perspective on humanity. It articulates our origin, uniqueness (or non-uniqueness), purpose, nature, and destiny. Worldv</w:t>
      </w:r>
      <w:r>
        <w:rPr>
          <w:rFonts w:ascii="Times New Roman" w:eastAsia="Times New Roman" w:hAnsi="Times New Roman" w:cs="Times New Roman"/>
          <w:sz w:val="27"/>
        </w:rPr>
        <w:t xml:space="preserve">iews always address what we are and our significance. </w:t>
      </w:r>
    </w:p>
    <w:p w:rsidR="004375F8" w:rsidRDefault="00D61AAE">
      <w:pPr>
        <w:spacing w:after="48" w:line="321" w:lineRule="auto"/>
        <w:ind w:left="475" w:hanging="10"/>
      </w:pPr>
      <w:r>
        <w:rPr>
          <w:rFonts w:ascii="Times New Roman" w:eastAsia="Times New Roman" w:hAnsi="Times New Roman" w:cs="Times New Roman"/>
          <w:b/>
          <w:sz w:val="27"/>
        </w:rPr>
        <w:t>Morality (Ethics)</w:t>
      </w:r>
      <w:r>
        <w:rPr>
          <w:rFonts w:ascii="Times New Roman" w:eastAsia="Times New Roman" w:hAnsi="Times New Roman" w:cs="Times New Roman"/>
          <w:sz w:val="27"/>
        </w:rPr>
        <w:t xml:space="preserve"> – Each worldview also has a distinct take on goodness and morality. Ethics covers areas like the highest good, whether morality is objective or </w:t>
      </w:r>
      <w:r>
        <w:rPr>
          <w:rFonts w:ascii="Times New Roman" w:eastAsia="Times New Roman" w:hAnsi="Times New Roman" w:cs="Times New Roman"/>
          <w:sz w:val="27"/>
        </w:rPr>
        <w:lastRenderedPageBreak/>
        <w:t>subjective, what is right and wrong, an</w:t>
      </w:r>
      <w:r>
        <w:rPr>
          <w:rFonts w:ascii="Times New Roman" w:eastAsia="Times New Roman" w:hAnsi="Times New Roman" w:cs="Times New Roman"/>
          <w:sz w:val="27"/>
        </w:rPr>
        <w:t xml:space="preserve">d rewards for doing good or judgments for doing evil. </w:t>
      </w:r>
    </w:p>
    <w:p w:rsidR="004375F8" w:rsidRDefault="00D61AAE">
      <w:pPr>
        <w:spacing w:after="79" w:line="261" w:lineRule="auto"/>
        <w:ind w:left="475" w:hanging="10"/>
      </w:pPr>
      <w:r>
        <w:rPr>
          <w:rFonts w:ascii="Times New Roman" w:eastAsia="Times New Roman" w:hAnsi="Times New Roman" w:cs="Times New Roman"/>
          <w:b/>
          <w:sz w:val="27"/>
        </w:rPr>
        <w:t xml:space="preserve">Salvation (Soteriology) </w:t>
      </w:r>
      <w:r>
        <w:rPr>
          <w:rFonts w:ascii="Times New Roman" w:eastAsia="Times New Roman" w:hAnsi="Times New Roman" w:cs="Times New Roman"/>
          <w:sz w:val="27"/>
        </w:rPr>
        <w:t xml:space="preserve">– Worldviews also include a “salvation story.” When </w:t>
      </w:r>
    </w:p>
    <w:p w:rsidR="004375F8" w:rsidRDefault="00D61AAE">
      <w:pPr>
        <w:spacing w:after="0" w:line="334" w:lineRule="auto"/>
        <w:ind w:left="475" w:hanging="10"/>
      </w:pPr>
      <w:r>
        <w:rPr>
          <w:rFonts w:ascii="Times New Roman" w:eastAsia="Times New Roman" w:hAnsi="Times New Roman" w:cs="Times New Roman"/>
          <w:sz w:val="27"/>
        </w:rPr>
        <w:t xml:space="preserve">Christians hear the word ‘salvation’ we tend to think salvation from sin, death, and hell through the atoning work of Jesus. But here ‘salvation’ is more generic: what is the basic human problem and what is the solution to that problem. </w:t>
      </w:r>
    </w:p>
    <w:p w:rsidR="004375F8" w:rsidRDefault="00D61AAE">
      <w:pPr>
        <w:spacing w:after="331"/>
        <w:ind w:left="480"/>
      </w:pPr>
      <w:r>
        <w:t xml:space="preserve"> </w:t>
      </w:r>
    </w:p>
    <w:p w:rsidR="004375F8" w:rsidRDefault="00D61AAE">
      <w:pPr>
        <w:spacing w:after="317" w:line="271" w:lineRule="auto"/>
        <w:ind w:left="475" w:hanging="10"/>
      </w:pPr>
      <w:r>
        <w:rPr>
          <w:rFonts w:ascii="Times New Roman" w:eastAsia="Times New Roman" w:hAnsi="Times New Roman" w:cs="Times New Roman"/>
          <w:b/>
          <w:sz w:val="33"/>
        </w:rPr>
        <w:t>Worldview Descri</w:t>
      </w:r>
      <w:r>
        <w:rPr>
          <w:rFonts w:ascii="Times New Roman" w:eastAsia="Times New Roman" w:hAnsi="Times New Roman" w:cs="Times New Roman"/>
          <w:b/>
          <w:sz w:val="33"/>
        </w:rPr>
        <w:t xml:space="preserve">bes Your Beliefs Which Lead To Your Actions </w:t>
      </w:r>
    </w:p>
    <w:p w:rsidR="004375F8" w:rsidRDefault="00D61AAE">
      <w:pPr>
        <w:spacing w:after="300" w:line="321" w:lineRule="auto"/>
        <w:ind w:left="475" w:hanging="10"/>
      </w:pPr>
      <w:r>
        <w:rPr>
          <w:rFonts w:ascii="Times New Roman" w:eastAsia="Times New Roman" w:hAnsi="Times New Roman" w:cs="Times New Roman"/>
          <w:sz w:val="27"/>
        </w:rPr>
        <w:t xml:space="preserve">In addition, every component of a worldview is interrelated. Theology relates to anthropology and anthropology relates to knowledge, and so on. What you believe about God has a direct impact on what you believe </w:t>
      </w:r>
      <w:r>
        <w:rPr>
          <w:rFonts w:ascii="Times New Roman" w:eastAsia="Times New Roman" w:hAnsi="Times New Roman" w:cs="Times New Roman"/>
          <w:sz w:val="27"/>
        </w:rPr>
        <w:t xml:space="preserve">about humanity and our ultimate destiny. </w:t>
      </w:r>
    </w:p>
    <w:p w:rsidR="004375F8" w:rsidRDefault="00D61AAE">
      <w:pPr>
        <w:spacing w:after="151" w:line="321" w:lineRule="auto"/>
        <w:ind w:left="475" w:hanging="10"/>
      </w:pPr>
      <w:r>
        <w:rPr>
          <w:rFonts w:ascii="Times New Roman" w:eastAsia="Times New Roman" w:hAnsi="Times New Roman" w:cs="Times New Roman"/>
          <w:sz w:val="27"/>
        </w:rPr>
        <w:t xml:space="preserve">These worldview components also affect how you will live your life and your ethics. And your ethics lead to real world actions.  </w:t>
      </w:r>
    </w:p>
    <w:p w:rsidR="004375F8" w:rsidRDefault="00D61AAE">
      <w:pPr>
        <w:spacing w:after="331"/>
        <w:ind w:left="480"/>
      </w:pPr>
      <w:r>
        <w:t xml:space="preserve"> </w:t>
      </w:r>
    </w:p>
    <w:p w:rsidR="004375F8" w:rsidRDefault="00D61AAE">
      <w:pPr>
        <w:spacing w:after="317" w:line="271" w:lineRule="auto"/>
        <w:ind w:left="475" w:hanging="10"/>
      </w:pPr>
      <w:r>
        <w:rPr>
          <w:rFonts w:ascii="Times New Roman" w:eastAsia="Times New Roman" w:hAnsi="Times New Roman" w:cs="Times New Roman"/>
          <w:b/>
          <w:sz w:val="33"/>
        </w:rPr>
        <w:t xml:space="preserve">Of Worldviews and Philosophies </w:t>
      </w:r>
    </w:p>
    <w:p w:rsidR="004375F8" w:rsidRDefault="00D61AAE">
      <w:pPr>
        <w:spacing w:after="187" w:line="321" w:lineRule="auto"/>
        <w:ind w:left="475" w:hanging="10"/>
      </w:pPr>
      <w:r>
        <w:rPr>
          <w:rFonts w:ascii="Times New Roman" w:eastAsia="Times New Roman" w:hAnsi="Times New Roman" w:cs="Times New Roman"/>
          <w:sz w:val="27"/>
        </w:rPr>
        <w:t xml:space="preserve">Studying worldview is a fascinating area. It’s essentially a fresh way to consider yours or others basic philosophy of life. Worldview analysis can uncover what you and your friends believe which can be helpful in important conversations. </w:t>
      </w:r>
    </w:p>
    <w:p w:rsidR="004375F8" w:rsidRDefault="00D61AAE">
      <w:pPr>
        <w:spacing w:after="0"/>
        <w:ind w:left="480"/>
      </w:pPr>
      <w:r>
        <w:rPr>
          <w:rFonts w:ascii="Times New Roman" w:eastAsia="Times New Roman" w:hAnsi="Times New Roman" w:cs="Times New Roman"/>
          <w:b/>
          <w:color w:val="888888"/>
          <w:sz w:val="26"/>
        </w:rPr>
        <w:t xml:space="preserve"> </w:t>
      </w:r>
    </w:p>
    <w:p w:rsidR="004375F8" w:rsidRDefault="00D61AAE">
      <w:pPr>
        <w:ind w:left="480"/>
      </w:pPr>
      <w:r>
        <w:rPr>
          <w:rFonts w:ascii="Times New Roman" w:eastAsia="Times New Roman" w:hAnsi="Times New Roman" w:cs="Times New Roman"/>
          <w:b/>
          <w:sz w:val="26"/>
        </w:rPr>
        <w:t xml:space="preserve"> </w:t>
      </w:r>
    </w:p>
    <w:p w:rsidR="004375F8" w:rsidRDefault="00D61AAE">
      <w:pPr>
        <w:spacing w:after="158"/>
        <w:ind w:left="480"/>
      </w:pPr>
      <w:r>
        <w:rPr>
          <w:rFonts w:ascii="Times New Roman" w:eastAsia="Times New Roman" w:hAnsi="Times New Roman" w:cs="Times New Roman"/>
          <w:b/>
          <w:sz w:val="26"/>
        </w:rPr>
        <w:t xml:space="preserve"> </w:t>
      </w:r>
    </w:p>
    <w:p w:rsidR="004375F8" w:rsidRDefault="00D61AAE">
      <w:pPr>
        <w:spacing w:after="0"/>
        <w:ind w:left="480"/>
      </w:pPr>
      <w:r>
        <w:rPr>
          <w:rFonts w:ascii="Times New Roman" w:eastAsia="Times New Roman" w:hAnsi="Times New Roman" w:cs="Times New Roman"/>
          <w:b/>
          <w:sz w:val="26"/>
        </w:rPr>
        <w:t xml:space="preserve"> </w:t>
      </w:r>
    </w:p>
    <w:p w:rsidR="004375F8" w:rsidRDefault="00D61AAE">
      <w:pPr>
        <w:spacing w:after="158"/>
        <w:ind w:left="475" w:hanging="10"/>
      </w:pPr>
      <w:r>
        <w:rPr>
          <w:rFonts w:ascii="Times New Roman" w:eastAsia="Times New Roman" w:hAnsi="Times New Roman" w:cs="Times New Roman"/>
          <w:b/>
          <w:sz w:val="26"/>
        </w:rPr>
        <w:t>I have w</w:t>
      </w:r>
      <w:r>
        <w:rPr>
          <w:rFonts w:ascii="Times New Roman" w:eastAsia="Times New Roman" w:hAnsi="Times New Roman" w:cs="Times New Roman"/>
          <w:b/>
          <w:sz w:val="26"/>
        </w:rPr>
        <w:t xml:space="preserve">orked in the funeral home industry for almost a decade now. </w:t>
      </w:r>
    </w:p>
    <w:p w:rsidR="004375F8" w:rsidRDefault="00D61AAE">
      <w:pPr>
        <w:spacing w:after="117"/>
        <w:ind w:left="480"/>
      </w:pPr>
      <w:r>
        <w:rPr>
          <w:rFonts w:ascii="Times New Roman" w:eastAsia="Times New Roman" w:hAnsi="Times New Roman" w:cs="Times New Roman"/>
          <w:b/>
          <w:sz w:val="26"/>
        </w:rPr>
        <w:t xml:space="preserve"> </w:t>
      </w:r>
    </w:p>
    <w:p w:rsidR="004375F8" w:rsidRDefault="00D61AAE">
      <w:pPr>
        <w:spacing w:line="257" w:lineRule="auto"/>
        <w:ind w:left="475" w:hanging="10"/>
      </w:pPr>
      <w:r>
        <w:rPr>
          <w:rFonts w:ascii="Times New Roman" w:eastAsia="Times New Roman" w:hAnsi="Times New Roman" w:cs="Times New Roman"/>
        </w:rPr>
        <w:t>There are many aspects of funeral service where you are at risk of injury and infection. Hazards in funeral homes are wide ranging, and it is important, therefore, for funeral home employers to</w:t>
      </w:r>
      <w:r>
        <w:rPr>
          <w:rFonts w:ascii="Times New Roman" w:eastAsia="Times New Roman" w:hAnsi="Times New Roman" w:cs="Times New Roman"/>
        </w:rPr>
        <w:t xml:space="preserve"> address those hazards to ensure that their employees have a safe and healthful work environment. </w:t>
      </w:r>
    </w:p>
    <w:p w:rsidR="004375F8" w:rsidRDefault="00D61AAE">
      <w:pPr>
        <w:spacing w:after="161"/>
        <w:ind w:left="480"/>
      </w:pPr>
      <w:r>
        <w:rPr>
          <w:rFonts w:ascii="Times New Roman" w:eastAsia="Times New Roman" w:hAnsi="Times New Roman" w:cs="Times New Roman"/>
        </w:rPr>
        <w:lastRenderedPageBreak/>
        <w:t xml:space="preserve"> </w:t>
      </w:r>
    </w:p>
    <w:p w:rsidR="004375F8" w:rsidRDefault="00D61AAE">
      <w:pPr>
        <w:spacing w:line="257" w:lineRule="auto"/>
        <w:ind w:left="475" w:hanging="10"/>
      </w:pPr>
      <w:r>
        <w:rPr>
          <w:rFonts w:ascii="Times New Roman" w:eastAsia="Times New Roman" w:hAnsi="Times New Roman" w:cs="Times New Roman"/>
        </w:rPr>
        <w:t>Does your head spin with the alphabet soup of acronyms that are relevant to your professional life? Are you familiar with the requirements of the various a</w:t>
      </w:r>
      <w:r>
        <w:rPr>
          <w:rFonts w:ascii="Times New Roman" w:eastAsia="Times New Roman" w:hAnsi="Times New Roman" w:cs="Times New Roman"/>
        </w:rPr>
        <w:t xml:space="preserve">gencies that have a level of jurisdiction over your funeral home practice? </w:t>
      </w:r>
    </w:p>
    <w:p w:rsidR="004375F8" w:rsidRDefault="00D61AAE">
      <w:pPr>
        <w:spacing w:after="202" w:line="257" w:lineRule="auto"/>
        <w:ind w:left="475" w:hanging="10"/>
      </w:pPr>
      <w:r>
        <w:rPr>
          <w:rFonts w:ascii="Times New Roman" w:eastAsia="Times New Roman" w:hAnsi="Times New Roman" w:cs="Times New Roman"/>
        </w:rPr>
        <w:t>To provide you with a concise overview of the requirements, a summary of the main elements of the most important standards for funeral homes is provided in this article. This infor</w:t>
      </w:r>
      <w:r>
        <w:rPr>
          <w:rFonts w:ascii="Times New Roman" w:eastAsia="Times New Roman" w:hAnsi="Times New Roman" w:cs="Times New Roman"/>
        </w:rPr>
        <w:t xml:space="preserve">mation is not meant to be a detailed discussion of every aspect or each point of the various standards discussed but rather a high-level overview that may be covered in a single reading. </w:t>
      </w:r>
    </w:p>
    <w:p w:rsidR="004375F8" w:rsidRDefault="00D61AAE">
      <w:pPr>
        <w:ind w:left="480"/>
      </w:pPr>
      <w:r>
        <w:rPr>
          <w:rFonts w:ascii="Times New Roman" w:eastAsia="Times New Roman" w:hAnsi="Times New Roman" w:cs="Times New Roman"/>
          <w:b/>
          <w:sz w:val="26"/>
        </w:rPr>
        <w:t xml:space="preserve"> </w:t>
      </w:r>
    </w:p>
    <w:p w:rsidR="004375F8" w:rsidRDefault="00D61AAE">
      <w:pPr>
        <w:pStyle w:val="Heading1"/>
        <w:spacing w:after="135"/>
        <w:ind w:left="475"/>
      </w:pPr>
      <w:r>
        <w:t>OSHA</w:t>
      </w:r>
      <w:r>
        <w:rPr>
          <w:b w:val="0"/>
          <w:sz w:val="22"/>
        </w:rPr>
        <w:t xml:space="preserve"> </w:t>
      </w:r>
    </w:p>
    <w:p w:rsidR="004375F8" w:rsidRDefault="00D61AAE">
      <w:pPr>
        <w:spacing w:after="206" w:line="250" w:lineRule="auto"/>
        <w:ind w:left="475" w:hanging="10"/>
      </w:pPr>
      <w:r>
        <w:rPr>
          <w:rFonts w:ascii="Times New Roman" w:eastAsia="Times New Roman" w:hAnsi="Times New Roman" w:cs="Times New Roman"/>
          <w:sz w:val="24"/>
        </w:rPr>
        <w:t>The Federal Occupational Safety and Health Administration is part of the United States Department of Labor, and its mission is to ensure safe and healthful working conditions by setting and enforcing standards and providing training, outreach, education an</w:t>
      </w:r>
      <w:r>
        <w:rPr>
          <w:rFonts w:ascii="Times New Roman" w:eastAsia="Times New Roman" w:hAnsi="Times New Roman" w:cs="Times New Roman"/>
          <w:sz w:val="24"/>
        </w:rPr>
        <w:t xml:space="preserve">d assistance. In addition to federal OSHA, there are also some states that have their own approved occupational safety and health programs. However, each state OSHA program must have regulations that are at least as strict as federal OSHA. </w:t>
      </w:r>
    </w:p>
    <w:p w:rsidR="004375F8" w:rsidRDefault="00D61AAE">
      <w:pPr>
        <w:spacing w:after="169" w:line="250" w:lineRule="auto"/>
        <w:ind w:left="475" w:hanging="10"/>
      </w:pPr>
      <w:r>
        <w:rPr>
          <w:rFonts w:ascii="Times New Roman" w:eastAsia="Times New Roman" w:hAnsi="Times New Roman" w:cs="Times New Roman"/>
          <w:sz w:val="24"/>
        </w:rPr>
        <w:t>A number of act</w:t>
      </w:r>
      <w:r>
        <w:rPr>
          <w:rFonts w:ascii="Times New Roman" w:eastAsia="Times New Roman" w:hAnsi="Times New Roman" w:cs="Times New Roman"/>
          <w:sz w:val="24"/>
        </w:rPr>
        <w:t>ivities in funeral homes fall under OSHA’s General Industry Standards. Of primary importance for worker safety is control of infection and working with hazardous chemicals, such as embalming fluids containing formaldehyde or formalin, as well as many other</w:t>
      </w:r>
      <w:r>
        <w:rPr>
          <w:rFonts w:ascii="Times New Roman" w:eastAsia="Times New Roman" w:hAnsi="Times New Roman" w:cs="Times New Roman"/>
          <w:sz w:val="24"/>
        </w:rPr>
        <w:t xml:space="preserve"> hazardous chemicals that may be present in the workplace. </w:t>
      </w:r>
    </w:p>
    <w:p w:rsidR="004375F8" w:rsidRDefault="00D61AAE">
      <w:pPr>
        <w:spacing w:after="193" w:line="250" w:lineRule="auto"/>
        <w:ind w:left="475" w:hanging="10"/>
      </w:pPr>
      <w:r>
        <w:rPr>
          <w:rFonts w:ascii="Times New Roman" w:eastAsia="Times New Roman" w:hAnsi="Times New Roman" w:cs="Times New Roman"/>
          <w:sz w:val="24"/>
        </w:rPr>
        <w:t>Applicable OSHA regulations must be followed by funeral homes in order for them to remain in compliance. The Occupational Safety and Health Act of 1970 empowers OSHA with full authority to issue c</w:t>
      </w:r>
      <w:r>
        <w:rPr>
          <w:rFonts w:ascii="Times New Roman" w:eastAsia="Times New Roman" w:hAnsi="Times New Roman" w:cs="Times New Roman"/>
          <w:sz w:val="24"/>
        </w:rPr>
        <w:t xml:space="preserve">itations and penalties to covered employers with one or more employees if they are found to be in violation. Following are some of the details you should know for compliance with OSHA. </w:t>
      </w:r>
    </w:p>
    <w:p w:rsidR="004375F8" w:rsidRDefault="00D61AAE">
      <w:pPr>
        <w:pStyle w:val="Heading1"/>
        <w:ind w:left="475"/>
      </w:pPr>
      <w:r>
        <w:t>OSHA Hazard Communication Standard</w:t>
      </w:r>
      <w:r>
        <w:rPr>
          <w:rFonts w:ascii="Calibri" w:eastAsia="Calibri" w:hAnsi="Calibri" w:cs="Calibri"/>
          <w:b w:val="0"/>
          <w:sz w:val="22"/>
        </w:rPr>
        <w:t xml:space="preserve"> </w:t>
      </w:r>
    </w:p>
    <w:p w:rsidR="004375F8" w:rsidRDefault="00D61AAE">
      <w:pPr>
        <w:spacing w:after="205" w:line="250" w:lineRule="auto"/>
        <w:ind w:left="475" w:hanging="10"/>
      </w:pPr>
      <w:r>
        <w:rPr>
          <w:rFonts w:ascii="Times New Roman" w:eastAsia="Times New Roman" w:hAnsi="Times New Roman" w:cs="Times New Roman"/>
          <w:sz w:val="24"/>
        </w:rPr>
        <w:t xml:space="preserve">The Hazard Communication Standard </w:t>
      </w:r>
      <w:r>
        <w:rPr>
          <w:rFonts w:ascii="Times New Roman" w:eastAsia="Times New Roman" w:hAnsi="Times New Roman" w:cs="Times New Roman"/>
          <w:sz w:val="24"/>
        </w:rPr>
        <w:t xml:space="preserve">(29 CFR 1910.1200) was created to ensure that chemical hazards in the workplace are identified and evaluated, and that the information concerning those hazards is communicated to both employers and employees. </w:t>
      </w:r>
    </w:p>
    <w:p w:rsidR="004375F8" w:rsidRDefault="00D61AAE">
      <w:pPr>
        <w:spacing w:after="169" w:line="250" w:lineRule="auto"/>
        <w:ind w:left="475" w:hanging="10"/>
      </w:pPr>
      <w:r>
        <w:rPr>
          <w:rFonts w:ascii="Times New Roman" w:eastAsia="Times New Roman" w:hAnsi="Times New Roman" w:cs="Times New Roman"/>
          <w:sz w:val="24"/>
        </w:rPr>
        <w:t>General requirements of OSHA’s Hazard Communic</w:t>
      </w:r>
      <w:r>
        <w:rPr>
          <w:rFonts w:ascii="Times New Roman" w:eastAsia="Times New Roman" w:hAnsi="Times New Roman" w:cs="Times New Roman"/>
          <w:sz w:val="24"/>
        </w:rPr>
        <w:t xml:space="preserve">ation Standard: </w:t>
      </w:r>
    </w:p>
    <w:p w:rsidR="004375F8" w:rsidRDefault="00D61AAE">
      <w:pPr>
        <w:numPr>
          <w:ilvl w:val="0"/>
          <w:numId w:val="3"/>
        </w:numPr>
        <w:spacing w:after="169" w:line="250" w:lineRule="auto"/>
        <w:ind w:hanging="144"/>
      </w:pPr>
      <w:r>
        <w:rPr>
          <w:rFonts w:ascii="Times New Roman" w:eastAsia="Times New Roman" w:hAnsi="Times New Roman" w:cs="Times New Roman"/>
          <w:sz w:val="24"/>
        </w:rPr>
        <w:t xml:space="preserve">Provide a written Hazard Communication Program specific to your facility. The written program does not have to be long and technical, but it must be in writing. </w:t>
      </w:r>
    </w:p>
    <w:p w:rsidR="004375F8" w:rsidRDefault="00D61AAE">
      <w:pPr>
        <w:numPr>
          <w:ilvl w:val="0"/>
          <w:numId w:val="3"/>
        </w:numPr>
        <w:spacing w:after="215" w:line="250" w:lineRule="auto"/>
        <w:ind w:hanging="144"/>
      </w:pPr>
      <w:r>
        <w:rPr>
          <w:rFonts w:ascii="Times New Roman" w:eastAsia="Times New Roman" w:hAnsi="Times New Roman" w:cs="Times New Roman"/>
          <w:sz w:val="24"/>
        </w:rPr>
        <w:t xml:space="preserve">Provide a master list of all hazardous chemicals used at your facility. </w:t>
      </w:r>
    </w:p>
    <w:p w:rsidR="004375F8" w:rsidRDefault="00D61AAE">
      <w:pPr>
        <w:numPr>
          <w:ilvl w:val="0"/>
          <w:numId w:val="3"/>
        </w:numPr>
        <w:spacing w:after="169" w:line="250" w:lineRule="auto"/>
        <w:ind w:hanging="144"/>
      </w:pPr>
      <w:r>
        <w:rPr>
          <w:rFonts w:ascii="Times New Roman" w:eastAsia="Times New Roman" w:hAnsi="Times New Roman" w:cs="Times New Roman"/>
          <w:sz w:val="24"/>
        </w:rPr>
        <w:t xml:space="preserve">Ensure that containers of hazardous chemicals are properly labeled. </w:t>
      </w:r>
    </w:p>
    <w:p w:rsidR="004375F8" w:rsidRDefault="00D61AAE">
      <w:pPr>
        <w:numPr>
          <w:ilvl w:val="0"/>
          <w:numId w:val="3"/>
        </w:numPr>
        <w:spacing w:after="169" w:line="250" w:lineRule="auto"/>
        <w:ind w:hanging="144"/>
      </w:pPr>
      <w:r>
        <w:rPr>
          <w:rFonts w:ascii="Times New Roman" w:eastAsia="Times New Roman" w:hAnsi="Times New Roman" w:cs="Times New Roman"/>
          <w:sz w:val="24"/>
        </w:rPr>
        <w:t xml:space="preserve">Obtain a Material Safety Data Sheet (MSDS) for each hazardous chemical covered by the standard and used at the facility. </w:t>
      </w:r>
    </w:p>
    <w:p w:rsidR="004375F8" w:rsidRDefault="00D61AAE">
      <w:pPr>
        <w:numPr>
          <w:ilvl w:val="0"/>
          <w:numId w:val="3"/>
        </w:numPr>
        <w:spacing w:after="192" w:line="250" w:lineRule="auto"/>
        <w:ind w:hanging="144"/>
      </w:pPr>
      <w:r>
        <w:rPr>
          <w:rFonts w:ascii="Times New Roman" w:eastAsia="Times New Roman" w:hAnsi="Times New Roman" w:cs="Times New Roman"/>
          <w:sz w:val="24"/>
        </w:rPr>
        <w:lastRenderedPageBreak/>
        <w:t>Train all affected employees about the hazardous chemicals with w</w:t>
      </w:r>
      <w:r>
        <w:rPr>
          <w:rFonts w:ascii="Times New Roman" w:eastAsia="Times New Roman" w:hAnsi="Times New Roman" w:cs="Times New Roman"/>
          <w:sz w:val="24"/>
        </w:rPr>
        <w:t xml:space="preserve">hich they work. </w:t>
      </w:r>
    </w:p>
    <w:p w:rsidR="004375F8" w:rsidRDefault="00D61AAE">
      <w:pPr>
        <w:pStyle w:val="Heading1"/>
        <w:ind w:left="475"/>
      </w:pPr>
      <w:r>
        <w:t xml:space="preserve">OSHA </w:t>
      </w:r>
      <w:proofErr w:type="spellStart"/>
      <w:r>
        <w:t>Bloodborne</w:t>
      </w:r>
      <w:proofErr w:type="spellEnd"/>
      <w:r>
        <w:t xml:space="preserve"> Pathogens Standard</w:t>
      </w:r>
      <w:r>
        <w:rPr>
          <w:rFonts w:ascii="Calibri" w:eastAsia="Calibri" w:hAnsi="Calibri" w:cs="Calibri"/>
          <w:b w:val="0"/>
          <w:sz w:val="22"/>
        </w:rPr>
        <w:t xml:space="preserve"> </w:t>
      </w:r>
    </w:p>
    <w:p w:rsidR="004375F8" w:rsidRDefault="00D61AAE">
      <w:pPr>
        <w:spacing w:after="215" w:line="250" w:lineRule="auto"/>
        <w:ind w:left="475" w:hanging="10"/>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Bloodborne</w:t>
      </w:r>
      <w:proofErr w:type="spellEnd"/>
      <w:r>
        <w:rPr>
          <w:rFonts w:ascii="Times New Roman" w:eastAsia="Times New Roman" w:hAnsi="Times New Roman" w:cs="Times New Roman"/>
          <w:sz w:val="24"/>
        </w:rPr>
        <w:t xml:space="preserve"> Pathogens Standard (29 CFR 1910.1030) applies to all workplaces in which employees may have contact with blood or other potentially infectious materials. The purpose of the BBP Standard is to reduce exposure and transmission of blood and bod</w:t>
      </w:r>
      <w:r>
        <w:rPr>
          <w:rFonts w:ascii="Times New Roman" w:eastAsia="Times New Roman" w:hAnsi="Times New Roman" w:cs="Times New Roman"/>
          <w:sz w:val="24"/>
        </w:rPr>
        <w:t xml:space="preserve">y fluids to employees to prevent the contraction of diseases that can have severe consequences. One primary focus of the standard is the creation of a written BBP Exposure Control Plan. </w:t>
      </w:r>
    </w:p>
    <w:p w:rsidR="004375F8" w:rsidRDefault="00D61AAE">
      <w:pPr>
        <w:spacing w:after="169" w:line="250" w:lineRule="auto"/>
        <w:ind w:left="475" w:hanging="10"/>
      </w:pPr>
      <w:r>
        <w:rPr>
          <w:rFonts w:ascii="Times New Roman" w:eastAsia="Times New Roman" w:hAnsi="Times New Roman" w:cs="Times New Roman"/>
          <w:sz w:val="24"/>
        </w:rPr>
        <w:t xml:space="preserve">General requirements of OSHA’s </w:t>
      </w:r>
      <w:proofErr w:type="spellStart"/>
      <w:r>
        <w:rPr>
          <w:rFonts w:ascii="Times New Roman" w:eastAsia="Times New Roman" w:hAnsi="Times New Roman" w:cs="Times New Roman"/>
          <w:sz w:val="24"/>
        </w:rPr>
        <w:t>Bloodborne</w:t>
      </w:r>
      <w:proofErr w:type="spellEnd"/>
      <w:r>
        <w:rPr>
          <w:rFonts w:ascii="Times New Roman" w:eastAsia="Times New Roman" w:hAnsi="Times New Roman" w:cs="Times New Roman"/>
          <w:sz w:val="24"/>
        </w:rPr>
        <w:t xml:space="preserve"> Pathogens Standard: </w:t>
      </w:r>
    </w:p>
    <w:p w:rsidR="004375F8" w:rsidRDefault="00D61AAE">
      <w:pPr>
        <w:numPr>
          <w:ilvl w:val="0"/>
          <w:numId w:val="4"/>
        </w:numPr>
        <w:spacing w:after="113" w:line="300" w:lineRule="auto"/>
        <w:ind w:hanging="144"/>
      </w:pPr>
      <w:r>
        <w:rPr>
          <w:rFonts w:ascii="Times New Roman" w:eastAsia="Times New Roman" w:hAnsi="Times New Roman" w:cs="Times New Roman"/>
          <w:sz w:val="24"/>
        </w:rPr>
        <w:t>Each f</w:t>
      </w:r>
      <w:r>
        <w:rPr>
          <w:rFonts w:ascii="Times New Roman" w:eastAsia="Times New Roman" w:hAnsi="Times New Roman" w:cs="Times New Roman"/>
          <w:sz w:val="24"/>
        </w:rPr>
        <w:t xml:space="preserve">uneral home that conducts embalming must develop a written BBP Exposure Control Plan designed to minimize or eliminate employees’ exposure to </w:t>
      </w:r>
      <w:proofErr w:type="spellStart"/>
      <w:r>
        <w:rPr>
          <w:rFonts w:ascii="Times New Roman" w:eastAsia="Times New Roman" w:hAnsi="Times New Roman" w:cs="Times New Roman"/>
          <w:sz w:val="24"/>
        </w:rPr>
        <w:t>bloodborne</w:t>
      </w:r>
      <w:proofErr w:type="spellEnd"/>
      <w:r>
        <w:rPr>
          <w:rFonts w:ascii="Times New Roman" w:eastAsia="Times New Roman" w:hAnsi="Times New Roman" w:cs="Times New Roman"/>
          <w:sz w:val="24"/>
        </w:rPr>
        <w:t xml:space="preserve"> pathogens. </w:t>
      </w:r>
    </w:p>
    <w:p w:rsidR="004375F8" w:rsidRDefault="00D61AAE">
      <w:pPr>
        <w:numPr>
          <w:ilvl w:val="0"/>
          <w:numId w:val="4"/>
        </w:numPr>
        <w:spacing w:after="169" w:line="250" w:lineRule="auto"/>
        <w:ind w:hanging="144"/>
      </w:pPr>
      <w:r>
        <w:rPr>
          <w:rFonts w:ascii="Times New Roman" w:eastAsia="Times New Roman" w:hAnsi="Times New Roman" w:cs="Times New Roman"/>
          <w:sz w:val="24"/>
        </w:rPr>
        <w:t>Hepatitis B vaccinations must be offered to all employees who are potentially exposed, unle</w:t>
      </w:r>
      <w:r>
        <w:rPr>
          <w:rFonts w:ascii="Times New Roman" w:eastAsia="Times New Roman" w:hAnsi="Times New Roman" w:cs="Times New Roman"/>
          <w:sz w:val="24"/>
        </w:rPr>
        <w:t xml:space="preserve">ss the employee has previously received the complete hepatitis B vaccination series, antibody testing has revealed that the employee is immune or the vaccine is contraindicated for medical reasons. </w:t>
      </w:r>
    </w:p>
    <w:p w:rsidR="004375F8" w:rsidRDefault="00D61AAE">
      <w:pPr>
        <w:numPr>
          <w:ilvl w:val="0"/>
          <w:numId w:val="4"/>
        </w:numPr>
        <w:spacing w:after="212" w:line="250" w:lineRule="auto"/>
        <w:ind w:hanging="144"/>
      </w:pPr>
      <w:r>
        <w:rPr>
          <w:rFonts w:ascii="Times New Roman" w:eastAsia="Times New Roman" w:hAnsi="Times New Roman" w:cs="Times New Roman"/>
          <w:sz w:val="24"/>
        </w:rPr>
        <w:t>The employer must document annually the consideration and</w:t>
      </w:r>
      <w:r>
        <w:rPr>
          <w:rFonts w:ascii="Times New Roman" w:eastAsia="Times New Roman" w:hAnsi="Times New Roman" w:cs="Times New Roman"/>
          <w:sz w:val="24"/>
        </w:rPr>
        <w:t xml:space="preserve"> implementation of appropriate commercially available and effective safer medical devices designed to eliminate or minimize occupational exposure. Obtaining input from affected non-managerial staff members is also required documentation. </w:t>
      </w:r>
    </w:p>
    <w:p w:rsidR="004375F8" w:rsidRDefault="00D61AAE">
      <w:pPr>
        <w:numPr>
          <w:ilvl w:val="0"/>
          <w:numId w:val="4"/>
        </w:numPr>
        <w:spacing w:after="169" w:line="250" w:lineRule="auto"/>
        <w:ind w:hanging="144"/>
      </w:pPr>
      <w:r>
        <w:rPr>
          <w:rFonts w:ascii="Times New Roman" w:eastAsia="Times New Roman" w:hAnsi="Times New Roman" w:cs="Times New Roman"/>
          <w:sz w:val="24"/>
        </w:rPr>
        <w:t>Documented annual</w:t>
      </w:r>
      <w:r>
        <w:rPr>
          <w:rFonts w:ascii="Times New Roman" w:eastAsia="Times New Roman" w:hAnsi="Times New Roman" w:cs="Times New Roman"/>
          <w:sz w:val="24"/>
        </w:rPr>
        <w:t xml:space="preserve"> review and update of the Exposure Control Plan is required. </w:t>
      </w:r>
    </w:p>
    <w:p w:rsidR="004375F8" w:rsidRDefault="00D61AAE">
      <w:pPr>
        <w:numPr>
          <w:ilvl w:val="0"/>
          <w:numId w:val="4"/>
        </w:numPr>
        <w:spacing w:after="169" w:line="250" w:lineRule="auto"/>
        <w:ind w:hanging="144"/>
      </w:pPr>
      <w:r>
        <w:rPr>
          <w:rFonts w:ascii="Times New Roman" w:eastAsia="Times New Roman" w:hAnsi="Times New Roman" w:cs="Times New Roman"/>
          <w:sz w:val="24"/>
        </w:rPr>
        <w:t>A post-exposure evaluation and follow-up procedure must be in place in the event of an employee’s exposure to blood or OPIM (Other Potentially Infectious Material), such as a puncture wound from</w:t>
      </w:r>
      <w:r>
        <w:rPr>
          <w:rFonts w:ascii="Times New Roman" w:eastAsia="Times New Roman" w:hAnsi="Times New Roman" w:cs="Times New Roman"/>
          <w:sz w:val="24"/>
        </w:rPr>
        <w:t xml:space="preserve"> a suturing needle. </w:t>
      </w:r>
    </w:p>
    <w:p w:rsidR="004375F8" w:rsidRDefault="00D61AAE">
      <w:pPr>
        <w:numPr>
          <w:ilvl w:val="0"/>
          <w:numId w:val="4"/>
        </w:numPr>
        <w:spacing w:after="169" w:line="250" w:lineRule="auto"/>
        <w:ind w:hanging="144"/>
      </w:pPr>
      <w:r>
        <w:rPr>
          <w:rFonts w:ascii="Times New Roman" w:eastAsia="Times New Roman" w:hAnsi="Times New Roman" w:cs="Times New Roman"/>
          <w:sz w:val="24"/>
        </w:rPr>
        <w:t>Employees must use at least Universal Precautions, as defined by OSHA, with all procedures that entail the possibility of exposure to blood or OPIM. Universal Precautions assumes that all human blood and certain body fluids are treated</w:t>
      </w:r>
      <w:r>
        <w:rPr>
          <w:rFonts w:ascii="Times New Roman" w:eastAsia="Times New Roman" w:hAnsi="Times New Roman" w:cs="Times New Roman"/>
          <w:sz w:val="24"/>
        </w:rPr>
        <w:t xml:space="preserve"> as if known to be infectious. </w:t>
      </w:r>
    </w:p>
    <w:p w:rsidR="004375F8" w:rsidRDefault="00D61AAE">
      <w:pPr>
        <w:numPr>
          <w:ilvl w:val="0"/>
          <w:numId w:val="4"/>
        </w:numPr>
        <w:spacing w:after="7" w:line="250" w:lineRule="auto"/>
        <w:ind w:hanging="144"/>
      </w:pPr>
      <w:r>
        <w:rPr>
          <w:rFonts w:ascii="Times New Roman" w:eastAsia="Times New Roman" w:hAnsi="Times New Roman" w:cs="Times New Roman"/>
          <w:sz w:val="24"/>
        </w:rPr>
        <w:t xml:space="preserve">Drinking and eating are not allowed in the embalming room and other work areas where there is a reasonable likelihood of exposure to blood or OPIM. </w:t>
      </w:r>
    </w:p>
    <w:p w:rsidR="004375F8" w:rsidRDefault="00D61AAE">
      <w:pPr>
        <w:numPr>
          <w:ilvl w:val="0"/>
          <w:numId w:val="4"/>
        </w:numPr>
        <w:spacing w:after="7" w:line="250" w:lineRule="auto"/>
        <w:ind w:hanging="144"/>
      </w:pPr>
      <w:r>
        <w:rPr>
          <w:rFonts w:ascii="Times New Roman" w:eastAsia="Times New Roman" w:hAnsi="Times New Roman" w:cs="Times New Roman"/>
          <w:sz w:val="24"/>
        </w:rPr>
        <w:t>The facility must have a written housekeeping schedule for those areas that</w:t>
      </w:r>
      <w:r>
        <w:rPr>
          <w:rFonts w:ascii="Times New Roman" w:eastAsia="Times New Roman" w:hAnsi="Times New Roman" w:cs="Times New Roman"/>
          <w:sz w:val="24"/>
        </w:rPr>
        <w:t xml:space="preserve"> may be contaminated with blood or OPIM. </w:t>
      </w:r>
    </w:p>
    <w:p w:rsidR="004375F8" w:rsidRDefault="00D61AAE">
      <w:pPr>
        <w:numPr>
          <w:ilvl w:val="0"/>
          <w:numId w:val="4"/>
        </w:numPr>
        <w:spacing w:after="169" w:line="250" w:lineRule="auto"/>
        <w:ind w:hanging="144"/>
      </w:pPr>
      <w:r>
        <w:rPr>
          <w:rFonts w:ascii="Times New Roman" w:eastAsia="Times New Roman" w:hAnsi="Times New Roman" w:cs="Times New Roman"/>
          <w:sz w:val="24"/>
        </w:rPr>
        <w:t xml:space="preserve">Only disinfectants or </w:t>
      </w:r>
      <w:proofErr w:type="spellStart"/>
      <w:r>
        <w:rPr>
          <w:rFonts w:ascii="Times New Roman" w:eastAsia="Times New Roman" w:hAnsi="Times New Roman" w:cs="Times New Roman"/>
          <w:sz w:val="24"/>
        </w:rPr>
        <w:t>sterilants</w:t>
      </w:r>
      <w:proofErr w:type="spellEnd"/>
      <w:r>
        <w:rPr>
          <w:rFonts w:ascii="Times New Roman" w:eastAsia="Times New Roman" w:hAnsi="Times New Roman" w:cs="Times New Roman"/>
          <w:sz w:val="24"/>
        </w:rPr>
        <w:t xml:space="preserve"> that are EPA registered or FDA cleared may be used to decontaminate surfaces or instruments that have been contaminated with blood or OPIM. </w:t>
      </w:r>
    </w:p>
    <w:p w:rsidR="004375F8" w:rsidRDefault="00D61AAE">
      <w:pPr>
        <w:numPr>
          <w:ilvl w:val="0"/>
          <w:numId w:val="4"/>
        </w:numPr>
        <w:spacing w:after="203" w:line="250" w:lineRule="auto"/>
        <w:ind w:hanging="144"/>
      </w:pPr>
      <w:r>
        <w:rPr>
          <w:rFonts w:ascii="Times New Roman" w:eastAsia="Times New Roman" w:hAnsi="Times New Roman" w:cs="Times New Roman"/>
          <w:sz w:val="24"/>
        </w:rPr>
        <w:t>Tongs, forceps or other appropriate engi</w:t>
      </w:r>
      <w:r>
        <w:rPr>
          <w:rFonts w:ascii="Times New Roman" w:eastAsia="Times New Roman" w:hAnsi="Times New Roman" w:cs="Times New Roman"/>
          <w:sz w:val="24"/>
        </w:rPr>
        <w:t xml:space="preserve">neering controls must be used to reach into cleaning containers to pick up reusable sharps. </w:t>
      </w:r>
    </w:p>
    <w:p w:rsidR="004375F8" w:rsidRDefault="00D61AAE">
      <w:pPr>
        <w:numPr>
          <w:ilvl w:val="0"/>
          <w:numId w:val="4"/>
        </w:numPr>
        <w:spacing w:after="215" w:line="250" w:lineRule="auto"/>
        <w:ind w:hanging="144"/>
      </w:pPr>
      <w:r>
        <w:rPr>
          <w:rFonts w:ascii="Times New Roman" w:eastAsia="Times New Roman" w:hAnsi="Times New Roman" w:cs="Times New Roman"/>
          <w:sz w:val="24"/>
        </w:rPr>
        <w:t xml:space="preserve">Scrub sponges and other potentially contaminated instrument cleaning tools must be properly disinfected and stored. </w:t>
      </w:r>
    </w:p>
    <w:p w:rsidR="004375F8" w:rsidRDefault="00D61AAE">
      <w:pPr>
        <w:numPr>
          <w:ilvl w:val="0"/>
          <w:numId w:val="4"/>
        </w:numPr>
        <w:spacing w:after="169" w:line="250" w:lineRule="auto"/>
        <w:ind w:hanging="144"/>
      </w:pPr>
      <w:r>
        <w:rPr>
          <w:rFonts w:ascii="Times New Roman" w:eastAsia="Times New Roman" w:hAnsi="Times New Roman" w:cs="Times New Roman"/>
          <w:sz w:val="24"/>
        </w:rPr>
        <w:t xml:space="preserve">A biohazard warning label must be attached to </w:t>
      </w:r>
      <w:r>
        <w:rPr>
          <w:rFonts w:ascii="Times New Roman" w:eastAsia="Times New Roman" w:hAnsi="Times New Roman" w:cs="Times New Roman"/>
          <w:sz w:val="24"/>
        </w:rPr>
        <w:t xml:space="preserve">containers of potentially infectious material. </w:t>
      </w:r>
    </w:p>
    <w:p w:rsidR="004375F8" w:rsidRDefault="00D61AAE">
      <w:pPr>
        <w:numPr>
          <w:ilvl w:val="0"/>
          <w:numId w:val="4"/>
        </w:numPr>
        <w:spacing w:after="169" w:line="250" w:lineRule="auto"/>
        <w:ind w:hanging="144"/>
      </w:pPr>
      <w:r>
        <w:rPr>
          <w:rFonts w:ascii="Times New Roman" w:eastAsia="Times New Roman" w:hAnsi="Times New Roman" w:cs="Times New Roman"/>
          <w:sz w:val="24"/>
        </w:rPr>
        <w:lastRenderedPageBreak/>
        <w:t xml:space="preserve">Waste cans used for containment of biohazards must be lined with biohazard bags. The regulated waste must be placed in a container that is closable. </w:t>
      </w:r>
    </w:p>
    <w:p w:rsidR="004375F8" w:rsidRDefault="00D61AAE">
      <w:pPr>
        <w:numPr>
          <w:ilvl w:val="0"/>
          <w:numId w:val="4"/>
        </w:numPr>
        <w:spacing w:after="210" w:line="250" w:lineRule="auto"/>
        <w:ind w:hanging="144"/>
      </w:pPr>
      <w:r>
        <w:rPr>
          <w:rFonts w:ascii="Times New Roman" w:eastAsia="Times New Roman" w:hAnsi="Times New Roman" w:cs="Times New Roman"/>
          <w:sz w:val="24"/>
        </w:rPr>
        <w:t xml:space="preserve">Sharps containers must be easily accessible to personnel and located as close as feasible to the immediate area where sharps are used. </w:t>
      </w:r>
    </w:p>
    <w:p w:rsidR="004375F8" w:rsidRDefault="00D61AAE">
      <w:pPr>
        <w:numPr>
          <w:ilvl w:val="0"/>
          <w:numId w:val="4"/>
        </w:numPr>
        <w:spacing w:after="215" w:line="250" w:lineRule="auto"/>
        <w:ind w:hanging="144"/>
      </w:pPr>
      <w:r>
        <w:rPr>
          <w:rFonts w:ascii="Times New Roman" w:eastAsia="Times New Roman" w:hAnsi="Times New Roman" w:cs="Times New Roman"/>
          <w:sz w:val="24"/>
        </w:rPr>
        <w:t xml:space="preserve">Employees with occupational exposure to </w:t>
      </w:r>
      <w:proofErr w:type="spellStart"/>
      <w:r>
        <w:rPr>
          <w:rFonts w:ascii="Times New Roman" w:eastAsia="Times New Roman" w:hAnsi="Times New Roman" w:cs="Times New Roman"/>
          <w:sz w:val="24"/>
        </w:rPr>
        <w:t>bloodborne</w:t>
      </w:r>
      <w:proofErr w:type="spellEnd"/>
      <w:r>
        <w:rPr>
          <w:rFonts w:ascii="Times New Roman" w:eastAsia="Times New Roman" w:hAnsi="Times New Roman" w:cs="Times New Roman"/>
          <w:sz w:val="24"/>
        </w:rPr>
        <w:t xml:space="preserve"> pathogens must be trained on the safety procedures related to blood o</w:t>
      </w:r>
      <w:r>
        <w:rPr>
          <w:rFonts w:ascii="Times New Roman" w:eastAsia="Times New Roman" w:hAnsi="Times New Roman" w:cs="Times New Roman"/>
          <w:sz w:val="24"/>
        </w:rPr>
        <w:t xml:space="preserve">r OPIM. </w:t>
      </w:r>
    </w:p>
    <w:p w:rsidR="004375F8" w:rsidRDefault="00D61AAE">
      <w:pPr>
        <w:numPr>
          <w:ilvl w:val="0"/>
          <w:numId w:val="4"/>
        </w:numPr>
        <w:spacing w:after="192" w:line="250" w:lineRule="auto"/>
        <w:ind w:hanging="144"/>
      </w:pPr>
      <w:r>
        <w:rPr>
          <w:rFonts w:ascii="Times New Roman" w:eastAsia="Times New Roman" w:hAnsi="Times New Roman" w:cs="Times New Roman"/>
          <w:sz w:val="24"/>
        </w:rPr>
        <w:t xml:space="preserve">A sharps injury log is used to record injuries resulting from sharps. </w:t>
      </w:r>
    </w:p>
    <w:p w:rsidR="004375F8" w:rsidRDefault="00D61AAE">
      <w:pPr>
        <w:pStyle w:val="Heading1"/>
        <w:ind w:left="475"/>
      </w:pPr>
      <w:r>
        <w:t>OSHA Personal Protective Equipment Standard</w:t>
      </w:r>
      <w:r>
        <w:rPr>
          <w:rFonts w:ascii="Calibri" w:eastAsia="Calibri" w:hAnsi="Calibri" w:cs="Calibri"/>
          <w:b w:val="0"/>
          <w:sz w:val="22"/>
        </w:rPr>
        <w:t xml:space="preserve"> </w:t>
      </w:r>
    </w:p>
    <w:p w:rsidR="004375F8" w:rsidRDefault="00D61AAE">
      <w:pPr>
        <w:spacing w:after="207" w:line="250" w:lineRule="auto"/>
        <w:ind w:left="475" w:hanging="10"/>
      </w:pPr>
      <w:r>
        <w:rPr>
          <w:rFonts w:ascii="Times New Roman" w:eastAsia="Times New Roman" w:hAnsi="Times New Roman" w:cs="Times New Roman"/>
          <w:sz w:val="24"/>
        </w:rPr>
        <w:t>The Personal Protective Equipment (PPE) Standard (29 CFR 1910 132, Sub- part I) requires that personal protective equipment be util</w:t>
      </w:r>
      <w:r>
        <w:rPr>
          <w:rFonts w:ascii="Times New Roman" w:eastAsia="Times New Roman" w:hAnsi="Times New Roman" w:cs="Times New Roman"/>
          <w:sz w:val="24"/>
        </w:rPr>
        <w:t>ized for many tasks performed in funeral service settings, such as preparation rooms. Coveralls, shoe covers, gloves, chemical goggles, face shields, head covers, surgical masks and respirators all have application in funeral service settings. Coveralls, a</w:t>
      </w:r>
      <w:r>
        <w:rPr>
          <w:rFonts w:ascii="Times New Roman" w:eastAsia="Times New Roman" w:hAnsi="Times New Roman" w:cs="Times New Roman"/>
          <w:sz w:val="24"/>
        </w:rPr>
        <w:t xml:space="preserve">prons or gowns need to have full sleeve coverage and be impervious to blood, formaldehyde and other chemical agents. </w:t>
      </w:r>
    </w:p>
    <w:p w:rsidR="004375F8" w:rsidRDefault="00D61AAE">
      <w:pPr>
        <w:spacing w:after="169" w:line="250" w:lineRule="auto"/>
        <w:ind w:left="475" w:hanging="10"/>
      </w:pPr>
      <w:r>
        <w:rPr>
          <w:rFonts w:ascii="Times New Roman" w:eastAsia="Times New Roman" w:hAnsi="Times New Roman" w:cs="Times New Roman"/>
          <w:sz w:val="24"/>
        </w:rPr>
        <w:t xml:space="preserve">General requirements of OSHA’s Personal Protective Equipment Standard: </w:t>
      </w:r>
    </w:p>
    <w:p w:rsidR="004375F8" w:rsidRDefault="00D61AAE">
      <w:pPr>
        <w:numPr>
          <w:ilvl w:val="0"/>
          <w:numId w:val="5"/>
        </w:numPr>
        <w:spacing w:after="169" w:line="250" w:lineRule="auto"/>
        <w:ind w:hanging="10"/>
      </w:pPr>
      <w:r>
        <w:rPr>
          <w:rFonts w:ascii="Times New Roman" w:eastAsia="Times New Roman" w:hAnsi="Times New Roman" w:cs="Times New Roman"/>
          <w:sz w:val="24"/>
        </w:rPr>
        <w:t>The employer must perform a job hazard assessment for the tasks co</w:t>
      </w:r>
      <w:r>
        <w:rPr>
          <w:rFonts w:ascii="Times New Roman" w:eastAsia="Times New Roman" w:hAnsi="Times New Roman" w:cs="Times New Roman"/>
          <w:sz w:val="24"/>
        </w:rPr>
        <w:t xml:space="preserve">nducted at the funeral home to determine what PPE is needed. A written certification of this assessment is required. </w:t>
      </w:r>
    </w:p>
    <w:p w:rsidR="004375F8" w:rsidRDefault="00D61AAE">
      <w:pPr>
        <w:numPr>
          <w:ilvl w:val="0"/>
          <w:numId w:val="5"/>
        </w:numPr>
        <w:spacing w:after="193" w:line="250" w:lineRule="auto"/>
        <w:ind w:hanging="10"/>
      </w:pPr>
      <w:r>
        <w:rPr>
          <w:rFonts w:ascii="Times New Roman" w:eastAsia="Times New Roman" w:hAnsi="Times New Roman" w:cs="Times New Roman"/>
          <w:sz w:val="24"/>
        </w:rPr>
        <w:t>Employees required to wear personal protective equipment must be trained in the proper use of that equipment. Again, a written certificati</w:t>
      </w:r>
      <w:r>
        <w:rPr>
          <w:rFonts w:ascii="Times New Roman" w:eastAsia="Times New Roman" w:hAnsi="Times New Roman" w:cs="Times New Roman"/>
          <w:sz w:val="24"/>
        </w:rPr>
        <w:t xml:space="preserve">on that workers have received and understood this training is required. </w:t>
      </w:r>
    </w:p>
    <w:p w:rsidR="004375F8" w:rsidRDefault="00D61AAE">
      <w:pPr>
        <w:numPr>
          <w:ilvl w:val="0"/>
          <w:numId w:val="5"/>
        </w:numPr>
        <w:spacing w:after="193" w:line="250" w:lineRule="auto"/>
        <w:ind w:hanging="10"/>
      </w:pPr>
      <w:r>
        <w:rPr>
          <w:rFonts w:ascii="Times New Roman" w:eastAsia="Times New Roman" w:hAnsi="Times New Roman" w:cs="Times New Roman"/>
          <w:sz w:val="24"/>
        </w:rPr>
        <w:t xml:space="preserve">Gloves and eye protection designed for protection against the hazards found in the embalming room are required. </w:t>
      </w:r>
    </w:p>
    <w:p w:rsidR="004375F8" w:rsidRDefault="00D61AAE">
      <w:pPr>
        <w:pStyle w:val="Heading1"/>
        <w:ind w:left="475"/>
      </w:pPr>
      <w:r>
        <w:t>OSHA Respiratory Protection Standard</w:t>
      </w:r>
      <w:r>
        <w:rPr>
          <w:rFonts w:ascii="Calibri" w:eastAsia="Calibri" w:hAnsi="Calibri" w:cs="Calibri"/>
          <w:b w:val="0"/>
          <w:sz w:val="22"/>
        </w:rPr>
        <w:t xml:space="preserve"> </w:t>
      </w:r>
    </w:p>
    <w:p w:rsidR="004375F8" w:rsidRDefault="00D61AAE">
      <w:pPr>
        <w:spacing w:after="169" w:line="250" w:lineRule="auto"/>
        <w:ind w:left="475" w:hanging="10"/>
      </w:pPr>
      <w:r>
        <w:rPr>
          <w:rFonts w:ascii="Times New Roman" w:eastAsia="Times New Roman" w:hAnsi="Times New Roman" w:cs="Times New Roman"/>
          <w:sz w:val="24"/>
        </w:rPr>
        <w:t>Whenever respirators are require</w:t>
      </w:r>
      <w:r>
        <w:rPr>
          <w:rFonts w:ascii="Times New Roman" w:eastAsia="Times New Roman" w:hAnsi="Times New Roman" w:cs="Times New Roman"/>
          <w:sz w:val="24"/>
        </w:rPr>
        <w:t>d in the workplace, the requirements of the Respiratory Protection Standard (29 CFR 1910.134) are triggered. There are two basic classes of respiratory hazards encountered in funeral home settings. Hazards may be in the form of particulates, such as flu vi</w:t>
      </w:r>
      <w:r>
        <w:rPr>
          <w:rFonts w:ascii="Times New Roman" w:eastAsia="Times New Roman" w:hAnsi="Times New Roman" w:cs="Times New Roman"/>
          <w:sz w:val="24"/>
        </w:rPr>
        <w:t>ruses, droplets containing tuberculosis bacteria, etc., or they may be in the form of organic vapors, such as formaldehyde. Generally speaking, a respirator that is suitable for most biological particulates (respirators such as N95s or Powered Air Purifyin</w:t>
      </w:r>
      <w:r>
        <w:rPr>
          <w:rFonts w:ascii="Times New Roman" w:eastAsia="Times New Roman" w:hAnsi="Times New Roman" w:cs="Times New Roman"/>
          <w:sz w:val="24"/>
        </w:rPr>
        <w:t>g Respirators) provides no effective protection for organic vapors and vice versa. There are very expensive respirators on the market that are capable of providing protection against both of these types of hazards, but such respirators are not generally en</w:t>
      </w:r>
      <w:r>
        <w:rPr>
          <w:rFonts w:ascii="Times New Roman" w:eastAsia="Times New Roman" w:hAnsi="Times New Roman" w:cs="Times New Roman"/>
          <w:sz w:val="24"/>
        </w:rPr>
        <w:t xml:space="preserve">countered in funeral homes. </w:t>
      </w:r>
    </w:p>
    <w:p w:rsidR="004375F8" w:rsidRDefault="00D61AAE">
      <w:pPr>
        <w:spacing w:after="169" w:line="250" w:lineRule="auto"/>
        <w:ind w:left="475" w:hanging="10"/>
      </w:pPr>
      <w:r>
        <w:rPr>
          <w:rFonts w:ascii="Times New Roman" w:eastAsia="Times New Roman" w:hAnsi="Times New Roman" w:cs="Times New Roman"/>
          <w:sz w:val="24"/>
        </w:rPr>
        <w:t xml:space="preserve">General requirements of the Respiratory Protection Standard </w:t>
      </w:r>
    </w:p>
    <w:p w:rsidR="004375F8" w:rsidRDefault="00D61AAE">
      <w:pPr>
        <w:numPr>
          <w:ilvl w:val="0"/>
          <w:numId w:val="6"/>
        </w:numPr>
        <w:spacing w:after="169" w:line="250" w:lineRule="auto"/>
        <w:ind w:hanging="144"/>
      </w:pPr>
      <w:r>
        <w:rPr>
          <w:rFonts w:ascii="Times New Roman" w:eastAsia="Times New Roman" w:hAnsi="Times New Roman" w:cs="Times New Roman"/>
          <w:sz w:val="24"/>
        </w:rPr>
        <w:t xml:space="preserve">A written Respiratory Protection Program and a qualified administrator are required. </w:t>
      </w:r>
    </w:p>
    <w:p w:rsidR="004375F8" w:rsidRDefault="00D61AAE">
      <w:pPr>
        <w:numPr>
          <w:ilvl w:val="0"/>
          <w:numId w:val="6"/>
        </w:numPr>
        <w:spacing w:after="169" w:line="250" w:lineRule="auto"/>
        <w:ind w:hanging="144"/>
      </w:pPr>
      <w:r>
        <w:rPr>
          <w:rFonts w:ascii="Times New Roman" w:eastAsia="Times New Roman" w:hAnsi="Times New Roman" w:cs="Times New Roman"/>
          <w:sz w:val="24"/>
        </w:rPr>
        <w:t>All employees required to wear a respirator must be medically evaluated to ensur</w:t>
      </w:r>
      <w:r>
        <w:rPr>
          <w:rFonts w:ascii="Times New Roman" w:eastAsia="Times New Roman" w:hAnsi="Times New Roman" w:cs="Times New Roman"/>
          <w:sz w:val="24"/>
        </w:rPr>
        <w:t xml:space="preserve">e that the respirator does not place an undue physiological burden on an employee’s health. </w:t>
      </w:r>
    </w:p>
    <w:p w:rsidR="004375F8" w:rsidRDefault="00D61AAE">
      <w:pPr>
        <w:numPr>
          <w:ilvl w:val="0"/>
          <w:numId w:val="6"/>
        </w:numPr>
        <w:spacing w:after="169" w:line="250" w:lineRule="auto"/>
        <w:ind w:hanging="144"/>
      </w:pPr>
      <w:r>
        <w:rPr>
          <w:rFonts w:ascii="Times New Roman" w:eastAsia="Times New Roman" w:hAnsi="Times New Roman" w:cs="Times New Roman"/>
          <w:sz w:val="24"/>
        </w:rPr>
        <w:lastRenderedPageBreak/>
        <w:t>If the use of respirators is required because the permissible exposure limit for formaldehyde has been exceeded, then it is a requirement of the Formaldehyde Stand</w:t>
      </w:r>
      <w:r>
        <w:rPr>
          <w:rFonts w:ascii="Times New Roman" w:eastAsia="Times New Roman" w:hAnsi="Times New Roman" w:cs="Times New Roman"/>
          <w:sz w:val="24"/>
        </w:rPr>
        <w:t xml:space="preserve">ard that the affected worker must receive not just a medical evaluation but rather a medical </w:t>
      </w:r>
      <w:r>
        <w:rPr>
          <w:rFonts w:ascii="Times New Roman" w:eastAsia="Times New Roman" w:hAnsi="Times New Roman" w:cs="Times New Roman"/>
          <w:i/>
          <w:sz w:val="24"/>
        </w:rPr>
        <w:t xml:space="preserve">examination </w:t>
      </w:r>
      <w:r>
        <w:rPr>
          <w:rFonts w:ascii="Times New Roman" w:eastAsia="Times New Roman" w:hAnsi="Times New Roman" w:cs="Times New Roman"/>
          <w:sz w:val="24"/>
        </w:rPr>
        <w:t xml:space="preserve">annually. </w:t>
      </w:r>
    </w:p>
    <w:p w:rsidR="004375F8" w:rsidRDefault="00D61AAE">
      <w:pPr>
        <w:numPr>
          <w:ilvl w:val="0"/>
          <w:numId w:val="6"/>
        </w:numPr>
        <w:spacing w:after="169" w:line="250" w:lineRule="auto"/>
        <w:ind w:hanging="144"/>
      </w:pPr>
      <w:r>
        <w:rPr>
          <w:rFonts w:ascii="Times New Roman" w:eastAsia="Times New Roman" w:hAnsi="Times New Roman" w:cs="Times New Roman"/>
          <w:sz w:val="24"/>
        </w:rPr>
        <w:t xml:space="preserve">The Formaldehyde Standard also requires that the cartridge for a respirator used for protection from formaldehyde must be changed after at least every three hours of use. </w:t>
      </w:r>
    </w:p>
    <w:p w:rsidR="004375F8" w:rsidRDefault="00D61AAE">
      <w:pPr>
        <w:numPr>
          <w:ilvl w:val="0"/>
          <w:numId w:val="6"/>
        </w:numPr>
        <w:spacing w:after="215" w:line="250" w:lineRule="auto"/>
        <w:ind w:hanging="144"/>
      </w:pPr>
      <w:r>
        <w:rPr>
          <w:rFonts w:ascii="Times New Roman" w:eastAsia="Times New Roman" w:hAnsi="Times New Roman" w:cs="Times New Roman"/>
          <w:sz w:val="24"/>
        </w:rPr>
        <w:t>Employees must be fit-tested with the same make, model, style and size of respirator</w:t>
      </w:r>
      <w:r>
        <w:rPr>
          <w:rFonts w:ascii="Times New Roman" w:eastAsia="Times New Roman" w:hAnsi="Times New Roman" w:cs="Times New Roman"/>
          <w:sz w:val="24"/>
        </w:rPr>
        <w:t xml:space="preserve"> that will be used. Fit testing must be repeated at least annually, and records must be kept. </w:t>
      </w:r>
    </w:p>
    <w:p w:rsidR="004375F8" w:rsidRDefault="00D61AAE">
      <w:pPr>
        <w:numPr>
          <w:ilvl w:val="0"/>
          <w:numId w:val="6"/>
        </w:numPr>
        <w:spacing w:after="202" w:line="250" w:lineRule="auto"/>
        <w:ind w:hanging="144"/>
      </w:pPr>
      <w:r>
        <w:rPr>
          <w:rFonts w:ascii="Times New Roman" w:eastAsia="Times New Roman" w:hAnsi="Times New Roman" w:cs="Times New Roman"/>
          <w:sz w:val="24"/>
        </w:rPr>
        <w:t xml:space="preserve">Training in respirator use must be provided annually, and records of the training must be kept. </w:t>
      </w:r>
    </w:p>
    <w:p w:rsidR="004375F8" w:rsidRDefault="00D61AAE">
      <w:pPr>
        <w:numPr>
          <w:ilvl w:val="0"/>
          <w:numId w:val="6"/>
        </w:numPr>
        <w:spacing w:after="192" w:line="250" w:lineRule="auto"/>
        <w:ind w:hanging="144"/>
      </w:pPr>
      <w:r>
        <w:rPr>
          <w:rFonts w:ascii="Times New Roman" w:eastAsia="Times New Roman" w:hAnsi="Times New Roman" w:cs="Times New Roman"/>
          <w:sz w:val="24"/>
        </w:rPr>
        <w:t>For situations where a respirator is not required but an employe</w:t>
      </w:r>
      <w:r>
        <w:rPr>
          <w:rFonts w:ascii="Times New Roman" w:eastAsia="Times New Roman" w:hAnsi="Times New Roman" w:cs="Times New Roman"/>
          <w:sz w:val="24"/>
        </w:rPr>
        <w:t xml:space="preserve">e chooses to wear one on a voluntary basis, the employee must still be provided with the information included in Appendix D of the standard, and the employer must ensure that the employee is medically evaluated and cleared to use the respirator. </w:t>
      </w:r>
    </w:p>
    <w:p w:rsidR="004375F8" w:rsidRDefault="00D61AAE">
      <w:pPr>
        <w:pStyle w:val="Heading1"/>
        <w:spacing w:after="135"/>
        <w:ind w:left="475"/>
      </w:pPr>
      <w:r>
        <w:t>OSHA Form</w:t>
      </w:r>
      <w:r>
        <w:t>aldehyde Standard</w:t>
      </w:r>
      <w:r>
        <w:rPr>
          <w:b w:val="0"/>
          <w:sz w:val="22"/>
        </w:rPr>
        <w:t xml:space="preserve"> </w:t>
      </w:r>
    </w:p>
    <w:p w:rsidR="004375F8" w:rsidRDefault="00D61AAE">
      <w:pPr>
        <w:spacing w:after="215" w:line="250" w:lineRule="auto"/>
        <w:ind w:left="475" w:hanging="10"/>
      </w:pPr>
      <w:r>
        <w:rPr>
          <w:rFonts w:ascii="Times New Roman" w:eastAsia="Times New Roman" w:hAnsi="Times New Roman" w:cs="Times New Roman"/>
          <w:sz w:val="24"/>
        </w:rPr>
        <w:t>Formaldehyde/formalin is a common hazardous chemical used for embalming. This chemical is specifically regulated by OSHA and has its own OSHA standard (29 CFR 1910.1048) that sets maximum exposure levels and monitoring requirements, and requires engineerin</w:t>
      </w:r>
      <w:r>
        <w:rPr>
          <w:rFonts w:ascii="Times New Roman" w:eastAsia="Times New Roman" w:hAnsi="Times New Roman" w:cs="Times New Roman"/>
          <w:sz w:val="24"/>
        </w:rPr>
        <w:t xml:space="preserve">g controls designed to protect workers from the negative effects of formaldehyde exposure. </w:t>
      </w:r>
    </w:p>
    <w:p w:rsidR="004375F8" w:rsidRDefault="00D61AAE">
      <w:pPr>
        <w:spacing w:after="169" w:line="250" w:lineRule="auto"/>
        <w:ind w:left="475" w:hanging="10"/>
      </w:pPr>
      <w:r>
        <w:rPr>
          <w:rFonts w:ascii="Times New Roman" w:eastAsia="Times New Roman" w:hAnsi="Times New Roman" w:cs="Times New Roman"/>
          <w:sz w:val="24"/>
        </w:rPr>
        <w:t xml:space="preserve">General requirements of OSHA’s Formaldehyde Standard: </w:t>
      </w:r>
    </w:p>
    <w:p w:rsidR="004375F8" w:rsidRDefault="00D61AAE">
      <w:pPr>
        <w:numPr>
          <w:ilvl w:val="0"/>
          <w:numId w:val="7"/>
        </w:numPr>
        <w:spacing w:after="215" w:line="250" w:lineRule="auto"/>
        <w:ind w:hanging="144"/>
      </w:pPr>
      <w:r>
        <w:rPr>
          <w:rFonts w:ascii="Times New Roman" w:eastAsia="Times New Roman" w:hAnsi="Times New Roman" w:cs="Times New Roman"/>
          <w:sz w:val="24"/>
        </w:rPr>
        <w:t>Measurements of the level of exposure to formaldehyde during embalming must be taken. Two measurements are re</w:t>
      </w:r>
      <w:r>
        <w:rPr>
          <w:rFonts w:ascii="Times New Roman" w:eastAsia="Times New Roman" w:hAnsi="Times New Roman" w:cs="Times New Roman"/>
          <w:sz w:val="24"/>
        </w:rPr>
        <w:t>quired: a Time-weighted Average (TWA) and a Short-term Exposure Limit (STEL). TWA and STEL measurements are done by wearing a dosimeter badge and are different from measurements taken with a detector tube. Detector tubes provide measurements on the spot, b</w:t>
      </w:r>
      <w:r>
        <w:rPr>
          <w:rFonts w:ascii="Times New Roman" w:eastAsia="Times New Roman" w:hAnsi="Times New Roman" w:cs="Times New Roman"/>
          <w:sz w:val="24"/>
        </w:rPr>
        <w:t xml:space="preserve">ut they are not the same thing as Time-weighted Average or Short-term Exposure Limit measurements required by the standard. TWA and STEL measurements are made over a period of time and are not spot measurements. They require mailing the personal dosimeter </w:t>
      </w:r>
      <w:r>
        <w:rPr>
          <w:rFonts w:ascii="Times New Roman" w:eastAsia="Times New Roman" w:hAnsi="Times New Roman" w:cs="Times New Roman"/>
          <w:sz w:val="24"/>
        </w:rPr>
        <w:t xml:space="preserve">to a laboratory for analysis. </w:t>
      </w:r>
    </w:p>
    <w:p w:rsidR="004375F8" w:rsidRDefault="00D61AAE">
      <w:pPr>
        <w:numPr>
          <w:ilvl w:val="0"/>
          <w:numId w:val="7"/>
        </w:numPr>
        <w:spacing w:after="169" w:line="250" w:lineRule="auto"/>
        <w:ind w:hanging="144"/>
      </w:pPr>
      <w:r>
        <w:rPr>
          <w:rFonts w:ascii="Times New Roman" w:eastAsia="Times New Roman" w:hAnsi="Times New Roman" w:cs="Times New Roman"/>
          <w:sz w:val="24"/>
        </w:rPr>
        <w:t xml:space="preserve">Affected employees must be notified of the monitoring results. </w:t>
      </w:r>
    </w:p>
    <w:p w:rsidR="004375F8" w:rsidRDefault="00D61AAE">
      <w:pPr>
        <w:numPr>
          <w:ilvl w:val="0"/>
          <w:numId w:val="7"/>
        </w:numPr>
        <w:spacing w:after="215" w:line="250" w:lineRule="auto"/>
        <w:ind w:hanging="144"/>
      </w:pPr>
      <w:r>
        <w:rPr>
          <w:rFonts w:ascii="Times New Roman" w:eastAsia="Times New Roman" w:hAnsi="Times New Roman" w:cs="Times New Roman"/>
          <w:sz w:val="24"/>
        </w:rPr>
        <w:t>Engineering controls, such as an effective ventilation system, must be utilized, along with work practice controls to minimize exposure to formaldehyde so that e</w:t>
      </w:r>
      <w:r>
        <w:rPr>
          <w:rFonts w:ascii="Times New Roman" w:eastAsia="Times New Roman" w:hAnsi="Times New Roman" w:cs="Times New Roman"/>
          <w:sz w:val="24"/>
        </w:rPr>
        <w:t xml:space="preserve">xposure is below the Action Level of the standard. </w:t>
      </w:r>
    </w:p>
    <w:p w:rsidR="004375F8" w:rsidRDefault="00D61AAE">
      <w:pPr>
        <w:numPr>
          <w:ilvl w:val="0"/>
          <w:numId w:val="7"/>
        </w:numPr>
        <w:spacing w:after="214" w:line="250" w:lineRule="auto"/>
        <w:ind w:hanging="144"/>
      </w:pPr>
      <w:r>
        <w:rPr>
          <w:rFonts w:ascii="Times New Roman" w:eastAsia="Times New Roman" w:hAnsi="Times New Roman" w:cs="Times New Roman"/>
          <w:sz w:val="24"/>
        </w:rPr>
        <w:t xml:space="preserve">Annual formaldehyde safety training must be provided. </w:t>
      </w:r>
    </w:p>
    <w:p w:rsidR="004375F8" w:rsidRDefault="00D61AAE">
      <w:pPr>
        <w:numPr>
          <w:ilvl w:val="0"/>
          <w:numId w:val="7"/>
        </w:numPr>
        <w:spacing w:after="212" w:line="250" w:lineRule="auto"/>
        <w:ind w:hanging="144"/>
      </w:pPr>
      <w:r>
        <w:rPr>
          <w:rFonts w:ascii="Times New Roman" w:eastAsia="Times New Roman" w:hAnsi="Times New Roman" w:cs="Times New Roman"/>
          <w:sz w:val="24"/>
        </w:rPr>
        <w:t xml:space="preserve">Protective clothing and personal protective equipment must be provided. </w:t>
      </w:r>
    </w:p>
    <w:p w:rsidR="004375F8" w:rsidRDefault="00D61AAE">
      <w:pPr>
        <w:numPr>
          <w:ilvl w:val="0"/>
          <w:numId w:val="7"/>
        </w:numPr>
        <w:spacing w:after="169" w:line="250" w:lineRule="auto"/>
        <w:ind w:hanging="144"/>
      </w:pPr>
      <w:r>
        <w:rPr>
          <w:rFonts w:ascii="Times New Roman" w:eastAsia="Times New Roman" w:hAnsi="Times New Roman" w:cs="Times New Roman"/>
          <w:sz w:val="24"/>
        </w:rPr>
        <w:t xml:space="preserve">A change room must be provided. </w:t>
      </w:r>
    </w:p>
    <w:p w:rsidR="004375F8" w:rsidRDefault="00D61AAE">
      <w:pPr>
        <w:numPr>
          <w:ilvl w:val="0"/>
          <w:numId w:val="7"/>
        </w:numPr>
        <w:spacing w:after="215" w:line="250" w:lineRule="auto"/>
        <w:ind w:hanging="144"/>
      </w:pPr>
      <w:r>
        <w:rPr>
          <w:rFonts w:ascii="Times New Roman" w:eastAsia="Times New Roman" w:hAnsi="Times New Roman" w:cs="Times New Roman"/>
          <w:sz w:val="24"/>
        </w:rPr>
        <w:lastRenderedPageBreak/>
        <w:t xml:space="preserve">A medical surveillance program is required if exposure at the Action Level or Short-term Exposure Limit occurs or whenever employees show signs or symptoms of overexposure to formaldehyde no matter the level of measurement. </w:t>
      </w:r>
    </w:p>
    <w:p w:rsidR="004375F8" w:rsidRDefault="00D61AAE">
      <w:pPr>
        <w:numPr>
          <w:ilvl w:val="0"/>
          <w:numId w:val="7"/>
        </w:numPr>
        <w:spacing w:after="169" w:line="250" w:lineRule="auto"/>
        <w:ind w:hanging="144"/>
      </w:pPr>
      <w:r>
        <w:rPr>
          <w:rFonts w:ascii="Times New Roman" w:eastAsia="Times New Roman" w:hAnsi="Times New Roman" w:cs="Times New Roman"/>
          <w:sz w:val="24"/>
        </w:rPr>
        <w:t>An emergency eyewash and drench</w:t>
      </w:r>
      <w:r>
        <w:rPr>
          <w:rFonts w:ascii="Times New Roman" w:eastAsia="Times New Roman" w:hAnsi="Times New Roman" w:cs="Times New Roman"/>
          <w:sz w:val="24"/>
        </w:rPr>
        <w:t xml:space="preserve"> shower in the embalming room must be provided. </w:t>
      </w:r>
    </w:p>
    <w:p w:rsidR="004375F8" w:rsidRDefault="00D61AAE">
      <w:pPr>
        <w:numPr>
          <w:ilvl w:val="0"/>
          <w:numId w:val="7"/>
        </w:numPr>
        <w:spacing w:after="192" w:line="250" w:lineRule="auto"/>
        <w:ind w:hanging="144"/>
      </w:pPr>
      <w:r>
        <w:rPr>
          <w:rFonts w:ascii="Times New Roman" w:eastAsia="Times New Roman" w:hAnsi="Times New Roman" w:cs="Times New Roman"/>
          <w:sz w:val="24"/>
        </w:rPr>
        <w:t xml:space="preserve">Although not specifically mandated, work facilities using other chemicals, such as glutaraldehyde, will also benefit from exposure monitoring to determine level of exposure. </w:t>
      </w:r>
    </w:p>
    <w:p w:rsidR="004375F8" w:rsidRDefault="00D61AAE">
      <w:pPr>
        <w:pStyle w:val="Heading1"/>
        <w:ind w:left="475"/>
      </w:pPr>
      <w:r>
        <w:t>Medical Services and First Aid R</w:t>
      </w:r>
      <w:r>
        <w:t>egulation</w:t>
      </w:r>
      <w:r>
        <w:rPr>
          <w:rFonts w:ascii="Calibri" w:eastAsia="Calibri" w:hAnsi="Calibri" w:cs="Calibri"/>
          <w:b w:val="0"/>
          <w:sz w:val="22"/>
        </w:rPr>
        <w:t xml:space="preserve"> </w:t>
      </w:r>
    </w:p>
    <w:p w:rsidR="004375F8" w:rsidRDefault="00D61AAE">
      <w:pPr>
        <w:spacing w:after="169" w:line="250" w:lineRule="auto"/>
        <w:ind w:left="475" w:hanging="10"/>
      </w:pPr>
      <w:r>
        <w:rPr>
          <w:rFonts w:ascii="Times New Roman" w:eastAsia="Times New Roman" w:hAnsi="Times New Roman" w:cs="Times New Roman"/>
          <w:sz w:val="24"/>
        </w:rPr>
        <w:t>This is one of the shortest of all OSHA standards; the federal version (29 CFR 1910.151) has just four sentences. The hitch, however, is that there is a lot of information covered in those four sentences. The first topic covered is medical servi</w:t>
      </w:r>
      <w:r>
        <w:rPr>
          <w:rFonts w:ascii="Times New Roman" w:eastAsia="Times New Roman" w:hAnsi="Times New Roman" w:cs="Times New Roman"/>
          <w:sz w:val="24"/>
        </w:rPr>
        <w:t xml:space="preserve">ces or first aid. </w:t>
      </w:r>
    </w:p>
    <w:p w:rsidR="004375F8" w:rsidRDefault="00D61AAE">
      <w:pPr>
        <w:spacing w:after="169" w:line="250" w:lineRule="auto"/>
        <w:ind w:left="475" w:hanging="10"/>
      </w:pPr>
      <w:r>
        <w:rPr>
          <w:rFonts w:ascii="Times New Roman" w:eastAsia="Times New Roman" w:hAnsi="Times New Roman" w:cs="Times New Roman"/>
          <w:sz w:val="24"/>
        </w:rPr>
        <w:t>The standard requires that if there is not an infirmary, clinic or hospital in near proximity, then an employee is required to be adequately trained to render first aid. In addition, adequate first aid supplies must be readily available.</w:t>
      </w:r>
      <w:r>
        <w:rPr>
          <w:rFonts w:ascii="Times New Roman" w:eastAsia="Times New Roman" w:hAnsi="Times New Roman" w:cs="Times New Roman"/>
          <w:sz w:val="24"/>
        </w:rPr>
        <w:t xml:space="preserve"> </w:t>
      </w:r>
    </w:p>
    <w:p w:rsidR="004375F8" w:rsidRDefault="00D61AAE">
      <w:pPr>
        <w:spacing w:after="169" w:line="250" w:lineRule="auto"/>
        <w:ind w:left="475" w:hanging="10"/>
      </w:pPr>
      <w:r>
        <w:rPr>
          <w:rFonts w:ascii="Times New Roman" w:eastAsia="Times New Roman" w:hAnsi="Times New Roman" w:cs="Times New Roman"/>
          <w:sz w:val="24"/>
        </w:rPr>
        <w:t xml:space="preserve">Just what does OSHA mean by “near proximity”? A rule of thumb is that if an injured worker requiring first aid cannot receive it within three minutes, a person is required to be trained to provide such first aid in the workplace. </w:t>
      </w:r>
    </w:p>
    <w:p w:rsidR="004375F8" w:rsidRDefault="00D61AAE">
      <w:pPr>
        <w:spacing w:after="169" w:line="250" w:lineRule="auto"/>
        <w:ind w:left="475" w:hanging="10"/>
      </w:pPr>
      <w:r>
        <w:rPr>
          <w:rFonts w:ascii="Times New Roman" w:eastAsia="Times New Roman" w:hAnsi="Times New Roman" w:cs="Times New Roman"/>
          <w:sz w:val="24"/>
        </w:rPr>
        <w:t xml:space="preserve">You can make sure that </w:t>
      </w:r>
      <w:r>
        <w:rPr>
          <w:rFonts w:ascii="Times New Roman" w:eastAsia="Times New Roman" w:hAnsi="Times New Roman" w:cs="Times New Roman"/>
          <w:sz w:val="24"/>
        </w:rPr>
        <w:t>a person is adequately trained to render first aid in your facility by having him or her take a short course provided by such organizations as the Red Cross, local community colleges, etc. To download an excellent fact sheet of what “adequate first aid sup</w:t>
      </w:r>
      <w:r>
        <w:rPr>
          <w:rFonts w:ascii="Times New Roman" w:eastAsia="Times New Roman" w:hAnsi="Times New Roman" w:cs="Times New Roman"/>
          <w:sz w:val="24"/>
        </w:rPr>
        <w:t xml:space="preserve">plies” should be available in your workplace, visit Minnesota OSHA at </w:t>
      </w:r>
      <w:r>
        <w:rPr>
          <w:rFonts w:ascii="Times New Roman" w:eastAsia="Times New Roman" w:hAnsi="Times New Roman" w:cs="Times New Roman"/>
          <w:i/>
          <w:sz w:val="24"/>
        </w:rPr>
        <w:t>www.dli. mn.gov/osha/pdf/fact_firstaid.pdf.</w:t>
      </w:r>
      <w:r>
        <w:rPr>
          <w:rFonts w:ascii="Times New Roman" w:eastAsia="Times New Roman" w:hAnsi="Times New Roman" w:cs="Times New Roman"/>
          <w:sz w:val="24"/>
        </w:rPr>
        <w:t xml:space="preserve"> </w:t>
      </w:r>
    </w:p>
    <w:p w:rsidR="004375F8" w:rsidRDefault="00D61AAE">
      <w:pPr>
        <w:spacing w:after="7" w:line="250" w:lineRule="auto"/>
        <w:ind w:left="475" w:hanging="10"/>
      </w:pPr>
      <w:r>
        <w:rPr>
          <w:rFonts w:ascii="Times New Roman" w:eastAsia="Times New Roman" w:hAnsi="Times New Roman" w:cs="Times New Roman"/>
          <w:sz w:val="24"/>
        </w:rPr>
        <w:t>The part of the federal standard that deals with eyewashes and drench showers is even shorter, just a single sentence. To properly explain al</w:t>
      </w:r>
      <w:r>
        <w:rPr>
          <w:rFonts w:ascii="Times New Roman" w:eastAsia="Times New Roman" w:hAnsi="Times New Roman" w:cs="Times New Roman"/>
          <w:sz w:val="24"/>
        </w:rPr>
        <w:t>l of the things that should be incorporated into an eyewash and drench shower would require a separate article. The best management practice, therefore, is to make sure that your eyewash and drench shower comply with the current ANSI standard Z358.1. Al- t</w:t>
      </w:r>
      <w:r>
        <w:rPr>
          <w:rFonts w:ascii="Times New Roman" w:eastAsia="Times New Roman" w:hAnsi="Times New Roman" w:cs="Times New Roman"/>
          <w:sz w:val="24"/>
        </w:rPr>
        <w:t>hough this ANSI standard has not been formally incorporated by reference into the federal OSHA Standard, some state OSHA plans have formally incorporated various editions of the ANSI standard over the years. But whether your workplace is in a state that ha</w:t>
      </w:r>
      <w:r>
        <w:rPr>
          <w:rFonts w:ascii="Times New Roman" w:eastAsia="Times New Roman" w:hAnsi="Times New Roman" w:cs="Times New Roman"/>
          <w:sz w:val="24"/>
        </w:rPr>
        <w:t xml:space="preserve">s formally adopted the ANSI standard or not, the best management practice is to comply with </w:t>
      </w:r>
    </w:p>
    <w:p w:rsidR="004375F8" w:rsidRDefault="00D61AAE">
      <w:pPr>
        <w:spacing w:after="169" w:line="250" w:lineRule="auto"/>
        <w:ind w:left="475" w:hanging="10"/>
      </w:pPr>
      <w:r>
        <w:rPr>
          <w:rFonts w:ascii="Times New Roman" w:eastAsia="Times New Roman" w:hAnsi="Times New Roman" w:cs="Times New Roman"/>
          <w:sz w:val="24"/>
        </w:rPr>
        <w:t xml:space="preserve">ANSI requirements. Doing so will ensure that you go beyond OSHA’s minimal requirements. </w:t>
      </w:r>
    </w:p>
    <w:p w:rsidR="004375F8" w:rsidRDefault="00D61AAE">
      <w:pPr>
        <w:spacing w:after="169" w:line="250" w:lineRule="auto"/>
        <w:ind w:left="475" w:hanging="10"/>
      </w:pPr>
      <w:r>
        <w:rPr>
          <w:rFonts w:ascii="Times New Roman" w:eastAsia="Times New Roman" w:hAnsi="Times New Roman" w:cs="Times New Roman"/>
          <w:sz w:val="24"/>
        </w:rPr>
        <w:t>For more detailed information on this topic, download “Safety Equipment in</w:t>
      </w:r>
      <w:r>
        <w:rPr>
          <w:rFonts w:ascii="Times New Roman" w:eastAsia="Times New Roman" w:hAnsi="Times New Roman" w:cs="Times New Roman"/>
          <w:sz w:val="24"/>
        </w:rPr>
        <w:t xml:space="preserve"> the Preparation Room” located under “Industry Publications” in the “News” section at </w:t>
      </w:r>
      <w:r>
        <w:rPr>
          <w:rFonts w:ascii="Times New Roman" w:eastAsia="Times New Roman" w:hAnsi="Times New Roman" w:cs="Times New Roman"/>
          <w:i/>
          <w:sz w:val="24"/>
        </w:rPr>
        <w:t xml:space="preserve">www.dstlimited. </w:t>
      </w:r>
      <w:proofErr w:type="gramStart"/>
      <w:r>
        <w:rPr>
          <w:rFonts w:ascii="Times New Roman" w:eastAsia="Times New Roman" w:hAnsi="Times New Roman" w:cs="Times New Roman"/>
          <w:i/>
          <w:sz w:val="24"/>
        </w:rPr>
        <w:t>com</w:t>
      </w:r>
      <w:proofErr w:type="gram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4375F8" w:rsidRDefault="00D61AAE">
      <w:pPr>
        <w:pStyle w:val="Heading1"/>
        <w:ind w:left="475"/>
      </w:pPr>
      <w:r>
        <w:t>Fire Extinguisher Training Standard</w:t>
      </w:r>
      <w:r>
        <w:rPr>
          <w:rFonts w:ascii="Calibri" w:eastAsia="Calibri" w:hAnsi="Calibri" w:cs="Calibri"/>
          <w:b w:val="0"/>
          <w:sz w:val="22"/>
        </w:rPr>
        <w:t xml:space="preserve"> </w:t>
      </w:r>
    </w:p>
    <w:p w:rsidR="004375F8" w:rsidRDefault="00D61AAE">
      <w:pPr>
        <w:spacing w:after="169" w:line="250" w:lineRule="auto"/>
        <w:ind w:left="475" w:hanging="10"/>
      </w:pPr>
      <w:r>
        <w:rPr>
          <w:rFonts w:ascii="Times New Roman" w:eastAsia="Times New Roman" w:hAnsi="Times New Roman" w:cs="Times New Roman"/>
          <w:sz w:val="24"/>
        </w:rPr>
        <w:t>It’s perhaps surprising to learn that OSHA itself does not strictly require portable fire extinguishers in most</w:t>
      </w:r>
      <w:r>
        <w:rPr>
          <w:rFonts w:ascii="Times New Roman" w:eastAsia="Times New Roman" w:hAnsi="Times New Roman" w:cs="Times New Roman"/>
          <w:sz w:val="24"/>
        </w:rPr>
        <w:t xml:space="preserve"> general-duty workplaces. But this fact is a somewhat moot point since almost all workplaces already have portable fire extinguishers present whether they are strictly required by OSHA or not. </w:t>
      </w:r>
    </w:p>
    <w:p w:rsidR="004375F8" w:rsidRDefault="00D61AAE">
      <w:pPr>
        <w:spacing w:after="214" w:line="250" w:lineRule="auto"/>
        <w:ind w:left="475" w:hanging="10"/>
      </w:pPr>
      <w:r>
        <w:rPr>
          <w:rFonts w:ascii="Times New Roman" w:eastAsia="Times New Roman" w:hAnsi="Times New Roman" w:cs="Times New Roman"/>
          <w:sz w:val="24"/>
        </w:rPr>
        <w:lastRenderedPageBreak/>
        <w:t>If portable fire extinguishers are present in a workplace, the</w:t>
      </w:r>
      <w:r>
        <w:rPr>
          <w:rFonts w:ascii="Times New Roman" w:eastAsia="Times New Roman" w:hAnsi="Times New Roman" w:cs="Times New Roman"/>
          <w:sz w:val="24"/>
        </w:rPr>
        <w:t xml:space="preserve">n such presence triggers several OSHA requirements (29 CFR 1910.157). If portable fire extinguishers are present, they must: </w:t>
      </w:r>
    </w:p>
    <w:p w:rsidR="004375F8" w:rsidRDefault="00D61AAE">
      <w:pPr>
        <w:numPr>
          <w:ilvl w:val="0"/>
          <w:numId w:val="8"/>
        </w:numPr>
        <w:spacing w:after="53" w:line="250" w:lineRule="auto"/>
        <w:ind w:hanging="144"/>
      </w:pPr>
      <w:r>
        <w:rPr>
          <w:rFonts w:ascii="Times New Roman" w:eastAsia="Times New Roman" w:hAnsi="Times New Roman" w:cs="Times New Roman"/>
          <w:sz w:val="24"/>
        </w:rPr>
        <w:t xml:space="preserve">Be properly mounted. </w:t>
      </w:r>
    </w:p>
    <w:p w:rsidR="004375F8" w:rsidRDefault="00D61AAE">
      <w:pPr>
        <w:numPr>
          <w:ilvl w:val="0"/>
          <w:numId w:val="8"/>
        </w:numPr>
        <w:spacing w:after="54" w:line="250" w:lineRule="auto"/>
        <w:ind w:hanging="144"/>
      </w:pPr>
      <w:r>
        <w:rPr>
          <w:rFonts w:ascii="Times New Roman" w:eastAsia="Times New Roman" w:hAnsi="Times New Roman" w:cs="Times New Roman"/>
          <w:sz w:val="24"/>
        </w:rPr>
        <w:t xml:space="preserve">Be properly identified. </w:t>
      </w:r>
    </w:p>
    <w:p w:rsidR="004375F8" w:rsidRDefault="00D61AAE">
      <w:pPr>
        <w:numPr>
          <w:ilvl w:val="0"/>
          <w:numId w:val="8"/>
        </w:numPr>
        <w:spacing w:after="12" w:line="250" w:lineRule="auto"/>
        <w:ind w:hanging="144"/>
      </w:pPr>
      <w:r>
        <w:rPr>
          <w:rFonts w:ascii="Times New Roman" w:eastAsia="Times New Roman" w:hAnsi="Times New Roman" w:cs="Times New Roman"/>
          <w:sz w:val="24"/>
        </w:rPr>
        <w:t xml:space="preserve">Have a current annual inspection tag in place. </w:t>
      </w:r>
    </w:p>
    <w:p w:rsidR="004375F8" w:rsidRDefault="00D61AAE">
      <w:pPr>
        <w:numPr>
          <w:ilvl w:val="0"/>
          <w:numId w:val="8"/>
        </w:numPr>
        <w:spacing w:after="169" w:line="250" w:lineRule="auto"/>
        <w:ind w:hanging="144"/>
      </w:pPr>
      <w:r>
        <w:rPr>
          <w:rFonts w:ascii="Times New Roman" w:eastAsia="Times New Roman" w:hAnsi="Times New Roman" w:cs="Times New Roman"/>
          <w:sz w:val="24"/>
        </w:rPr>
        <w:t xml:space="preserve">Be of the appropriate rating type, usually Type ABC for most funeral service settings. </w:t>
      </w:r>
    </w:p>
    <w:p w:rsidR="004375F8" w:rsidRDefault="00D61AAE">
      <w:pPr>
        <w:numPr>
          <w:ilvl w:val="0"/>
          <w:numId w:val="8"/>
        </w:numPr>
        <w:spacing w:after="169" w:line="250" w:lineRule="auto"/>
        <w:ind w:hanging="144"/>
      </w:pPr>
      <w:r>
        <w:rPr>
          <w:rFonts w:ascii="Times New Roman" w:eastAsia="Times New Roman" w:hAnsi="Times New Roman" w:cs="Times New Roman"/>
          <w:sz w:val="24"/>
        </w:rPr>
        <w:t xml:space="preserve">Have an MSDS (Material Safety Data Sheet) available if the fire extinguisher itself is pressurized or contains any hazardous chemicals. </w:t>
      </w:r>
    </w:p>
    <w:p w:rsidR="004375F8" w:rsidRDefault="00D61AAE">
      <w:pPr>
        <w:spacing w:after="192" w:line="250" w:lineRule="auto"/>
        <w:ind w:left="475" w:hanging="10"/>
      </w:pPr>
      <w:r>
        <w:rPr>
          <w:rFonts w:ascii="Times New Roman" w:eastAsia="Times New Roman" w:hAnsi="Times New Roman" w:cs="Times New Roman"/>
          <w:sz w:val="24"/>
        </w:rPr>
        <w:t>Fire extinguishers must be insp</w:t>
      </w:r>
      <w:r>
        <w:rPr>
          <w:rFonts w:ascii="Times New Roman" w:eastAsia="Times New Roman" w:hAnsi="Times New Roman" w:cs="Times New Roman"/>
          <w:sz w:val="24"/>
        </w:rPr>
        <w:t>ected monthly by the employer, and it is a best practice to record those monthly inspections. The biggest requirement for portable fire extinguisher use, however, is that annual training must be provided by the employer for all employees who are expected t</w:t>
      </w:r>
      <w:r>
        <w:rPr>
          <w:rFonts w:ascii="Times New Roman" w:eastAsia="Times New Roman" w:hAnsi="Times New Roman" w:cs="Times New Roman"/>
          <w:sz w:val="24"/>
        </w:rPr>
        <w:t xml:space="preserve">o use portable fire extinguishers. </w:t>
      </w:r>
    </w:p>
    <w:p w:rsidR="004375F8" w:rsidRDefault="00D61AAE">
      <w:pPr>
        <w:pStyle w:val="Heading1"/>
        <w:spacing w:after="118"/>
        <w:ind w:left="475"/>
      </w:pPr>
      <w:r>
        <w:t>Walking and Working Surfaces</w:t>
      </w:r>
      <w:r>
        <w:rPr>
          <w:b w:val="0"/>
          <w:sz w:val="22"/>
        </w:rPr>
        <w:t xml:space="preserve"> </w:t>
      </w:r>
    </w:p>
    <w:p w:rsidR="004375F8" w:rsidRDefault="00D61AAE">
      <w:pPr>
        <w:spacing w:line="257" w:lineRule="auto"/>
        <w:ind w:left="475" w:hanging="10"/>
      </w:pPr>
      <w:r>
        <w:rPr>
          <w:rFonts w:ascii="Times New Roman" w:eastAsia="Times New Roman" w:hAnsi="Times New Roman" w:cs="Times New Roman"/>
        </w:rPr>
        <w:t>Thousands of workers are injured each year in slips, trips and falls. The basic rules of the Walking and Working Surfaces Standard (29 CFR 1910.21 Subpart D) apply to things that most people</w:t>
      </w:r>
      <w:r>
        <w:rPr>
          <w:rFonts w:ascii="Times New Roman" w:eastAsia="Times New Roman" w:hAnsi="Times New Roman" w:cs="Times New Roman"/>
        </w:rPr>
        <w:t xml:space="preserve"> know intuitively. Problems usually arise, however, when we get too busy and forget the basics. </w:t>
      </w:r>
    </w:p>
    <w:p w:rsidR="004375F8" w:rsidRDefault="00D61AAE">
      <w:pPr>
        <w:spacing w:line="257" w:lineRule="auto"/>
        <w:ind w:left="475" w:hanging="10"/>
      </w:pPr>
      <w:r>
        <w:rPr>
          <w:rFonts w:ascii="Times New Roman" w:eastAsia="Times New Roman" w:hAnsi="Times New Roman" w:cs="Times New Roman"/>
        </w:rPr>
        <w:t xml:space="preserve">General requirements of the Walking and Working Surfaces Standard include: </w:t>
      </w:r>
    </w:p>
    <w:p w:rsidR="004375F8" w:rsidRDefault="00D61AAE">
      <w:pPr>
        <w:numPr>
          <w:ilvl w:val="0"/>
          <w:numId w:val="9"/>
        </w:numPr>
        <w:spacing w:line="257" w:lineRule="auto"/>
        <w:ind w:left="597" w:hanging="132"/>
      </w:pPr>
      <w:r>
        <w:rPr>
          <w:rFonts w:ascii="Times New Roman" w:eastAsia="Times New Roman" w:hAnsi="Times New Roman" w:cs="Times New Roman"/>
        </w:rPr>
        <w:t>Ensuring that walkways are well lit, have non-slip surfaces and are free from obstr</w:t>
      </w:r>
      <w:r>
        <w:rPr>
          <w:rFonts w:ascii="Times New Roman" w:eastAsia="Times New Roman" w:hAnsi="Times New Roman" w:cs="Times New Roman"/>
        </w:rPr>
        <w:t xml:space="preserve">uctions. </w:t>
      </w:r>
    </w:p>
    <w:p w:rsidR="004375F8" w:rsidRDefault="00D61AAE">
      <w:pPr>
        <w:numPr>
          <w:ilvl w:val="0"/>
          <w:numId w:val="9"/>
        </w:numPr>
        <w:spacing w:after="201" w:line="257" w:lineRule="auto"/>
        <w:ind w:left="597" w:hanging="132"/>
      </w:pPr>
      <w:r>
        <w:rPr>
          <w:rFonts w:ascii="Times New Roman" w:eastAsia="Times New Roman" w:hAnsi="Times New Roman" w:cs="Times New Roman"/>
        </w:rPr>
        <w:t xml:space="preserve">Cleaning up spills immediately and displaying warning signs, when appropriate. </w:t>
      </w:r>
    </w:p>
    <w:p w:rsidR="004375F8" w:rsidRDefault="00D61AAE">
      <w:pPr>
        <w:numPr>
          <w:ilvl w:val="0"/>
          <w:numId w:val="9"/>
        </w:numPr>
        <w:spacing w:after="201" w:line="257" w:lineRule="auto"/>
        <w:ind w:left="597" w:hanging="132"/>
      </w:pPr>
      <w:r>
        <w:rPr>
          <w:rFonts w:ascii="Times New Roman" w:eastAsia="Times New Roman" w:hAnsi="Times New Roman" w:cs="Times New Roman"/>
        </w:rPr>
        <w:t xml:space="preserve">Ensuring that staff members avoid steps, stairs and uneven surfaces when carrying or moving loads. </w:t>
      </w:r>
    </w:p>
    <w:p w:rsidR="004375F8" w:rsidRDefault="00D61AAE">
      <w:pPr>
        <w:numPr>
          <w:ilvl w:val="0"/>
          <w:numId w:val="9"/>
        </w:numPr>
        <w:spacing w:after="202" w:line="257" w:lineRule="auto"/>
        <w:ind w:left="597" w:hanging="132"/>
      </w:pPr>
      <w:r>
        <w:rPr>
          <w:rFonts w:ascii="Times New Roman" w:eastAsia="Times New Roman" w:hAnsi="Times New Roman" w:cs="Times New Roman"/>
        </w:rPr>
        <w:t xml:space="preserve">Making sure that any floor openings and holes are properly covered or repaired. </w:t>
      </w:r>
    </w:p>
    <w:p w:rsidR="004375F8" w:rsidRDefault="00D61AAE">
      <w:pPr>
        <w:pStyle w:val="Heading1"/>
        <w:ind w:left="475"/>
      </w:pPr>
      <w:r>
        <w:t>Manual Handling and Ergonomics</w:t>
      </w:r>
      <w:r>
        <w:rPr>
          <w:rFonts w:ascii="Calibri" w:eastAsia="Calibri" w:hAnsi="Calibri" w:cs="Calibri"/>
          <w:b w:val="0"/>
          <w:sz w:val="22"/>
        </w:rPr>
        <w:t xml:space="preserve"> </w:t>
      </w:r>
    </w:p>
    <w:p w:rsidR="004375F8" w:rsidRDefault="00D61AAE">
      <w:pPr>
        <w:spacing w:after="0" w:line="266" w:lineRule="auto"/>
        <w:ind w:left="480" w:right="87"/>
        <w:jc w:val="both"/>
      </w:pPr>
      <w:r>
        <w:rPr>
          <w:rFonts w:ascii="Times New Roman" w:eastAsia="Times New Roman" w:hAnsi="Times New Roman" w:cs="Times New Roman"/>
        </w:rPr>
        <w:t>At the time of this writing, federal OSHA does not have an ergonomics standard per se. That does not mean, however, that your workplace will not be cited for violations in this regard. For situations where there is no specific standard, OSHA can use what i</w:t>
      </w:r>
      <w:r>
        <w:rPr>
          <w:rFonts w:ascii="Times New Roman" w:eastAsia="Times New Roman" w:hAnsi="Times New Roman" w:cs="Times New Roman"/>
        </w:rPr>
        <w:t xml:space="preserve">s known as the “General Duty Clause” as its authority. </w:t>
      </w:r>
      <w:r>
        <w:rPr>
          <w:rFonts w:ascii="Times New Roman" w:eastAsia="Times New Roman" w:hAnsi="Times New Roman" w:cs="Times New Roman"/>
          <w:sz w:val="24"/>
        </w:rPr>
        <w:t xml:space="preserve">OSHA and NIOSH (National Institute for Occupational Safety and Health) both make lots of </w:t>
      </w:r>
    </w:p>
    <w:p w:rsidR="004375F8" w:rsidRDefault="00D61AAE">
      <w:pPr>
        <w:spacing w:after="169" w:line="250" w:lineRule="auto"/>
        <w:ind w:left="475" w:right="1817" w:hanging="10"/>
      </w:pPr>
      <w:proofErr w:type="gramStart"/>
      <w:r>
        <w:rPr>
          <w:rFonts w:ascii="Times New Roman" w:eastAsia="Times New Roman" w:hAnsi="Times New Roman" w:cs="Times New Roman"/>
          <w:sz w:val="24"/>
        </w:rPr>
        <w:t>resources</w:t>
      </w:r>
      <w:proofErr w:type="gramEnd"/>
      <w:r>
        <w:rPr>
          <w:rFonts w:ascii="Times New Roman" w:eastAsia="Times New Roman" w:hAnsi="Times New Roman" w:cs="Times New Roman"/>
          <w:sz w:val="24"/>
        </w:rPr>
        <w:t xml:space="preserve"> pertaining to ergonomics and safe lifting available on their websites: </w:t>
      </w:r>
      <w:r>
        <w:rPr>
          <w:rFonts w:ascii="Times New Roman" w:eastAsia="Times New Roman" w:hAnsi="Times New Roman" w:cs="Times New Roman"/>
          <w:i/>
          <w:sz w:val="24"/>
        </w:rPr>
        <w:t xml:space="preserve">www.osha.gov </w:t>
      </w:r>
      <w:r>
        <w:rPr>
          <w:rFonts w:ascii="Times New Roman" w:eastAsia="Times New Roman" w:hAnsi="Times New Roman" w:cs="Times New Roman"/>
          <w:sz w:val="24"/>
        </w:rPr>
        <w:t xml:space="preserve">and </w:t>
      </w:r>
      <w:r>
        <w:rPr>
          <w:rFonts w:ascii="Times New Roman" w:eastAsia="Times New Roman" w:hAnsi="Times New Roman" w:cs="Times New Roman"/>
          <w:i/>
          <w:sz w:val="24"/>
        </w:rPr>
        <w:t xml:space="preserve">www. </w:t>
      </w:r>
      <w:proofErr w:type="gramStart"/>
      <w:r>
        <w:rPr>
          <w:rFonts w:ascii="Times New Roman" w:eastAsia="Times New Roman" w:hAnsi="Times New Roman" w:cs="Times New Roman"/>
          <w:i/>
          <w:sz w:val="24"/>
        </w:rPr>
        <w:t>cdc.gov/</w:t>
      </w:r>
      <w:proofErr w:type="spellStart"/>
      <w:r>
        <w:rPr>
          <w:rFonts w:ascii="Times New Roman" w:eastAsia="Times New Roman" w:hAnsi="Times New Roman" w:cs="Times New Roman"/>
          <w:i/>
          <w:sz w:val="24"/>
        </w:rPr>
        <w:t>niosh</w:t>
      </w:r>
      <w:proofErr w:type="spellEnd"/>
      <w:proofErr w:type="gram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4375F8" w:rsidRDefault="00D61AAE">
      <w:pPr>
        <w:spacing w:after="169" w:line="250" w:lineRule="auto"/>
        <w:ind w:left="475" w:hanging="10"/>
      </w:pPr>
      <w:r>
        <w:rPr>
          <w:rFonts w:ascii="Times New Roman" w:eastAsia="Times New Roman" w:hAnsi="Times New Roman" w:cs="Times New Roman"/>
          <w:sz w:val="24"/>
        </w:rPr>
        <w:t xml:space="preserve">The basic points for training and careful supervision are: </w:t>
      </w:r>
    </w:p>
    <w:p w:rsidR="004375F8" w:rsidRDefault="00D61AAE">
      <w:pPr>
        <w:numPr>
          <w:ilvl w:val="0"/>
          <w:numId w:val="10"/>
        </w:numPr>
        <w:spacing w:after="169" w:line="250" w:lineRule="auto"/>
        <w:ind w:hanging="10"/>
      </w:pPr>
      <w:r>
        <w:rPr>
          <w:rFonts w:ascii="Times New Roman" w:eastAsia="Times New Roman" w:hAnsi="Times New Roman" w:cs="Times New Roman"/>
          <w:sz w:val="24"/>
        </w:rPr>
        <w:t xml:space="preserve">Assess manual handling activities carried out by your employees and, where possible, avoid or minimize manual handling. </w:t>
      </w:r>
    </w:p>
    <w:p w:rsidR="004375F8" w:rsidRDefault="00D61AAE">
      <w:pPr>
        <w:numPr>
          <w:ilvl w:val="0"/>
          <w:numId w:val="10"/>
        </w:numPr>
        <w:spacing w:after="195" w:line="250" w:lineRule="auto"/>
        <w:ind w:hanging="10"/>
      </w:pPr>
      <w:r>
        <w:rPr>
          <w:rFonts w:ascii="Times New Roman" w:eastAsia="Times New Roman" w:hAnsi="Times New Roman" w:cs="Times New Roman"/>
          <w:sz w:val="24"/>
        </w:rPr>
        <w:t>Train staff in safe-lifting techniques and practices for the deceas</w:t>
      </w:r>
      <w:r>
        <w:rPr>
          <w:rFonts w:ascii="Times New Roman" w:eastAsia="Times New Roman" w:hAnsi="Times New Roman" w:cs="Times New Roman"/>
          <w:sz w:val="24"/>
        </w:rPr>
        <w:t xml:space="preserve">ed and on moving empty or occupied coffins. </w:t>
      </w:r>
    </w:p>
    <w:p w:rsidR="004375F8" w:rsidRDefault="00D61AAE">
      <w:pPr>
        <w:numPr>
          <w:ilvl w:val="0"/>
          <w:numId w:val="10"/>
        </w:numPr>
        <w:spacing w:after="169" w:line="250" w:lineRule="auto"/>
        <w:ind w:hanging="10"/>
      </w:pPr>
      <w:r>
        <w:rPr>
          <w:rFonts w:ascii="Times New Roman" w:eastAsia="Times New Roman" w:hAnsi="Times New Roman" w:cs="Times New Roman"/>
          <w:sz w:val="24"/>
        </w:rPr>
        <w:t xml:space="preserve">Provide mechanical aids, such as mortuary lifts, roll-in cots, trolleys, church trucks, vehicle lifts, etc. </w:t>
      </w:r>
    </w:p>
    <w:p w:rsidR="004375F8" w:rsidRDefault="00D61AAE">
      <w:pPr>
        <w:spacing w:after="288"/>
        <w:ind w:left="480"/>
      </w:pPr>
      <w:r>
        <w:rPr>
          <w:rFonts w:ascii="Times New Roman" w:eastAsia="Times New Roman" w:hAnsi="Times New Roman" w:cs="Times New Roman"/>
          <w:b/>
          <w:sz w:val="24"/>
        </w:rPr>
        <w:lastRenderedPageBreak/>
        <w:t>Conclusion</w:t>
      </w:r>
      <w:r>
        <w:rPr>
          <w:rFonts w:ascii="Times New Roman" w:eastAsia="Times New Roman" w:hAnsi="Times New Roman" w:cs="Times New Roman"/>
          <w:sz w:val="24"/>
        </w:rPr>
        <w:t xml:space="preserve"> </w:t>
      </w:r>
    </w:p>
    <w:p w:rsidR="004375F8" w:rsidRDefault="00D61AAE">
      <w:pPr>
        <w:spacing w:after="301" w:line="321" w:lineRule="auto"/>
        <w:ind w:left="475" w:hanging="10"/>
      </w:pPr>
      <w:r>
        <w:rPr>
          <w:rFonts w:ascii="Times New Roman" w:eastAsia="Times New Roman" w:hAnsi="Times New Roman" w:cs="Times New Roman"/>
          <w:sz w:val="27"/>
        </w:rPr>
        <w:t xml:space="preserve">The funeral industry is a very dangerous job behind the scenes but a very rewarding </w:t>
      </w:r>
      <w:proofErr w:type="gramStart"/>
      <w:r>
        <w:rPr>
          <w:rFonts w:ascii="Times New Roman" w:eastAsia="Times New Roman" w:hAnsi="Times New Roman" w:cs="Times New Roman"/>
          <w:sz w:val="27"/>
        </w:rPr>
        <w:t>And</w:t>
      </w:r>
      <w:proofErr w:type="gramEnd"/>
      <w:r>
        <w:rPr>
          <w:rFonts w:ascii="Times New Roman" w:eastAsia="Times New Roman" w:hAnsi="Times New Roman" w:cs="Times New Roman"/>
          <w:sz w:val="27"/>
        </w:rPr>
        <w:t xml:space="preserve"> fu</w:t>
      </w:r>
      <w:r>
        <w:rPr>
          <w:rFonts w:ascii="Times New Roman" w:eastAsia="Times New Roman" w:hAnsi="Times New Roman" w:cs="Times New Roman"/>
          <w:sz w:val="27"/>
        </w:rPr>
        <w:t xml:space="preserve">lfilling industry. </w:t>
      </w:r>
    </w:p>
    <w:p w:rsidR="004375F8" w:rsidRDefault="00D61AAE">
      <w:pPr>
        <w:spacing w:after="388"/>
        <w:ind w:left="480"/>
      </w:pPr>
      <w:r>
        <w:rPr>
          <w:rFonts w:ascii="Times New Roman" w:eastAsia="Times New Roman" w:hAnsi="Times New Roman" w:cs="Times New Roman"/>
          <w:sz w:val="27"/>
        </w:rPr>
        <w:t xml:space="preserve"> </w:t>
      </w:r>
    </w:p>
    <w:p w:rsidR="004375F8" w:rsidRDefault="00D61AAE">
      <w:pPr>
        <w:spacing w:after="169" w:line="362" w:lineRule="auto"/>
        <w:ind w:left="475" w:hanging="10"/>
      </w:pPr>
      <w:r>
        <w:rPr>
          <w:rFonts w:ascii="Times New Roman" w:eastAsia="Times New Roman" w:hAnsi="Times New Roman" w:cs="Times New Roman"/>
          <w:sz w:val="24"/>
        </w:rPr>
        <w:t xml:space="preserve">Suffice to say: we all have a worldview, it consists of certain parts, and it describes your foundational beliefs which leads to real-life actions. </w:t>
      </w:r>
    </w:p>
    <w:p w:rsidR="004375F8" w:rsidRDefault="00D61AAE">
      <w:pPr>
        <w:spacing w:after="168"/>
        <w:ind w:left="480"/>
      </w:pPr>
      <w:r>
        <w:rPr>
          <w:rFonts w:ascii="Arial" w:eastAsia="Arial" w:hAnsi="Arial" w:cs="Arial"/>
          <w:color w:val="333333"/>
          <w:sz w:val="24"/>
          <w:u w:val="single" w:color="333333"/>
        </w:rPr>
        <w:t>What Has Gone Wrong with the World?</w:t>
      </w:r>
      <w:r>
        <w:rPr>
          <w:rFonts w:ascii="Arial" w:eastAsia="Arial" w:hAnsi="Arial" w:cs="Arial"/>
          <w:color w:val="333333"/>
          <w:sz w:val="24"/>
        </w:rPr>
        <w:t xml:space="preserve">  </w:t>
      </w:r>
    </w:p>
    <w:p w:rsidR="004375F8" w:rsidRDefault="00D61AAE">
      <w:pPr>
        <w:spacing w:after="140" w:line="250" w:lineRule="auto"/>
        <w:ind w:left="475" w:hanging="10"/>
      </w:pPr>
      <w:r>
        <w:rPr>
          <w:rFonts w:ascii="Arial" w:eastAsia="Arial" w:hAnsi="Arial" w:cs="Arial"/>
          <w:color w:val="333333"/>
          <w:sz w:val="24"/>
        </w:rPr>
        <w:t xml:space="preserve">            Even though men and women are creat</w:t>
      </w:r>
      <w:r>
        <w:rPr>
          <w:rFonts w:ascii="Arial" w:eastAsia="Arial" w:hAnsi="Arial" w:cs="Arial"/>
          <w:color w:val="333333"/>
          <w:sz w:val="24"/>
        </w:rPr>
        <w:t>ed in God’s image, the entrance of sin into the world has had great and negative influences upon God’s creation, especially humans created in God’s image.  As a result of sin, the image of God, though not lost, is severely tarnished and marred.  The role o</w:t>
      </w:r>
      <w:r>
        <w:rPr>
          <w:rFonts w:ascii="Arial" w:eastAsia="Arial" w:hAnsi="Arial" w:cs="Arial"/>
          <w:color w:val="333333"/>
          <w:sz w:val="24"/>
        </w:rPr>
        <w:t>f exercising dominion (see Gen. 1:28) has been drastically limited by the effects of sin on humans and the course of nature.  The ability to live in right relationship with God, with others, with nature, and with our very own selves has been corrupted.  Ul</w:t>
      </w:r>
      <w:r>
        <w:rPr>
          <w:rFonts w:ascii="Arial" w:eastAsia="Arial" w:hAnsi="Arial" w:cs="Arial"/>
          <w:color w:val="333333"/>
          <w:sz w:val="24"/>
        </w:rPr>
        <w:t>timately all are spiritually dead and alienated from God (see Eph. 2:1-3).  This does not mean that we are all as bad as we can be, but that not any of us are as good as we should be.  We are therefore unable to reflect properly the divine image and likene</w:t>
      </w:r>
      <w:r>
        <w:rPr>
          <w:rFonts w:ascii="Arial" w:eastAsia="Arial" w:hAnsi="Arial" w:cs="Arial"/>
          <w:color w:val="333333"/>
          <w:sz w:val="24"/>
        </w:rPr>
        <w:t xml:space="preserve">ss (see Rom. 1:18-32).  </w:t>
      </w:r>
    </w:p>
    <w:p w:rsidR="004375F8" w:rsidRDefault="00D61AAE">
      <w:pPr>
        <w:spacing w:after="140" w:line="250" w:lineRule="auto"/>
        <w:ind w:left="475" w:hanging="10"/>
      </w:pPr>
      <w:r>
        <w:rPr>
          <w:rFonts w:ascii="Arial" w:eastAsia="Arial" w:hAnsi="Arial" w:cs="Arial"/>
          <w:color w:val="333333"/>
          <w:sz w:val="24"/>
        </w:rPr>
        <w:t xml:space="preserve">            It is important to see that the fall into sin (see Gen. 3) was not just a moral lapse, but a deliberate turning away from God and rejection of Him.  </w:t>
      </w:r>
      <w:r>
        <w:rPr>
          <w:rFonts w:ascii="Arial" w:eastAsia="Arial" w:hAnsi="Arial" w:cs="Arial"/>
          <w:color w:val="333333"/>
          <w:sz w:val="24"/>
        </w:rPr>
        <w:t>The day that Adam and Eve disobeyed God they died spiritually, which ultimately brought physical death (see Gen. 2:17).  Sin’s entrance has brought about a sinful nature in all humanity.  Therefore men and women are not simply sinners because they sin, but</w:t>
      </w:r>
      <w:r>
        <w:rPr>
          <w:rFonts w:ascii="Arial" w:eastAsia="Arial" w:hAnsi="Arial" w:cs="Arial"/>
          <w:color w:val="333333"/>
          <w:sz w:val="24"/>
        </w:rPr>
        <w:t xml:space="preserve"> they sin because they are sinners.  People thus think and act in accord with their fallen natures.  </w:t>
      </w:r>
    </w:p>
    <w:p w:rsidR="004375F8" w:rsidRDefault="00D61AAE">
      <w:pPr>
        <w:spacing w:after="27" w:line="250" w:lineRule="auto"/>
        <w:ind w:left="475" w:hanging="10"/>
      </w:pPr>
      <w:r>
        <w:rPr>
          <w:rFonts w:ascii="Arial" w:eastAsia="Arial" w:hAnsi="Arial" w:cs="Arial"/>
          <w:color w:val="333333"/>
          <w:sz w:val="24"/>
        </w:rPr>
        <w:t xml:space="preserve">            This idea is most significant when reflecting upon our relationship to </w:t>
      </w:r>
    </w:p>
    <w:p w:rsidR="004375F8" w:rsidRDefault="00D61AAE">
      <w:pPr>
        <w:spacing w:after="140" w:line="250" w:lineRule="auto"/>
        <w:ind w:left="475" w:hanging="10"/>
      </w:pPr>
      <w:r>
        <w:rPr>
          <w:rFonts w:ascii="Arial" w:eastAsia="Arial" w:hAnsi="Arial" w:cs="Arial"/>
          <w:color w:val="333333"/>
          <w:sz w:val="24"/>
        </w:rPr>
        <w:t>God.  Because of the entrance of sin into the world and our inheritanc</w:t>
      </w:r>
      <w:r>
        <w:rPr>
          <w:rFonts w:ascii="Arial" w:eastAsia="Arial" w:hAnsi="Arial" w:cs="Arial"/>
          <w:color w:val="333333"/>
          <w:sz w:val="24"/>
        </w:rPr>
        <w:t xml:space="preserve">e of Adam’s sinful nature (see Rom. 5:12-19), we are by nature hostile to God and estranged from Him (see Rom. 8:7; Eph. 2:1-3).  We have wills that do not obey God, eyes that do not see, and ears that do not hear because spiritually we are dead to God.  </w:t>
      </w:r>
    </w:p>
    <w:p w:rsidR="004375F8" w:rsidRDefault="00D61AAE">
      <w:pPr>
        <w:spacing w:after="140" w:line="250" w:lineRule="auto"/>
        <w:ind w:left="475" w:hanging="10"/>
      </w:pPr>
      <w:r>
        <w:rPr>
          <w:rFonts w:ascii="Arial" w:eastAsia="Arial" w:hAnsi="Arial" w:cs="Arial"/>
          <w:color w:val="333333"/>
          <w:sz w:val="24"/>
        </w:rPr>
        <w:t xml:space="preserve">            While we function as free moral agents with a free will, our decisions and actions are always affected by sin.  In seeking to understand what has gone wrong with the world, we recognize that human choices are negatively influenced by sin.  In r</w:t>
      </w:r>
      <w:r>
        <w:rPr>
          <w:rFonts w:ascii="Arial" w:eastAsia="Arial" w:hAnsi="Arial" w:cs="Arial"/>
          <w:color w:val="333333"/>
          <w:sz w:val="24"/>
        </w:rPr>
        <w:t xml:space="preserve">egard to our relationship with God, we do not genuinely repent or turn to God without divine enablement because we are by nature hostile to God.  </w:t>
      </w:r>
    </w:p>
    <w:p w:rsidR="004375F8" w:rsidRDefault="00D61AAE">
      <w:pPr>
        <w:spacing w:after="140" w:line="250" w:lineRule="auto"/>
        <w:ind w:left="475" w:hanging="10"/>
      </w:pPr>
      <w:r>
        <w:rPr>
          <w:rFonts w:ascii="Arial" w:eastAsia="Arial" w:hAnsi="Arial" w:cs="Arial"/>
          <w:color w:val="333333"/>
          <w:sz w:val="24"/>
        </w:rPr>
        <w:t xml:space="preserve">            Any articulation of a Christian worldview must wrestle with the problem of sin.  The result of si</w:t>
      </w:r>
      <w:r>
        <w:rPr>
          <w:rFonts w:ascii="Arial" w:eastAsia="Arial" w:hAnsi="Arial" w:cs="Arial"/>
          <w:color w:val="333333"/>
          <w:sz w:val="24"/>
        </w:rPr>
        <w:t xml:space="preserve">n (what theologians call depravity) refers to the fact that all aspects of our being, including our thinking and emotions, are negatively influenced.  People still do </w:t>
      </w:r>
      <w:r>
        <w:rPr>
          <w:rFonts w:ascii="Arial" w:eastAsia="Arial" w:hAnsi="Arial" w:cs="Arial"/>
          <w:color w:val="333333"/>
          <w:sz w:val="24"/>
        </w:rPr>
        <w:lastRenderedPageBreak/>
        <w:t>right and good things as viewed by society, but these thoughts and actions, no matter how</w:t>
      </w:r>
      <w:r>
        <w:rPr>
          <w:rFonts w:ascii="Arial" w:eastAsia="Arial" w:hAnsi="Arial" w:cs="Arial"/>
          <w:color w:val="333333"/>
          <w:sz w:val="24"/>
        </w:rPr>
        <w:t xml:space="preserve"> noble or benevolent, fall short of God’s glory (Rom. 3:23).  We can affirm that people choose to do </w:t>
      </w:r>
      <w:proofErr w:type="gramStart"/>
      <w:r>
        <w:rPr>
          <w:rFonts w:ascii="Arial" w:eastAsia="Arial" w:hAnsi="Arial" w:cs="Arial"/>
          <w:color w:val="333333"/>
          <w:sz w:val="24"/>
        </w:rPr>
        <w:t>good</w:t>
      </w:r>
      <w:proofErr w:type="gramEnd"/>
      <w:r>
        <w:rPr>
          <w:rFonts w:ascii="Arial" w:eastAsia="Arial" w:hAnsi="Arial" w:cs="Arial"/>
          <w:color w:val="333333"/>
          <w:sz w:val="24"/>
        </w:rPr>
        <w:t xml:space="preserve">, but a Christian worldview helps us distinguish between the good and the ultimate good, which is the goal of pleasing God.  </w:t>
      </w:r>
    </w:p>
    <w:p w:rsidR="004375F8" w:rsidRDefault="00D61AAE">
      <w:pPr>
        <w:spacing w:after="274" w:line="250" w:lineRule="auto"/>
        <w:ind w:left="475" w:hanging="10"/>
      </w:pPr>
      <w:r>
        <w:rPr>
          <w:rFonts w:ascii="Arial" w:eastAsia="Arial" w:hAnsi="Arial" w:cs="Arial"/>
          <w:color w:val="333333"/>
          <w:sz w:val="24"/>
        </w:rPr>
        <w:t xml:space="preserve">            Answering the</w:t>
      </w:r>
      <w:r>
        <w:rPr>
          <w:rFonts w:ascii="Arial" w:eastAsia="Arial" w:hAnsi="Arial" w:cs="Arial"/>
          <w:color w:val="333333"/>
          <w:sz w:val="24"/>
        </w:rPr>
        <w:t xml:space="preserve"> question about what has gone wrong in the way we have does not mean all are totally corrupt.  Factors such as environment, emotional makeup, heritage, and the continuing effect of our having been created in the image of God, influence or limit the degree </w:t>
      </w:r>
      <w:r>
        <w:rPr>
          <w:rFonts w:ascii="Arial" w:eastAsia="Arial" w:hAnsi="Arial" w:cs="Arial"/>
          <w:color w:val="333333"/>
          <w:sz w:val="24"/>
        </w:rPr>
        <w:t>of our corruption.  Yet, a Christian worldview recognizes that all types of immoral actions, whether lying, murder, adultery, seeking after power, homosexuality, pride, or our failure to love one another, are related to our alienation from God.  All in thi</w:t>
      </w:r>
      <w:r>
        <w:rPr>
          <w:rFonts w:ascii="Arial" w:eastAsia="Arial" w:hAnsi="Arial" w:cs="Arial"/>
          <w:color w:val="333333"/>
          <w:sz w:val="24"/>
        </w:rPr>
        <w:t>s world are estranged from God.  The good news is that our sin was judged at the cross of Jesus Christ.  He has regained what was lost in Adam (Rom. 5:12-21).  The grace of God has provided restoration for believers and has brought about a right relationsh</w:t>
      </w:r>
      <w:r>
        <w:rPr>
          <w:rFonts w:ascii="Arial" w:eastAsia="Arial" w:hAnsi="Arial" w:cs="Arial"/>
          <w:color w:val="333333"/>
          <w:sz w:val="24"/>
        </w:rPr>
        <w:t xml:space="preserve">ip with God, with one another, with nature, and with ourselves.  </w:t>
      </w:r>
    </w:p>
    <w:p w:rsidR="004375F8" w:rsidRDefault="00D61AAE">
      <w:pPr>
        <w:spacing w:after="241"/>
        <w:ind w:left="480"/>
      </w:pPr>
      <w:r>
        <w:rPr>
          <w:rFonts w:ascii="Times New Roman" w:eastAsia="Times New Roman" w:hAnsi="Times New Roman" w:cs="Times New Roman"/>
          <w:sz w:val="27"/>
        </w:rPr>
        <w:t xml:space="preserve"> </w:t>
      </w:r>
    </w:p>
    <w:p w:rsidR="004375F8" w:rsidRDefault="00D61AAE">
      <w:pPr>
        <w:spacing w:after="271" w:line="248" w:lineRule="auto"/>
        <w:ind w:left="475" w:right="479" w:hanging="10"/>
      </w:pPr>
      <w:r>
        <w:rPr>
          <w:rFonts w:ascii="Times New Roman" w:eastAsia="Times New Roman" w:hAnsi="Times New Roman" w:cs="Times New Roman"/>
          <w:color w:val="1A1A1A"/>
          <w:sz w:val="24"/>
        </w:rPr>
        <w:t>It is generally agreed that most rationalists claim that there are significant ways in which our concepts and knowledge are gained independently of sense experience. To be a rationalist, h</w:t>
      </w:r>
      <w:r>
        <w:rPr>
          <w:rFonts w:ascii="Times New Roman" w:eastAsia="Times New Roman" w:hAnsi="Times New Roman" w:cs="Times New Roman"/>
          <w:color w:val="1A1A1A"/>
          <w:sz w:val="24"/>
        </w:rPr>
        <w:t xml:space="preserve">owever, does not require one to claim that our knowledge is acquired independently of </w:t>
      </w:r>
      <w:r>
        <w:rPr>
          <w:rFonts w:ascii="Times New Roman" w:eastAsia="Times New Roman" w:hAnsi="Times New Roman" w:cs="Times New Roman"/>
          <w:i/>
          <w:color w:val="1A1A1A"/>
          <w:sz w:val="24"/>
        </w:rPr>
        <w:t>any</w:t>
      </w:r>
      <w:r>
        <w:rPr>
          <w:rFonts w:ascii="Times New Roman" w:eastAsia="Times New Roman" w:hAnsi="Times New Roman" w:cs="Times New Roman"/>
          <w:color w:val="1A1A1A"/>
          <w:sz w:val="24"/>
        </w:rPr>
        <w:t xml:space="preserve"> experience: at its core, the Cartesian </w:t>
      </w:r>
      <w:proofErr w:type="spellStart"/>
      <w:r>
        <w:rPr>
          <w:rFonts w:ascii="Times New Roman" w:eastAsia="Times New Roman" w:hAnsi="Times New Roman" w:cs="Times New Roman"/>
          <w:i/>
          <w:color w:val="1A1A1A"/>
          <w:sz w:val="24"/>
        </w:rPr>
        <w:t>Cogit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color w:val="1A1A1A"/>
          <w:sz w:val="24"/>
        </w:rPr>
        <w:t xml:space="preserve">Publication Manual of the American Psychological Association (7th ed.), Table 2.3 shows how </w:t>
      </w:r>
    </w:p>
    <w:p w:rsidR="004375F8" w:rsidRDefault="00D61AAE">
      <w:pPr>
        <w:spacing w:after="141" w:line="248" w:lineRule="auto"/>
        <w:ind w:left="475" w:hanging="10"/>
      </w:pPr>
      <w:r>
        <w:rPr>
          <w:rFonts w:ascii="Times New Roman" w:eastAsia="Times New Roman" w:hAnsi="Times New Roman" w:cs="Times New Roman"/>
          <w:color w:val="1A1A1A"/>
          <w:sz w:val="24"/>
        </w:rPr>
        <w:t>Rationalists generally develop their view in two steps. First, they argue that there are cases where the content of our concepts or knowledge outstrips the information that sense experience can provide. Second, they construct accounts of how reason, in som</w:t>
      </w:r>
      <w:r>
        <w:rPr>
          <w:rFonts w:ascii="Times New Roman" w:eastAsia="Times New Roman" w:hAnsi="Times New Roman" w:cs="Times New Roman"/>
          <w:color w:val="1A1A1A"/>
          <w:sz w:val="24"/>
        </w:rPr>
        <w:t xml:space="preserve">e form or other, provides that additional information about the external world. </w:t>
      </w:r>
    </w:p>
    <w:p w:rsidR="004375F8" w:rsidRDefault="00D61AAE">
      <w:pPr>
        <w:spacing w:after="141" w:line="248" w:lineRule="auto"/>
        <w:ind w:left="475" w:hanging="10"/>
      </w:pPr>
      <w:r>
        <w:rPr>
          <w:rFonts w:ascii="Times New Roman" w:eastAsia="Times New Roman" w:hAnsi="Times New Roman" w:cs="Times New Roman"/>
          <w:color w:val="1A1A1A"/>
          <w:sz w:val="24"/>
        </w:rPr>
        <w:t>Most empiricists present complementary lines of thought. First, they develop accounts of how experience alone -- sense experience, reflective experience, or a combination of t</w:t>
      </w:r>
      <w:r>
        <w:rPr>
          <w:rFonts w:ascii="Times New Roman" w:eastAsia="Times New Roman" w:hAnsi="Times New Roman" w:cs="Times New Roman"/>
          <w:color w:val="1A1A1A"/>
          <w:sz w:val="24"/>
        </w:rPr>
        <w:t>he two -- provides the information that rationalists cite, insofar as we have it in the first place. Second, while empiricists attack the rationalists’ accounts of how reason is a primary source of concepts or knowledge, they show that reflective understan</w:t>
      </w:r>
      <w:r>
        <w:rPr>
          <w:rFonts w:ascii="Times New Roman" w:eastAsia="Times New Roman" w:hAnsi="Times New Roman" w:cs="Times New Roman"/>
          <w:color w:val="1A1A1A"/>
          <w:sz w:val="24"/>
        </w:rPr>
        <w:t xml:space="preserve">ding can and usually does supply some of the missing links (famously, Locke believed that our idea of substance, in general, is a composite idea, incorporating elements derived from both sensation and reflection, e.g. </w:t>
      </w:r>
      <w:r>
        <w:rPr>
          <w:rFonts w:ascii="Times New Roman" w:eastAsia="Times New Roman" w:hAnsi="Times New Roman" w:cs="Times New Roman"/>
          <w:i/>
          <w:color w:val="1A1A1A"/>
          <w:sz w:val="24"/>
        </w:rPr>
        <w:t>Essay,</w:t>
      </w:r>
      <w:r>
        <w:rPr>
          <w:rFonts w:ascii="Times New Roman" w:eastAsia="Times New Roman" w:hAnsi="Times New Roman" w:cs="Times New Roman"/>
          <w:color w:val="1A1A1A"/>
          <w:sz w:val="24"/>
        </w:rPr>
        <w:t xml:space="preserve"> 2.23.2). </w:t>
      </w:r>
    </w:p>
    <w:p w:rsidR="004375F8" w:rsidRDefault="00D61AAE">
      <w:pPr>
        <w:spacing w:after="264" w:line="248" w:lineRule="auto"/>
        <w:ind w:left="475" w:hanging="10"/>
      </w:pPr>
      <w:r>
        <w:rPr>
          <w:rFonts w:ascii="Times New Roman" w:eastAsia="Times New Roman" w:hAnsi="Times New Roman" w:cs="Times New Roman"/>
          <w:color w:val="1A1A1A"/>
          <w:sz w:val="25"/>
        </w:rPr>
        <w:t>The distinction betwe</w:t>
      </w:r>
      <w:r>
        <w:rPr>
          <w:rFonts w:ascii="Times New Roman" w:eastAsia="Times New Roman" w:hAnsi="Times New Roman" w:cs="Times New Roman"/>
          <w:color w:val="1A1A1A"/>
          <w:sz w:val="25"/>
        </w:rPr>
        <w:t>en rationalism and empiricism is not without problems. One of the main issues is that almost no author falls neatly into one camp or another: it has been argued that Descartes, for instance, who is commonly regarded as a representative rationalist (at leas</w:t>
      </w:r>
      <w:r>
        <w:rPr>
          <w:rFonts w:ascii="Times New Roman" w:eastAsia="Times New Roman" w:hAnsi="Times New Roman" w:cs="Times New Roman"/>
          <w:color w:val="1A1A1A"/>
          <w:sz w:val="25"/>
        </w:rPr>
        <w:t>t with regard to metaphysics), had clear empiricist leanings (primarily with regard to natural philosophy, where sense experience plays a crucial role, according to Clarke 1982). Conversely, Locke, who is thought to be a paradigmatic empiricist, argued tha</w:t>
      </w:r>
      <w:r>
        <w:rPr>
          <w:rFonts w:ascii="Times New Roman" w:eastAsia="Times New Roman" w:hAnsi="Times New Roman" w:cs="Times New Roman"/>
          <w:color w:val="1A1A1A"/>
          <w:sz w:val="25"/>
        </w:rPr>
        <w:t>t reason is on equal footing with experience, when it comes to the knowledge of certain things, most famously of moral truths (</w:t>
      </w:r>
      <w:r>
        <w:rPr>
          <w:rFonts w:ascii="Times New Roman" w:eastAsia="Times New Roman" w:hAnsi="Times New Roman" w:cs="Times New Roman"/>
          <w:i/>
          <w:color w:val="1A1A1A"/>
          <w:sz w:val="25"/>
        </w:rPr>
        <w:t xml:space="preserve">Essay, </w:t>
      </w:r>
      <w:r>
        <w:rPr>
          <w:rFonts w:ascii="Times New Roman" w:eastAsia="Times New Roman" w:hAnsi="Times New Roman" w:cs="Times New Roman"/>
          <w:color w:val="1A1A1A"/>
          <w:sz w:val="25"/>
        </w:rPr>
        <w:t xml:space="preserve">4.3.18). In what follows, we clarify what this distinction has </w:t>
      </w:r>
      <w:r>
        <w:rPr>
          <w:rFonts w:ascii="Times New Roman" w:eastAsia="Times New Roman" w:hAnsi="Times New Roman" w:cs="Times New Roman"/>
          <w:color w:val="1A1A1A"/>
          <w:sz w:val="25"/>
        </w:rPr>
        <w:lastRenderedPageBreak/>
        <w:t xml:space="preserve">traditionally been taken to apply to, as well as point out </w:t>
      </w:r>
      <w:proofErr w:type="gramStart"/>
      <w:r>
        <w:rPr>
          <w:rFonts w:ascii="Times New Roman" w:eastAsia="Times New Roman" w:hAnsi="Times New Roman" w:cs="Times New Roman"/>
          <w:color w:val="1A1A1A"/>
          <w:sz w:val="25"/>
        </w:rPr>
        <w:t>its</w:t>
      </w:r>
      <w:proofErr w:type="gramEnd"/>
      <w:r>
        <w:rPr>
          <w:rFonts w:ascii="Times New Roman" w:eastAsia="Times New Roman" w:hAnsi="Times New Roman" w:cs="Times New Roman"/>
          <w:color w:val="1A1A1A"/>
          <w:sz w:val="25"/>
        </w:rPr>
        <w:t xml:space="preserve"> (by now) widely-recognized shortcomings. </w:t>
      </w:r>
    </w:p>
    <w:p w:rsidR="004375F8" w:rsidRDefault="00D61AAE">
      <w:pPr>
        <w:spacing w:after="113"/>
        <w:ind w:left="480"/>
      </w:pPr>
      <w:r>
        <w:rPr>
          <w:rFonts w:ascii="Times New Roman" w:eastAsia="Times New Roman" w:hAnsi="Times New Roman" w:cs="Times New Roman"/>
          <w:sz w:val="38"/>
        </w:rPr>
        <w:t xml:space="preserve"> </w:t>
      </w:r>
    </w:p>
    <w:p w:rsidR="004375F8" w:rsidRDefault="00D61AAE">
      <w:pPr>
        <w:pStyle w:val="Heading1"/>
        <w:ind w:left="480" w:firstLine="0"/>
      </w:pPr>
      <w:r>
        <w:rPr>
          <w:b w:val="0"/>
          <w:sz w:val="38"/>
        </w:rPr>
        <w:t xml:space="preserve">Rationalism </w:t>
      </w:r>
    </w:p>
    <w:p w:rsidR="004375F8" w:rsidRDefault="00D61AAE">
      <w:pPr>
        <w:spacing w:after="145" w:line="248" w:lineRule="auto"/>
        <w:ind w:left="475" w:hanging="10"/>
      </w:pPr>
      <w:r>
        <w:rPr>
          <w:rFonts w:ascii="Times New Roman" w:eastAsia="Times New Roman" w:hAnsi="Times New Roman" w:cs="Times New Roman"/>
          <w:color w:val="1A1A1A"/>
          <w:sz w:val="25"/>
        </w:rPr>
        <w:t xml:space="preserve">The Intuition/Deduction thesis, the Innate Knowledge thesis, and the Innate Concept thesis are essential to rationalism. Since the Intuition/Deduction thesis is equally important to empiricism, the focus in what follows will be on the other two theses. To </w:t>
      </w:r>
      <w:r>
        <w:rPr>
          <w:rFonts w:ascii="Times New Roman" w:eastAsia="Times New Roman" w:hAnsi="Times New Roman" w:cs="Times New Roman"/>
          <w:color w:val="1A1A1A"/>
          <w:sz w:val="25"/>
        </w:rPr>
        <w:t xml:space="preserve">be a rationalist is to adopt at least one of them: either the Innate Knowledge thesis, regarding our presumed propositional innate knowledge, or the Innate Concept thesis, regarding our supposed innate knowledge of concepts. </w:t>
      </w:r>
    </w:p>
    <w:p w:rsidR="004375F8" w:rsidRDefault="00D61AAE">
      <w:pPr>
        <w:spacing w:after="145" w:line="248" w:lineRule="auto"/>
        <w:ind w:left="475" w:hanging="10"/>
      </w:pPr>
      <w:r>
        <w:rPr>
          <w:rFonts w:ascii="Times New Roman" w:eastAsia="Times New Roman" w:hAnsi="Times New Roman" w:cs="Times New Roman"/>
          <w:color w:val="1A1A1A"/>
          <w:sz w:val="25"/>
        </w:rPr>
        <w:t>Rationalists vary the strength</w:t>
      </w:r>
      <w:r>
        <w:rPr>
          <w:rFonts w:ascii="Times New Roman" w:eastAsia="Times New Roman" w:hAnsi="Times New Roman" w:cs="Times New Roman"/>
          <w:color w:val="1A1A1A"/>
          <w:sz w:val="25"/>
        </w:rPr>
        <w:t xml:space="preserve"> of their view by adjusting their understanding of warrant. Some take warranted beliefs to be beyond even the slightest doubt and claim that intuition provide beliefs of this high epistemic status. Others interpret warrant more conservatively, say as belie</w:t>
      </w:r>
      <w:r>
        <w:rPr>
          <w:rFonts w:ascii="Times New Roman" w:eastAsia="Times New Roman" w:hAnsi="Times New Roman" w:cs="Times New Roman"/>
          <w:color w:val="1A1A1A"/>
          <w:sz w:val="25"/>
        </w:rPr>
        <w:t>f beyond a reasonable doubt, and claim that intuition provide beliefs of that caliber. Still another dimension of rationalism depends on how its proponents understand the connection between intuition, on the one hand, and truth, on the other. Some take int</w:t>
      </w:r>
      <w:r>
        <w:rPr>
          <w:rFonts w:ascii="Times New Roman" w:eastAsia="Times New Roman" w:hAnsi="Times New Roman" w:cs="Times New Roman"/>
          <w:color w:val="1A1A1A"/>
          <w:sz w:val="25"/>
        </w:rPr>
        <w:t xml:space="preserve">uition to be infallible, claiming that whatever we intuit must be true. Others allow for the possibility of false intuited propositions. </w:t>
      </w:r>
    </w:p>
    <w:p w:rsidR="004375F8" w:rsidRDefault="00D61AAE">
      <w:pPr>
        <w:spacing w:after="145" w:line="248" w:lineRule="auto"/>
        <w:ind w:left="475" w:hanging="10"/>
      </w:pPr>
      <w:r>
        <w:rPr>
          <w:rFonts w:ascii="Times New Roman" w:eastAsia="Times New Roman" w:hAnsi="Times New Roman" w:cs="Times New Roman"/>
          <w:color w:val="1A1A1A"/>
          <w:sz w:val="25"/>
        </w:rPr>
        <w:t>Two other closely related theses are generally adopted by rationalists, although one can certainly be a rationalist wi</w:t>
      </w:r>
      <w:r>
        <w:rPr>
          <w:rFonts w:ascii="Times New Roman" w:eastAsia="Times New Roman" w:hAnsi="Times New Roman" w:cs="Times New Roman"/>
          <w:color w:val="1A1A1A"/>
          <w:sz w:val="25"/>
        </w:rPr>
        <w:t xml:space="preserve">thout adopting either of them. The first is that sense experience cannot provide what we gain from reason. </w:t>
      </w:r>
    </w:p>
    <w:p w:rsidR="004375F8" w:rsidRDefault="00D61AAE">
      <w:pPr>
        <w:spacing w:after="145" w:line="248" w:lineRule="auto"/>
        <w:ind w:left="475" w:hanging="10"/>
      </w:pPr>
      <w:r>
        <w:rPr>
          <w:rFonts w:ascii="Times New Roman" w:eastAsia="Times New Roman" w:hAnsi="Times New Roman" w:cs="Times New Roman"/>
          <w:i/>
          <w:color w:val="1A1A1A"/>
          <w:sz w:val="25"/>
        </w:rPr>
        <w:t>The Indispensability of Reason Thesis</w:t>
      </w:r>
      <w:r>
        <w:rPr>
          <w:rFonts w:ascii="Times New Roman" w:eastAsia="Times New Roman" w:hAnsi="Times New Roman" w:cs="Times New Roman"/>
          <w:color w:val="1A1A1A"/>
          <w:sz w:val="25"/>
        </w:rPr>
        <w:t>: The knowledge we gain in subject area, S, by intuition and deduction, as well as the ideas and instances of k</w:t>
      </w:r>
      <w:r>
        <w:rPr>
          <w:rFonts w:ascii="Times New Roman" w:eastAsia="Times New Roman" w:hAnsi="Times New Roman" w:cs="Times New Roman"/>
          <w:color w:val="1A1A1A"/>
          <w:sz w:val="25"/>
        </w:rPr>
        <w:t xml:space="preserve">nowledge in S that are innate to us, could not have been gained by us through sense experience. </w:t>
      </w:r>
    </w:p>
    <w:p w:rsidR="004375F8" w:rsidRDefault="00D61AAE">
      <w:pPr>
        <w:spacing w:after="145" w:line="248" w:lineRule="auto"/>
        <w:ind w:left="475" w:hanging="10"/>
      </w:pPr>
      <w:r>
        <w:rPr>
          <w:rFonts w:ascii="Times New Roman" w:eastAsia="Times New Roman" w:hAnsi="Times New Roman" w:cs="Times New Roman"/>
          <w:color w:val="1A1A1A"/>
          <w:sz w:val="25"/>
        </w:rPr>
        <w:t xml:space="preserve">The second is that reason is superior to sense experience as a source of knowledge. </w:t>
      </w:r>
    </w:p>
    <w:p w:rsidR="004375F8" w:rsidRDefault="00D61AAE">
      <w:pPr>
        <w:spacing w:after="145" w:line="248" w:lineRule="auto"/>
        <w:ind w:left="475" w:hanging="10"/>
      </w:pPr>
      <w:r>
        <w:rPr>
          <w:rFonts w:ascii="Times New Roman" w:eastAsia="Times New Roman" w:hAnsi="Times New Roman" w:cs="Times New Roman"/>
          <w:i/>
          <w:color w:val="1A1A1A"/>
          <w:sz w:val="25"/>
        </w:rPr>
        <w:t>The Superiority of Reason Thesis</w:t>
      </w:r>
      <w:r>
        <w:rPr>
          <w:rFonts w:ascii="Times New Roman" w:eastAsia="Times New Roman" w:hAnsi="Times New Roman" w:cs="Times New Roman"/>
          <w:color w:val="1A1A1A"/>
          <w:sz w:val="25"/>
        </w:rPr>
        <w:t xml:space="preserve">: The knowledge we gain in subject area S </w:t>
      </w:r>
      <w:r>
        <w:rPr>
          <w:rFonts w:ascii="Times New Roman" w:eastAsia="Times New Roman" w:hAnsi="Times New Roman" w:cs="Times New Roman"/>
          <w:color w:val="1A1A1A"/>
          <w:sz w:val="25"/>
        </w:rPr>
        <w:t xml:space="preserve">by intuition and deduction or have innately is superior to any knowledge gained by sense experience. </w:t>
      </w:r>
    </w:p>
    <w:p w:rsidR="004375F8" w:rsidRDefault="00D61AAE">
      <w:pPr>
        <w:spacing w:after="134"/>
        <w:ind w:left="480"/>
      </w:pPr>
      <w:r>
        <w:rPr>
          <w:rFonts w:ascii="Times New Roman" w:eastAsia="Times New Roman" w:hAnsi="Times New Roman" w:cs="Times New Roman"/>
          <w:color w:val="1A1A1A"/>
          <w:sz w:val="25"/>
        </w:rPr>
        <w:t xml:space="preserve"> </w:t>
      </w:r>
    </w:p>
    <w:p w:rsidR="004375F8" w:rsidRDefault="00D61AAE">
      <w:pPr>
        <w:spacing w:after="145" w:line="248" w:lineRule="auto"/>
        <w:ind w:left="475" w:hanging="10"/>
      </w:pPr>
      <w:r>
        <w:rPr>
          <w:rFonts w:ascii="Times New Roman" w:eastAsia="Times New Roman" w:hAnsi="Times New Roman" w:cs="Times New Roman"/>
          <w:color w:val="1A1A1A"/>
          <w:sz w:val="25"/>
        </w:rPr>
        <w:t xml:space="preserve">However, some of the defining questions of general epistemology include the following. </w:t>
      </w:r>
    </w:p>
    <w:p w:rsidR="004375F8" w:rsidRDefault="00D61AAE">
      <w:pPr>
        <w:numPr>
          <w:ilvl w:val="0"/>
          <w:numId w:val="11"/>
        </w:numPr>
        <w:spacing w:after="145" w:line="248" w:lineRule="auto"/>
        <w:ind w:hanging="360"/>
      </w:pPr>
      <w:r>
        <w:rPr>
          <w:rFonts w:ascii="Times New Roman" w:eastAsia="Times New Roman" w:hAnsi="Times New Roman" w:cs="Times New Roman"/>
          <w:color w:val="1A1A1A"/>
          <w:sz w:val="25"/>
        </w:rPr>
        <w:t xml:space="preserve">What is the nature of propositional knowledge, knowledge that a </w:t>
      </w:r>
      <w:r>
        <w:rPr>
          <w:rFonts w:ascii="Times New Roman" w:eastAsia="Times New Roman" w:hAnsi="Times New Roman" w:cs="Times New Roman"/>
          <w:color w:val="1A1A1A"/>
          <w:sz w:val="25"/>
        </w:rPr>
        <w:t xml:space="preserve">particular proposition about the world, ourselves, morality, or beauty is true? </w:t>
      </w:r>
    </w:p>
    <w:p w:rsidR="004375F8" w:rsidRDefault="00D61AAE">
      <w:pPr>
        <w:spacing w:after="145" w:line="248" w:lineRule="auto"/>
        <w:ind w:left="1210" w:hanging="10"/>
      </w:pPr>
      <w:r>
        <w:rPr>
          <w:rFonts w:ascii="Times New Roman" w:eastAsia="Times New Roman" w:hAnsi="Times New Roman" w:cs="Times New Roman"/>
          <w:color w:val="1A1A1A"/>
          <w:sz w:val="25"/>
        </w:rPr>
        <w:t>To know a proposition, we must believe it and it must be true, but something more is required, something that distinguishes knowledge from a lucky guess. Let’s call this addit</w:t>
      </w:r>
      <w:r>
        <w:rPr>
          <w:rFonts w:ascii="Times New Roman" w:eastAsia="Times New Roman" w:hAnsi="Times New Roman" w:cs="Times New Roman"/>
          <w:color w:val="1A1A1A"/>
          <w:sz w:val="25"/>
        </w:rPr>
        <w:t xml:space="preserve">ional element ‘warrant’. A good deal of philosophical work has been invested in trying to determine the nature of warrant. </w:t>
      </w:r>
    </w:p>
    <w:p w:rsidR="004375F8" w:rsidRDefault="00D61AAE">
      <w:pPr>
        <w:numPr>
          <w:ilvl w:val="0"/>
          <w:numId w:val="11"/>
        </w:numPr>
        <w:spacing w:after="145" w:line="248" w:lineRule="auto"/>
        <w:ind w:hanging="360"/>
      </w:pPr>
      <w:r>
        <w:rPr>
          <w:rFonts w:ascii="Times New Roman" w:eastAsia="Times New Roman" w:hAnsi="Times New Roman" w:cs="Times New Roman"/>
          <w:color w:val="1A1A1A"/>
          <w:sz w:val="25"/>
        </w:rPr>
        <w:t xml:space="preserve">How can we gain knowledge? </w:t>
      </w:r>
    </w:p>
    <w:p w:rsidR="004375F8" w:rsidRDefault="00D61AAE">
      <w:pPr>
        <w:spacing w:after="145" w:line="248" w:lineRule="auto"/>
        <w:ind w:left="1210" w:hanging="10"/>
      </w:pPr>
      <w:r>
        <w:rPr>
          <w:rFonts w:ascii="Times New Roman" w:eastAsia="Times New Roman" w:hAnsi="Times New Roman" w:cs="Times New Roman"/>
          <w:color w:val="1A1A1A"/>
          <w:sz w:val="25"/>
        </w:rPr>
        <w:lastRenderedPageBreak/>
        <w:t>We can form true beliefs just by making lucky guesses. How to gain warranted beliefs is less clear. More</w:t>
      </w:r>
      <w:r>
        <w:rPr>
          <w:rFonts w:ascii="Times New Roman" w:eastAsia="Times New Roman" w:hAnsi="Times New Roman" w:cs="Times New Roman"/>
          <w:color w:val="1A1A1A"/>
          <w:sz w:val="25"/>
        </w:rPr>
        <w:t>over, to know the external world or anything about beauty, for instance, we must be able to think about the external world or about beauty, and it is unclear how we gain the concepts we use in thought or what assurance, if any, we have that the ways in whi</w:t>
      </w:r>
      <w:r>
        <w:rPr>
          <w:rFonts w:ascii="Times New Roman" w:eastAsia="Times New Roman" w:hAnsi="Times New Roman" w:cs="Times New Roman"/>
          <w:color w:val="1A1A1A"/>
          <w:sz w:val="25"/>
        </w:rPr>
        <w:t xml:space="preserve">ch we divide up the world using our concepts correspond to divisions that actually exist. </w:t>
      </w:r>
    </w:p>
    <w:p w:rsidR="004375F8" w:rsidRDefault="00D61AAE">
      <w:pPr>
        <w:numPr>
          <w:ilvl w:val="0"/>
          <w:numId w:val="11"/>
        </w:numPr>
        <w:spacing w:after="145" w:line="248" w:lineRule="auto"/>
        <w:ind w:hanging="360"/>
      </w:pPr>
      <w:r>
        <w:rPr>
          <w:rFonts w:ascii="Times New Roman" w:eastAsia="Times New Roman" w:hAnsi="Times New Roman" w:cs="Times New Roman"/>
          <w:color w:val="1A1A1A"/>
          <w:sz w:val="25"/>
        </w:rPr>
        <w:t xml:space="preserve">What are the limits of our knowledge? </w:t>
      </w:r>
    </w:p>
    <w:p w:rsidR="004375F8" w:rsidRDefault="00D61AAE">
      <w:pPr>
        <w:spacing w:after="145" w:line="248" w:lineRule="auto"/>
        <w:ind w:left="1210" w:hanging="10"/>
      </w:pPr>
      <w:r>
        <w:rPr>
          <w:rFonts w:ascii="Times New Roman" w:eastAsia="Times New Roman" w:hAnsi="Times New Roman" w:cs="Times New Roman"/>
          <w:color w:val="1A1A1A"/>
          <w:sz w:val="25"/>
        </w:rPr>
        <w:t>Some aspects of the external world, ourselves, or the moral and aesthetical values may be within the limits of our thought but</w:t>
      </w:r>
      <w:r>
        <w:rPr>
          <w:rFonts w:ascii="Times New Roman" w:eastAsia="Times New Roman" w:hAnsi="Times New Roman" w:cs="Times New Roman"/>
          <w:color w:val="1A1A1A"/>
          <w:sz w:val="25"/>
        </w:rPr>
        <w:t xml:space="preserve"> beyond the limits of our knowledge; faced with competing descriptions of them, we cannot know which description is true. Some aspects of the external world, ourselves, or the moral and aesthetical values may even be beyond the limits of our thought, so th</w:t>
      </w:r>
      <w:r>
        <w:rPr>
          <w:rFonts w:ascii="Times New Roman" w:eastAsia="Times New Roman" w:hAnsi="Times New Roman" w:cs="Times New Roman"/>
          <w:color w:val="1A1A1A"/>
          <w:sz w:val="25"/>
        </w:rPr>
        <w:t xml:space="preserve">at we cannot form intelligible descriptions of them, let alone know that a particular description is true. </w:t>
      </w:r>
    </w:p>
    <w:p w:rsidR="004375F8" w:rsidRDefault="00D61AAE">
      <w:pPr>
        <w:spacing w:after="145" w:line="248" w:lineRule="auto"/>
        <w:ind w:left="475" w:hanging="10"/>
      </w:pPr>
      <w:r>
        <w:rPr>
          <w:rFonts w:ascii="Times New Roman" w:eastAsia="Times New Roman" w:hAnsi="Times New Roman" w:cs="Times New Roman"/>
          <w:color w:val="1A1A1A"/>
          <w:sz w:val="25"/>
        </w:rPr>
        <w:t xml:space="preserve">The disagreement between rationalism and empiricism primarily concerns the second question, regarding the sources of our concepts and knowledge. In </w:t>
      </w:r>
      <w:r>
        <w:rPr>
          <w:rFonts w:ascii="Times New Roman" w:eastAsia="Times New Roman" w:hAnsi="Times New Roman" w:cs="Times New Roman"/>
          <w:color w:val="1A1A1A"/>
          <w:sz w:val="25"/>
        </w:rPr>
        <w:t xml:space="preserve">some instances, the disagreement on this topic results in conflicting responses to the other questions as well. The </w:t>
      </w:r>
      <w:proofErr w:type="spellStart"/>
      <w:r>
        <w:rPr>
          <w:rFonts w:ascii="Times New Roman" w:eastAsia="Times New Roman" w:hAnsi="Times New Roman" w:cs="Times New Roman"/>
          <w:color w:val="1A1A1A"/>
          <w:sz w:val="25"/>
        </w:rPr>
        <w:t>disagrement</w:t>
      </w:r>
      <w:proofErr w:type="spellEnd"/>
      <w:r>
        <w:rPr>
          <w:rFonts w:ascii="Times New Roman" w:eastAsia="Times New Roman" w:hAnsi="Times New Roman" w:cs="Times New Roman"/>
          <w:color w:val="1A1A1A"/>
          <w:sz w:val="25"/>
        </w:rPr>
        <w:t xml:space="preserve"> may extend to incorporate the nature of warrant or where the limits of our thought and knowledge are. Our focus here will be on </w:t>
      </w:r>
      <w:r>
        <w:rPr>
          <w:rFonts w:ascii="Times New Roman" w:eastAsia="Times New Roman" w:hAnsi="Times New Roman" w:cs="Times New Roman"/>
          <w:color w:val="1A1A1A"/>
          <w:sz w:val="25"/>
        </w:rPr>
        <w:t xml:space="preserve">the competing rationalist and empiricist responses to the second question. </w:t>
      </w:r>
    </w:p>
    <w:p w:rsidR="004375F8" w:rsidRDefault="00D61AAE">
      <w:pPr>
        <w:spacing w:after="117"/>
        <w:ind w:left="480"/>
      </w:pPr>
      <w:r>
        <w:rPr>
          <w:rFonts w:ascii="Times New Roman" w:eastAsia="Times New Roman" w:hAnsi="Times New Roman" w:cs="Times New Roman"/>
          <w:color w:val="1A1A1A"/>
          <w:sz w:val="25"/>
        </w:rPr>
        <w:t xml:space="preserve"> </w:t>
      </w:r>
    </w:p>
    <w:p w:rsidR="004375F8" w:rsidRDefault="00D61AAE">
      <w:pPr>
        <w:spacing w:after="138" w:line="250" w:lineRule="auto"/>
        <w:ind w:left="475" w:hanging="10"/>
      </w:pPr>
      <w:r>
        <w:rPr>
          <w:rFonts w:ascii="Times New Roman" w:eastAsia="Times New Roman" w:hAnsi="Times New Roman" w:cs="Times New Roman"/>
          <w:sz w:val="24"/>
        </w:rPr>
        <w:t xml:space="preserve">Many researchers have dedicated huge portions of their careers to investigating how people </w:t>
      </w:r>
      <w:proofErr w:type="gramStart"/>
      <w:r>
        <w:rPr>
          <w:rFonts w:ascii="Times New Roman" w:eastAsia="Times New Roman" w:hAnsi="Times New Roman" w:cs="Times New Roman"/>
          <w:sz w:val="24"/>
        </w:rPr>
        <w:t>learn</w:t>
      </w:r>
      <w:proofErr w:type="gramEnd"/>
      <w:r>
        <w:rPr>
          <w:rFonts w:ascii="Times New Roman" w:eastAsia="Times New Roman" w:hAnsi="Times New Roman" w:cs="Times New Roman"/>
          <w:sz w:val="24"/>
        </w:rPr>
        <w:t xml:space="preserve"> individually (Piaget, Skinner), as well as their placement within social arenas a</w:t>
      </w:r>
      <w:r>
        <w:rPr>
          <w:rFonts w:ascii="Times New Roman" w:eastAsia="Times New Roman" w:hAnsi="Times New Roman" w:cs="Times New Roman"/>
          <w:sz w:val="24"/>
        </w:rPr>
        <w:t>ffecting the knowledge construction processes (Vygotsky). Consequently, sociocultural theory, or social constructivism, is commonly seen as a popular pedagogical approach in contemporary education, allowing learners to interact with others to create opport</w:t>
      </w:r>
      <w:r>
        <w:rPr>
          <w:rFonts w:ascii="Times New Roman" w:eastAsia="Times New Roman" w:hAnsi="Times New Roman" w:cs="Times New Roman"/>
          <w:sz w:val="24"/>
        </w:rPr>
        <w:t xml:space="preserve">unities for </w:t>
      </w:r>
      <w:proofErr w:type="spellStart"/>
      <w:r>
        <w:rPr>
          <w:rFonts w:ascii="Times New Roman" w:eastAsia="Times New Roman" w:hAnsi="Times New Roman" w:cs="Times New Roman"/>
          <w:sz w:val="24"/>
        </w:rPr>
        <w:t>internalisation</w:t>
      </w:r>
      <w:proofErr w:type="spellEnd"/>
      <w:r>
        <w:rPr>
          <w:rFonts w:ascii="Times New Roman" w:eastAsia="Times New Roman" w:hAnsi="Times New Roman" w:cs="Times New Roman"/>
          <w:sz w:val="24"/>
        </w:rPr>
        <w:t>, reflection and knowledge construction. This is in direct contrast to traditional approaches to education whereby tutors attempt to verbally transfer their knowledge to the passive learner. As such, a myriad of research has focu</w:t>
      </w:r>
      <w:r>
        <w:rPr>
          <w:rFonts w:ascii="Times New Roman" w:eastAsia="Times New Roman" w:hAnsi="Times New Roman" w:cs="Times New Roman"/>
          <w:sz w:val="24"/>
        </w:rPr>
        <w:t>sed upon how one learns; what happens within group dynamics that encourages learning to take place; how higher education institutions can use these approaches to offer greater flexibility to learners; and how these approaches can be used to recruit from fu</w:t>
      </w:r>
      <w:r>
        <w:rPr>
          <w:rFonts w:ascii="Times New Roman" w:eastAsia="Times New Roman" w:hAnsi="Times New Roman" w:cs="Times New Roman"/>
          <w:sz w:val="24"/>
        </w:rPr>
        <w:t>rther afield (Many researchers have dedicated huge portions of their careers to investigating how people learn individually (Piaget, Skinner), as well as their placement within social arenas affecting the knowledge construction processes (Vygotsky). Conseq</w:t>
      </w:r>
      <w:r>
        <w:rPr>
          <w:rFonts w:ascii="Times New Roman" w:eastAsia="Times New Roman" w:hAnsi="Times New Roman" w:cs="Times New Roman"/>
          <w:sz w:val="24"/>
        </w:rPr>
        <w:t xml:space="preserve">uently, sociocultural theory, or social constructivism, is commonly seen as a popular pedagogical approach in contemporary education, allowing learners to interact with others to create opportunities for </w:t>
      </w:r>
      <w:proofErr w:type="spellStart"/>
      <w:r>
        <w:rPr>
          <w:rFonts w:ascii="Times New Roman" w:eastAsia="Times New Roman" w:hAnsi="Times New Roman" w:cs="Times New Roman"/>
          <w:sz w:val="24"/>
        </w:rPr>
        <w:t>internalisation</w:t>
      </w:r>
      <w:proofErr w:type="spellEnd"/>
      <w:r>
        <w:rPr>
          <w:rFonts w:ascii="Times New Roman" w:eastAsia="Times New Roman" w:hAnsi="Times New Roman" w:cs="Times New Roman"/>
          <w:sz w:val="24"/>
        </w:rPr>
        <w:t>, reflection and knowledge constructi</w:t>
      </w:r>
      <w:r>
        <w:rPr>
          <w:rFonts w:ascii="Times New Roman" w:eastAsia="Times New Roman" w:hAnsi="Times New Roman" w:cs="Times New Roman"/>
          <w:sz w:val="24"/>
        </w:rPr>
        <w:t>on. This is in direct contrast to traditional approaches to education whereby tutors attempt to verbally transfer their knowledge to the passive learner. As such, a myriad of research has focused upon how one learns; what happens within group dynamics that</w:t>
      </w:r>
      <w:r>
        <w:rPr>
          <w:rFonts w:ascii="Times New Roman" w:eastAsia="Times New Roman" w:hAnsi="Times New Roman" w:cs="Times New Roman"/>
          <w:sz w:val="24"/>
        </w:rPr>
        <w:t xml:space="preserve"> encourages learning to take place; how higher education institutions can use these approaches to offer greater flexibility to learners; and how these approaches can be used to recruit from further afield (cf. Piaget, 1967; Vygotsky, 1978; Biggs, 1996; </w:t>
      </w:r>
      <w:proofErr w:type="spellStart"/>
      <w:r>
        <w:rPr>
          <w:rFonts w:ascii="Times New Roman" w:eastAsia="Times New Roman" w:hAnsi="Times New Roman" w:cs="Times New Roman"/>
          <w:sz w:val="24"/>
        </w:rPr>
        <w:t>Hon</w:t>
      </w:r>
      <w:r>
        <w:rPr>
          <w:rFonts w:ascii="Times New Roman" w:eastAsia="Times New Roman" w:hAnsi="Times New Roman" w:cs="Times New Roman"/>
          <w:sz w:val="24"/>
        </w:rPr>
        <w:t>ebein</w:t>
      </w:r>
      <w:proofErr w:type="spellEnd"/>
      <w:r>
        <w:rPr>
          <w:rFonts w:ascii="Times New Roman" w:eastAsia="Times New Roman" w:hAnsi="Times New Roman" w:cs="Times New Roman"/>
          <w:sz w:val="24"/>
        </w:rPr>
        <w:t xml:space="preserve">, 1996; Duffy &amp; Cunningham, 1996; </w:t>
      </w:r>
      <w:proofErr w:type="spellStart"/>
      <w:r>
        <w:rPr>
          <w:rFonts w:ascii="Times New Roman" w:eastAsia="Times New Roman" w:hAnsi="Times New Roman" w:cs="Times New Roman"/>
          <w:sz w:val="24"/>
        </w:rPr>
        <w:lastRenderedPageBreak/>
        <w:t>Ehrich</w:t>
      </w:r>
      <w:proofErr w:type="spellEnd"/>
      <w:r>
        <w:rPr>
          <w:rFonts w:ascii="Times New Roman" w:eastAsia="Times New Roman" w:hAnsi="Times New Roman" w:cs="Times New Roman"/>
          <w:sz w:val="24"/>
        </w:rPr>
        <w:t xml:space="preserve">, 2006). Herein lies a pertinent question, namely: Do we continue to explore the possibility that theory informing contemporary education may be incomplete, or do we refocus our attention to aggregate and apply </w:t>
      </w:r>
      <w:r>
        <w:rPr>
          <w:rFonts w:ascii="Times New Roman" w:eastAsia="Times New Roman" w:hAnsi="Times New Roman" w:cs="Times New Roman"/>
          <w:sz w:val="24"/>
        </w:rPr>
        <w:t>specific conditions that have been previously identified through research, and ultimately lead us into a new age of constructivism? Fisher &amp; Baird (2005) agree that educators need to re-evaluate traditional pedagogical strategies and find ways to integrate</w:t>
      </w:r>
      <w:r>
        <w:rPr>
          <w:rFonts w:ascii="Times New Roman" w:eastAsia="Times New Roman" w:hAnsi="Times New Roman" w:cs="Times New Roman"/>
          <w:sz w:val="24"/>
        </w:rPr>
        <w:t xml:space="preserve"> curriculum, technology, community, and learning in a manner which supports student motivation, self-regulation and retention in virtual learning environments. (Fisher &amp; Baird, 2005, p. 89) We believe that ‘Mode Neutral’ is a positive step in this directio</w:t>
      </w:r>
      <w:r>
        <w:rPr>
          <w:rFonts w:ascii="Times New Roman" w:eastAsia="Times New Roman" w:hAnsi="Times New Roman" w:cs="Times New Roman"/>
          <w:sz w:val="24"/>
        </w:rPr>
        <w:t>n (Smith et al, 2008). Deep-rooted in social constructivist theories, it engages learners more readily by, amongst other things, promoting the message that absence during classroom sessions is acceptable, as students engage with the same rich material onli</w:t>
      </w:r>
      <w:r>
        <w:rPr>
          <w:rFonts w:ascii="Times New Roman" w:eastAsia="Times New Roman" w:hAnsi="Times New Roman" w:cs="Times New Roman"/>
          <w:sz w:val="24"/>
        </w:rPr>
        <w:t>ne through the virtual learning environment (VLE) as they would do in the classroom, therefore allowing students to interact with content, and indeed each other, through whatever means they prefer, require or professional commitments demand.. Herein lies a</w:t>
      </w:r>
      <w:r>
        <w:rPr>
          <w:rFonts w:ascii="Times New Roman" w:eastAsia="Times New Roman" w:hAnsi="Times New Roman" w:cs="Times New Roman"/>
          <w:sz w:val="24"/>
        </w:rPr>
        <w:t xml:space="preserve"> pertinent question, namely: Do we continue to explore the possibility that theory informing contemporary education may be incomplete, or do we refocus our attention to aggregate and apply specific conditions that have been previously identified through re</w:t>
      </w:r>
      <w:r>
        <w:rPr>
          <w:rFonts w:ascii="Times New Roman" w:eastAsia="Times New Roman" w:hAnsi="Times New Roman" w:cs="Times New Roman"/>
          <w:sz w:val="24"/>
        </w:rPr>
        <w:t xml:space="preserve">search, and ultimately lead us into a new age of constructivism? Fisher &amp; Baird (2005) agree that educators need to re-evaluate traditional pedagogical strategies and find ways to integrate curriculum, technology, community, and learning in a manner which </w:t>
      </w:r>
      <w:r>
        <w:rPr>
          <w:rFonts w:ascii="Times New Roman" w:eastAsia="Times New Roman" w:hAnsi="Times New Roman" w:cs="Times New Roman"/>
          <w:sz w:val="24"/>
        </w:rPr>
        <w:t>supports student motivation, self-regulation and retention in virtual learning environments. (Fisher &amp; Baird, 2005, p. 89) We believe that ‘Mode Neutral’ is a positive step in this direction (Smith et al, 2008). Deep-rooted in social constructivist theorie</w:t>
      </w:r>
      <w:r>
        <w:rPr>
          <w:rFonts w:ascii="Times New Roman" w:eastAsia="Times New Roman" w:hAnsi="Times New Roman" w:cs="Times New Roman"/>
          <w:sz w:val="24"/>
        </w:rPr>
        <w:t xml:space="preserve">s, it engages learners more readily by, amongst other things, promoting the message that absence during classroom sessions is acceptable, as students engage with the same rich material online through the virtual learning environment (VLE) as they would do </w:t>
      </w:r>
      <w:r>
        <w:rPr>
          <w:rFonts w:ascii="Times New Roman" w:eastAsia="Times New Roman" w:hAnsi="Times New Roman" w:cs="Times New Roman"/>
          <w:sz w:val="24"/>
        </w:rPr>
        <w:t>in the classroom, therefore allowing students to interact with content, and indeed each other, through whatever means they prefer, require or professional commitments demand.</w:t>
      </w:r>
      <w:r>
        <w:rPr>
          <w:rFonts w:ascii="Times New Roman" w:eastAsia="Times New Roman" w:hAnsi="Times New Roman" w:cs="Times New Roman"/>
          <w:color w:val="1A1A1A"/>
          <w:sz w:val="25"/>
        </w:rPr>
        <w:t xml:space="preserve"> </w:t>
      </w:r>
    </w:p>
    <w:p w:rsidR="004375F8" w:rsidRDefault="00D61AAE">
      <w:pPr>
        <w:spacing w:after="388"/>
        <w:ind w:left="480"/>
      </w:pPr>
      <w:r>
        <w:rPr>
          <w:rFonts w:ascii="Times New Roman" w:eastAsia="Times New Roman" w:hAnsi="Times New Roman" w:cs="Times New Roman"/>
          <w:color w:val="1A1A1A"/>
          <w:sz w:val="25"/>
        </w:rPr>
        <w:t xml:space="preserve"> </w:t>
      </w:r>
    </w:p>
    <w:p w:rsidR="004375F8" w:rsidRDefault="00D61AAE">
      <w:pPr>
        <w:pStyle w:val="Heading2"/>
        <w:ind w:left="465"/>
      </w:pPr>
      <w:r>
        <w:t>Redemption |</w:t>
      </w:r>
      <w:r>
        <w:rPr>
          <w:b w:val="0"/>
        </w:rPr>
        <w:t xml:space="preserve"> </w:t>
      </w:r>
    </w:p>
    <w:p w:rsidR="004375F8" w:rsidRDefault="00D61AAE">
      <w:pPr>
        <w:shd w:val="clear" w:color="auto" w:fill="F4F4EE"/>
        <w:spacing w:after="187"/>
        <w:ind w:left="475" w:hanging="10"/>
      </w:pPr>
      <w:hyperlink r:id="rId5">
        <w:r>
          <w:rPr>
            <w:rFonts w:ascii="Arial" w:eastAsia="Arial" w:hAnsi="Arial" w:cs="Arial"/>
            <w:color w:val="69A3A2"/>
            <w:sz w:val="29"/>
            <w:u w:val="single" w:color="69A3A2"/>
          </w:rPr>
          <w:t>Matthew 3</w:t>
        </w:r>
      </w:hyperlink>
      <w:hyperlink r:id="rId6">
        <w:r>
          <w:rPr>
            <w:rFonts w:ascii="Arial" w:eastAsia="Arial" w:hAnsi="Arial" w:cs="Arial"/>
            <w:color w:val="69A3A2"/>
            <w:sz w:val="29"/>
            <w:u w:val="single" w:color="69A3A2"/>
          </w:rPr>
          <w:t>:13</w:t>
        </w:r>
      </w:hyperlink>
      <w:hyperlink r:id="rId7">
        <w:r>
          <w:rPr>
            <w:rFonts w:ascii="Arial" w:eastAsia="Arial" w:hAnsi="Arial" w:cs="Arial"/>
            <w:color w:val="69A3A2"/>
            <w:sz w:val="29"/>
            <w:u w:val="single" w:color="69A3A2"/>
          </w:rPr>
          <w:t>-</w:t>
        </w:r>
      </w:hyperlink>
      <w:hyperlink r:id="rId8">
        <w:r>
          <w:rPr>
            <w:rFonts w:ascii="Arial" w:eastAsia="Arial" w:hAnsi="Arial" w:cs="Arial"/>
            <w:color w:val="69A3A2"/>
            <w:sz w:val="29"/>
            <w:u w:val="single" w:color="69A3A2"/>
          </w:rPr>
          <w:t>17</w:t>
        </w:r>
      </w:hyperlink>
      <w:hyperlink r:id="rId9">
        <w:r>
          <w:rPr>
            <w:rFonts w:ascii="Arial" w:eastAsia="Arial" w:hAnsi="Arial" w:cs="Arial"/>
            <w:color w:val="575757"/>
            <w:sz w:val="29"/>
          </w:rPr>
          <w:t xml:space="preserve"> </w:t>
        </w:r>
      </w:hyperlink>
      <w:r>
        <w:rPr>
          <w:rFonts w:ascii="Arial" w:eastAsia="Arial" w:hAnsi="Arial" w:cs="Arial"/>
          <w:color w:val="575757"/>
          <w:sz w:val="29"/>
        </w:rPr>
        <w:t>|</w:t>
      </w:r>
      <w:r>
        <w:rPr>
          <w:rFonts w:ascii="Arial" w:eastAsia="Arial" w:hAnsi="Arial" w:cs="Arial"/>
          <w:color w:val="575757"/>
          <w:sz w:val="29"/>
          <w:vertAlign w:val="superscript"/>
        </w:rPr>
        <w:t xml:space="preserve"> 13 </w:t>
      </w:r>
      <w:r>
        <w:rPr>
          <w:rFonts w:ascii="Arial" w:eastAsia="Arial" w:hAnsi="Arial" w:cs="Arial"/>
          <w:color w:val="575757"/>
          <w:sz w:val="29"/>
        </w:rPr>
        <w:t xml:space="preserve">Then Jesus came from Galilee to the Jordan to </w:t>
      </w:r>
    </w:p>
    <w:p w:rsidR="004375F8" w:rsidRDefault="00D61AAE">
      <w:pPr>
        <w:shd w:val="clear" w:color="auto" w:fill="F4F4EE"/>
        <w:spacing w:after="249"/>
        <w:ind w:left="475" w:hanging="10"/>
      </w:pPr>
      <w:r>
        <w:rPr>
          <w:rFonts w:ascii="Arial" w:eastAsia="Arial" w:hAnsi="Arial" w:cs="Arial"/>
          <w:color w:val="575757"/>
          <w:sz w:val="29"/>
        </w:rPr>
        <w:t xml:space="preserve">John, to be baptized by him. </w:t>
      </w:r>
      <w:r>
        <w:rPr>
          <w:rFonts w:ascii="Arial" w:eastAsia="Arial" w:hAnsi="Arial" w:cs="Arial"/>
          <w:color w:val="575757"/>
          <w:sz w:val="29"/>
          <w:vertAlign w:val="superscript"/>
        </w:rPr>
        <w:t xml:space="preserve">14 </w:t>
      </w:r>
      <w:r>
        <w:rPr>
          <w:rFonts w:ascii="Arial" w:eastAsia="Arial" w:hAnsi="Arial" w:cs="Arial"/>
          <w:color w:val="575757"/>
          <w:sz w:val="29"/>
        </w:rPr>
        <w:t xml:space="preserve">John would have prevented him, saying, </w:t>
      </w:r>
    </w:p>
    <w:p w:rsidR="004375F8" w:rsidRDefault="00D61AAE">
      <w:pPr>
        <w:shd w:val="clear" w:color="auto" w:fill="F4F4EE"/>
        <w:spacing w:after="93" w:line="423" w:lineRule="auto"/>
        <w:ind w:left="475" w:hanging="10"/>
      </w:pPr>
      <w:r>
        <w:rPr>
          <w:noProof/>
        </w:rPr>
        <mc:AlternateContent>
          <mc:Choice Requires="wpg">
            <w:drawing>
              <wp:anchor distT="0" distB="0" distL="114300" distR="114300" simplePos="0" relativeHeight="251658240" behindDoc="1" locked="0" layoutInCell="1" allowOverlap="1">
                <wp:simplePos x="0" y="0"/>
                <wp:positionH relativeFrom="column">
                  <wp:posOffset>286817</wp:posOffset>
                </wp:positionH>
                <wp:positionV relativeFrom="paragraph">
                  <wp:posOffset>1236988</wp:posOffset>
                </wp:positionV>
                <wp:extent cx="5981065" cy="1335329"/>
                <wp:effectExtent l="0" t="0" r="0" b="0"/>
                <wp:wrapNone/>
                <wp:docPr id="15668" name="Group 15668"/>
                <wp:cNvGraphicFramePr/>
                <a:graphic xmlns:a="http://schemas.openxmlformats.org/drawingml/2006/main">
                  <a:graphicData uri="http://schemas.microsoft.com/office/word/2010/wordprocessingGroup">
                    <wpg:wgp>
                      <wpg:cNvGrpSpPr/>
                      <wpg:grpSpPr>
                        <a:xfrm>
                          <a:off x="0" y="0"/>
                          <a:ext cx="5981065" cy="1335329"/>
                          <a:chOff x="0" y="0"/>
                          <a:chExt cx="5981065" cy="1335329"/>
                        </a:xfrm>
                      </wpg:grpSpPr>
                      <wps:wsp>
                        <wps:cNvPr id="16409" name="Shape 16409"/>
                        <wps:cNvSpPr/>
                        <wps:spPr>
                          <a:xfrm>
                            <a:off x="0" y="0"/>
                            <a:ext cx="5981065" cy="352349"/>
                          </a:xfrm>
                          <a:custGeom>
                            <a:avLst/>
                            <a:gdLst/>
                            <a:ahLst/>
                            <a:cxnLst/>
                            <a:rect l="0" t="0" r="0" b="0"/>
                            <a:pathLst>
                              <a:path w="5981065" h="352349">
                                <a:moveTo>
                                  <a:pt x="0" y="0"/>
                                </a:moveTo>
                                <a:lnTo>
                                  <a:pt x="5981065" y="0"/>
                                </a:lnTo>
                                <a:lnTo>
                                  <a:pt x="5981065" y="352349"/>
                                </a:lnTo>
                                <a:lnTo>
                                  <a:pt x="0" y="352349"/>
                                </a:lnTo>
                                <a:lnTo>
                                  <a:pt x="0" y="0"/>
                                </a:lnTo>
                              </a:path>
                            </a:pathLst>
                          </a:custGeom>
                          <a:ln w="0" cap="flat">
                            <a:miter lim="127000"/>
                          </a:ln>
                        </wps:spPr>
                        <wps:style>
                          <a:lnRef idx="0">
                            <a:srgbClr val="000000">
                              <a:alpha val="0"/>
                            </a:srgbClr>
                          </a:lnRef>
                          <a:fillRef idx="1">
                            <a:srgbClr val="F4F4EE"/>
                          </a:fillRef>
                          <a:effectRef idx="0">
                            <a:scrgbClr r="0" g="0" b="0"/>
                          </a:effectRef>
                          <a:fontRef idx="none"/>
                        </wps:style>
                        <wps:bodyPr/>
                      </wps:wsp>
                      <wps:wsp>
                        <wps:cNvPr id="16410" name="Shape 16410"/>
                        <wps:cNvSpPr/>
                        <wps:spPr>
                          <a:xfrm>
                            <a:off x="0" y="352349"/>
                            <a:ext cx="5981065" cy="353568"/>
                          </a:xfrm>
                          <a:custGeom>
                            <a:avLst/>
                            <a:gdLst/>
                            <a:ahLst/>
                            <a:cxnLst/>
                            <a:rect l="0" t="0" r="0" b="0"/>
                            <a:pathLst>
                              <a:path w="5981065" h="353568">
                                <a:moveTo>
                                  <a:pt x="0" y="0"/>
                                </a:moveTo>
                                <a:lnTo>
                                  <a:pt x="5981065" y="0"/>
                                </a:lnTo>
                                <a:lnTo>
                                  <a:pt x="5981065" y="353568"/>
                                </a:lnTo>
                                <a:lnTo>
                                  <a:pt x="0" y="353568"/>
                                </a:lnTo>
                                <a:lnTo>
                                  <a:pt x="0" y="0"/>
                                </a:lnTo>
                              </a:path>
                            </a:pathLst>
                          </a:custGeom>
                          <a:ln w="0" cap="flat">
                            <a:miter lim="127000"/>
                          </a:ln>
                        </wps:spPr>
                        <wps:style>
                          <a:lnRef idx="0">
                            <a:srgbClr val="000000">
                              <a:alpha val="0"/>
                            </a:srgbClr>
                          </a:lnRef>
                          <a:fillRef idx="1">
                            <a:srgbClr val="F4F4EE"/>
                          </a:fillRef>
                          <a:effectRef idx="0">
                            <a:scrgbClr r="0" g="0" b="0"/>
                          </a:effectRef>
                          <a:fontRef idx="none"/>
                        </wps:style>
                        <wps:bodyPr/>
                      </wps:wsp>
                      <wps:wsp>
                        <wps:cNvPr id="16411" name="Shape 16411"/>
                        <wps:cNvSpPr/>
                        <wps:spPr>
                          <a:xfrm>
                            <a:off x="0" y="705917"/>
                            <a:ext cx="5981065" cy="352044"/>
                          </a:xfrm>
                          <a:custGeom>
                            <a:avLst/>
                            <a:gdLst/>
                            <a:ahLst/>
                            <a:cxnLst/>
                            <a:rect l="0" t="0" r="0" b="0"/>
                            <a:pathLst>
                              <a:path w="5981065" h="352044">
                                <a:moveTo>
                                  <a:pt x="0" y="0"/>
                                </a:moveTo>
                                <a:lnTo>
                                  <a:pt x="5981065" y="0"/>
                                </a:lnTo>
                                <a:lnTo>
                                  <a:pt x="5981065" y="352044"/>
                                </a:lnTo>
                                <a:lnTo>
                                  <a:pt x="0" y="352044"/>
                                </a:lnTo>
                                <a:lnTo>
                                  <a:pt x="0" y="0"/>
                                </a:lnTo>
                              </a:path>
                            </a:pathLst>
                          </a:custGeom>
                          <a:ln w="0" cap="flat">
                            <a:miter lim="127000"/>
                          </a:ln>
                        </wps:spPr>
                        <wps:style>
                          <a:lnRef idx="0">
                            <a:srgbClr val="000000">
                              <a:alpha val="0"/>
                            </a:srgbClr>
                          </a:lnRef>
                          <a:fillRef idx="1">
                            <a:srgbClr val="F4F4EE"/>
                          </a:fillRef>
                          <a:effectRef idx="0">
                            <a:scrgbClr r="0" g="0" b="0"/>
                          </a:effectRef>
                          <a:fontRef idx="none"/>
                        </wps:style>
                        <wps:bodyPr/>
                      </wps:wsp>
                      <wps:wsp>
                        <wps:cNvPr id="16412" name="Shape 16412"/>
                        <wps:cNvSpPr/>
                        <wps:spPr>
                          <a:xfrm>
                            <a:off x="0" y="1057961"/>
                            <a:ext cx="5981065" cy="277368"/>
                          </a:xfrm>
                          <a:custGeom>
                            <a:avLst/>
                            <a:gdLst/>
                            <a:ahLst/>
                            <a:cxnLst/>
                            <a:rect l="0" t="0" r="0" b="0"/>
                            <a:pathLst>
                              <a:path w="5981065" h="277368">
                                <a:moveTo>
                                  <a:pt x="0" y="0"/>
                                </a:moveTo>
                                <a:lnTo>
                                  <a:pt x="5981065" y="0"/>
                                </a:lnTo>
                                <a:lnTo>
                                  <a:pt x="5981065"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668" style="width:470.95pt;height:105.144pt;position:absolute;z-index:-2147483638;mso-position-horizontal-relative:text;mso-position-horizontal:absolute;margin-left:22.584pt;mso-position-vertical-relative:text;margin-top:97.4006pt;" coordsize="59810,13353">
                <v:shape id="Shape 16413" style="position:absolute;width:59810;height:3523;left:0;top:0;" coordsize="5981065,352349" path="m0,0l5981065,0l5981065,352349l0,352349l0,0">
                  <v:stroke weight="0pt" endcap="flat" joinstyle="miter" miterlimit="10" on="false" color="#000000" opacity="0"/>
                  <v:fill on="true" color="#f4f4ee"/>
                </v:shape>
                <v:shape id="Shape 16414" style="position:absolute;width:59810;height:3535;left:0;top:3523;" coordsize="5981065,353568" path="m0,0l5981065,0l5981065,353568l0,353568l0,0">
                  <v:stroke weight="0pt" endcap="flat" joinstyle="miter" miterlimit="10" on="false" color="#000000" opacity="0"/>
                  <v:fill on="true" color="#f4f4ee"/>
                </v:shape>
                <v:shape id="Shape 16415" style="position:absolute;width:59810;height:3520;left:0;top:7059;" coordsize="5981065,352044" path="m0,0l5981065,0l5981065,352044l0,352044l0,0">
                  <v:stroke weight="0pt" endcap="flat" joinstyle="miter" miterlimit="10" on="false" color="#000000" opacity="0"/>
                  <v:fill on="true" color="#f4f4ee"/>
                </v:shape>
                <v:shape id="Shape 16416" style="position:absolute;width:59810;height:2773;left:0;top:10579;" coordsize="5981065,277368" path="m0,0l5981065,0l5981065,277368l0,277368l0,0">
                  <v:stroke weight="0pt" endcap="flat" joinstyle="miter" miterlimit="10" on="false" color="#000000" opacity="0"/>
                  <v:fill on="true" color="#ffffff"/>
                </v:shape>
              </v:group>
            </w:pict>
          </mc:Fallback>
        </mc:AlternateContent>
      </w:r>
      <w:r>
        <w:rPr>
          <w:rFonts w:ascii="Arial" w:eastAsia="Arial" w:hAnsi="Arial" w:cs="Arial"/>
          <w:color w:val="575757"/>
          <w:sz w:val="29"/>
        </w:rPr>
        <w:t xml:space="preserve">“I need to be baptized by you, and do you come to me?” </w:t>
      </w:r>
      <w:r>
        <w:rPr>
          <w:rFonts w:ascii="Arial" w:eastAsia="Arial" w:hAnsi="Arial" w:cs="Arial"/>
          <w:color w:val="575757"/>
          <w:sz w:val="29"/>
          <w:vertAlign w:val="superscript"/>
        </w:rPr>
        <w:t xml:space="preserve">15 </w:t>
      </w:r>
      <w:r>
        <w:rPr>
          <w:rFonts w:ascii="Arial" w:eastAsia="Arial" w:hAnsi="Arial" w:cs="Arial"/>
          <w:color w:val="575757"/>
          <w:sz w:val="29"/>
        </w:rPr>
        <w:t>But Jesus answered him, “Let it be so now, for thus it is fit</w:t>
      </w:r>
      <w:r>
        <w:rPr>
          <w:rFonts w:ascii="Arial" w:eastAsia="Arial" w:hAnsi="Arial" w:cs="Arial"/>
          <w:color w:val="575757"/>
          <w:sz w:val="29"/>
        </w:rPr>
        <w:t xml:space="preserve">ting for us to fulfill all righteousness.” Then he consented. </w:t>
      </w:r>
      <w:r>
        <w:rPr>
          <w:rFonts w:ascii="Arial" w:eastAsia="Arial" w:hAnsi="Arial" w:cs="Arial"/>
          <w:color w:val="575757"/>
          <w:sz w:val="29"/>
          <w:vertAlign w:val="superscript"/>
        </w:rPr>
        <w:t xml:space="preserve">16 </w:t>
      </w:r>
      <w:r>
        <w:rPr>
          <w:rFonts w:ascii="Arial" w:eastAsia="Arial" w:hAnsi="Arial" w:cs="Arial"/>
          <w:color w:val="575757"/>
          <w:sz w:val="29"/>
        </w:rPr>
        <w:t xml:space="preserve">And when Jesus was baptized, immediately he went up from the water, and behold, the heavens were </w:t>
      </w:r>
      <w:r>
        <w:rPr>
          <w:rFonts w:ascii="Arial" w:eastAsia="Arial" w:hAnsi="Arial" w:cs="Arial"/>
          <w:color w:val="575757"/>
          <w:sz w:val="29"/>
        </w:rPr>
        <w:lastRenderedPageBreak/>
        <w:t xml:space="preserve">opened to him, and he saw the Spirit of God descending like a dove and coming to rest on him; </w:t>
      </w:r>
      <w:r>
        <w:rPr>
          <w:rFonts w:ascii="Arial" w:eastAsia="Arial" w:hAnsi="Arial" w:cs="Arial"/>
          <w:color w:val="575757"/>
          <w:sz w:val="29"/>
          <w:vertAlign w:val="superscript"/>
        </w:rPr>
        <w:t xml:space="preserve">17 </w:t>
      </w:r>
      <w:r>
        <w:rPr>
          <w:rFonts w:ascii="Arial" w:eastAsia="Arial" w:hAnsi="Arial" w:cs="Arial"/>
          <w:color w:val="575757"/>
          <w:sz w:val="29"/>
        </w:rPr>
        <w:t xml:space="preserve">and behold, a voice from heaven </w:t>
      </w:r>
    </w:p>
    <w:p w:rsidR="004375F8" w:rsidRDefault="00D61AAE">
      <w:pPr>
        <w:spacing w:after="0"/>
        <w:ind w:left="480"/>
      </w:pPr>
      <w:proofErr w:type="gramStart"/>
      <w:r>
        <w:rPr>
          <w:rFonts w:ascii="Arial" w:eastAsia="Arial" w:hAnsi="Arial" w:cs="Arial"/>
          <w:color w:val="575757"/>
          <w:sz w:val="29"/>
        </w:rPr>
        <w:t>said</w:t>
      </w:r>
      <w:proofErr w:type="gramEnd"/>
      <w:r>
        <w:rPr>
          <w:rFonts w:ascii="Arial" w:eastAsia="Arial" w:hAnsi="Arial" w:cs="Arial"/>
          <w:color w:val="575757"/>
          <w:sz w:val="29"/>
        </w:rPr>
        <w:t xml:space="preserve">, “This is my beloved Son, with whom I am well pleased.” </w:t>
      </w:r>
    </w:p>
    <w:p w:rsidR="004375F8" w:rsidRDefault="00D61AAE">
      <w:pPr>
        <w:spacing w:after="115"/>
        <w:ind w:left="480"/>
      </w:pPr>
      <w:r>
        <w:rPr>
          <w:rFonts w:ascii="Times New Roman" w:eastAsia="Times New Roman" w:hAnsi="Times New Roman" w:cs="Times New Roman"/>
          <w:color w:val="1A1A1A"/>
          <w:sz w:val="25"/>
        </w:rPr>
        <w:t xml:space="preserve"> </w:t>
      </w:r>
    </w:p>
    <w:p w:rsidR="004375F8" w:rsidRDefault="00D61AAE">
      <w:pPr>
        <w:spacing w:after="141" w:line="248" w:lineRule="auto"/>
        <w:ind w:left="475" w:hanging="10"/>
      </w:pPr>
      <w:r>
        <w:rPr>
          <w:rFonts w:ascii="Times New Roman" w:eastAsia="Times New Roman" w:hAnsi="Times New Roman" w:cs="Times New Roman"/>
          <w:color w:val="1A1A1A"/>
          <w:sz w:val="24"/>
        </w:rPr>
        <w:t xml:space="preserve">In this postmodern world and life, Jesus is well pleased when we follow HIM.  </w:t>
      </w:r>
    </w:p>
    <w:p w:rsidR="004375F8" w:rsidRDefault="00D61AAE">
      <w:pPr>
        <w:spacing w:after="279"/>
        <w:ind w:left="480"/>
      </w:pPr>
      <w:r>
        <w:rPr>
          <w:rFonts w:ascii="Times New Roman" w:eastAsia="Times New Roman" w:hAnsi="Times New Roman" w:cs="Times New Roman"/>
          <w:color w:val="1A1A1A"/>
          <w:sz w:val="24"/>
        </w:rPr>
        <w:t xml:space="preserve"> </w:t>
      </w:r>
    </w:p>
    <w:p w:rsidR="004375F8" w:rsidRDefault="00D61AAE">
      <w:pPr>
        <w:spacing w:after="233" w:line="249" w:lineRule="auto"/>
        <w:ind w:left="480" w:hanging="480"/>
      </w:pPr>
      <w:r>
        <w:rPr>
          <w:rFonts w:ascii="Segoe UI Symbol" w:eastAsia="Segoe UI Symbol" w:hAnsi="Segoe UI Symbol" w:cs="Segoe UI Symbol"/>
          <w:color w:val="1A1A1A"/>
          <w:sz w:val="20"/>
        </w:rPr>
        <w:t></w:t>
      </w:r>
      <w:r>
        <w:rPr>
          <w:rFonts w:ascii="Arial" w:eastAsia="Arial" w:hAnsi="Arial" w:cs="Arial"/>
          <w:color w:val="1A1A1A"/>
          <w:sz w:val="20"/>
        </w:rPr>
        <w:t xml:space="preserve"> </w:t>
      </w:r>
      <w:proofErr w:type="spellStart"/>
      <w:r>
        <w:rPr>
          <w:rFonts w:ascii="Times New Roman" w:eastAsia="Times New Roman" w:hAnsi="Times New Roman" w:cs="Times New Roman"/>
          <w:color w:val="1A1A1A"/>
          <w:sz w:val="25"/>
        </w:rPr>
        <w:t>Aune</w:t>
      </w:r>
      <w:proofErr w:type="spellEnd"/>
      <w:r>
        <w:rPr>
          <w:rFonts w:ascii="Times New Roman" w:eastAsia="Times New Roman" w:hAnsi="Times New Roman" w:cs="Times New Roman"/>
          <w:color w:val="1A1A1A"/>
          <w:sz w:val="25"/>
        </w:rPr>
        <w:t xml:space="preserve">, B., 1970, </w:t>
      </w:r>
      <w:r>
        <w:rPr>
          <w:rFonts w:ascii="Times New Roman" w:eastAsia="Times New Roman" w:hAnsi="Times New Roman" w:cs="Times New Roman"/>
          <w:i/>
          <w:color w:val="1A1A1A"/>
          <w:sz w:val="25"/>
        </w:rPr>
        <w:t>Rationalism, Empiricism and Pragmatism: An Introduction</w:t>
      </w:r>
      <w:r>
        <w:rPr>
          <w:rFonts w:ascii="Times New Roman" w:eastAsia="Times New Roman" w:hAnsi="Times New Roman" w:cs="Times New Roman"/>
          <w:color w:val="1A1A1A"/>
          <w:sz w:val="25"/>
        </w:rPr>
        <w:t xml:space="preserve">, New York: Random House. </w:t>
      </w:r>
    </w:p>
    <w:p w:rsidR="004375F8" w:rsidRDefault="00D61AAE">
      <w:pPr>
        <w:spacing w:after="91"/>
        <w:ind w:left="480"/>
      </w:pPr>
      <w:r>
        <w:rPr>
          <w:color w:val="1A1A1A"/>
          <w:sz w:val="25"/>
        </w:rPr>
        <w:t xml:space="preserve">De Rosa, R., 2004, “Locke’s Essay, Book I: The Question-Begging Status of the Anti-Nativist </w:t>
      </w:r>
    </w:p>
    <w:p w:rsidR="004375F8" w:rsidRDefault="00D61AAE">
      <w:pPr>
        <w:spacing w:after="398"/>
        <w:ind w:left="480"/>
      </w:pPr>
      <w:r>
        <w:rPr>
          <w:color w:val="1A1A1A"/>
          <w:sz w:val="25"/>
        </w:rPr>
        <w:t xml:space="preserve">Arguments”, </w:t>
      </w:r>
      <w:r>
        <w:rPr>
          <w:i/>
          <w:color w:val="1A1A1A"/>
          <w:sz w:val="25"/>
        </w:rPr>
        <w:t>Philosophy and Phenomenological Research</w:t>
      </w:r>
      <w:r>
        <w:rPr>
          <w:color w:val="1A1A1A"/>
          <w:sz w:val="25"/>
        </w:rPr>
        <w:t xml:space="preserve">, 69: 37–64 </w:t>
      </w:r>
    </w:p>
    <w:p w:rsidR="004375F8" w:rsidRDefault="00D61AAE">
      <w:pPr>
        <w:spacing w:after="300" w:line="374" w:lineRule="auto"/>
        <w:ind w:left="475" w:hanging="10"/>
      </w:pPr>
      <w:r>
        <w:t xml:space="preserve">(cf. Piaget, 1967; Vygotsky, 1978; Biggs, 1996; </w:t>
      </w:r>
      <w:proofErr w:type="spellStart"/>
      <w:r>
        <w:t>Honebein</w:t>
      </w:r>
      <w:proofErr w:type="spellEnd"/>
      <w:r>
        <w:t>, 1996; Duffy &amp;</w:t>
      </w:r>
      <w:r>
        <w:t xml:space="preserve"> Cunningham, 1996; </w:t>
      </w:r>
      <w:proofErr w:type="spellStart"/>
      <w:r>
        <w:t>Ehrich</w:t>
      </w:r>
      <w:proofErr w:type="spellEnd"/>
      <w:r>
        <w:t xml:space="preserve">, 2006) </w:t>
      </w:r>
    </w:p>
    <w:p w:rsidR="004375F8" w:rsidRDefault="00D61AAE">
      <w:pPr>
        <w:spacing w:after="96" w:line="374" w:lineRule="auto"/>
        <w:ind w:left="475" w:hanging="10"/>
      </w:pPr>
      <w:r>
        <w:t>. (Fisher &amp; Baird, 2005, p. 89) We believe that ‘Mode Neutral’ is a positive step in this direction (Smith et al, 2008.</w:t>
      </w:r>
      <w:r>
        <w:rPr>
          <w:rFonts w:ascii="Times New Roman" w:eastAsia="Times New Roman" w:hAnsi="Times New Roman" w:cs="Times New Roman"/>
          <w:sz w:val="27"/>
        </w:rPr>
        <w:t xml:space="preserve"> </w:t>
      </w:r>
    </w:p>
    <w:p w:rsidR="004375F8" w:rsidRDefault="00D61AAE">
      <w:pPr>
        <w:spacing w:after="124"/>
        <w:ind w:left="480"/>
      </w:pPr>
      <w:r>
        <w:rPr>
          <w:rFonts w:ascii="Times New Roman" w:eastAsia="Times New Roman" w:hAnsi="Times New Roman" w:cs="Times New Roman"/>
          <w:color w:val="1A1A1A"/>
          <w:sz w:val="25"/>
        </w:rPr>
        <w:t xml:space="preserve"> </w:t>
      </w:r>
    </w:p>
    <w:p w:rsidR="004375F8" w:rsidRDefault="00D61AAE">
      <w:pPr>
        <w:spacing w:after="266"/>
        <w:ind w:left="480"/>
      </w:pPr>
      <w:r>
        <w:rPr>
          <w:rFonts w:ascii="Times New Roman" w:eastAsia="Times New Roman" w:hAnsi="Times New Roman" w:cs="Times New Roman"/>
          <w:color w:val="1A1A1A"/>
          <w:sz w:val="25"/>
        </w:rPr>
        <w:t xml:space="preserve"> </w:t>
      </w:r>
    </w:p>
    <w:p w:rsidR="004375F8" w:rsidRDefault="00D61AAE">
      <w:pPr>
        <w:spacing w:after="381"/>
        <w:ind w:left="480"/>
      </w:pPr>
      <w:r>
        <w:rPr>
          <w:rFonts w:ascii="Times New Roman" w:eastAsia="Times New Roman" w:hAnsi="Times New Roman" w:cs="Times New Roman"/>
          <w:sz w:val="27"/>
        </w:rPr>
        <w:t xml:space="preserve"> </w:t>
      </w:r>
    </w:p>
    <w:p w:rsidR="004375F8" w:rsidRDefault="00D61AAE">
      <w:pPr>
        <w:spacing w:after="0"/>
        <w:ind w:left="480"/>
      </w:pPr>
      <w:r>
        <w:rPr>
          <w:rFonts w:ascii="Times New Roman" w:eastAsia="Times New Roman" w:hAnsi="Times New Roman" w:cs="Times New Roman"/>
          <w:sz w:val="27"/>
        </w:rPr>
        <w:t xml:space="preserve"> </w:t>
      </w:r>
    </w:p>
    <w:sectPr w:rsidR="004375F8">
      <w:pgSz w:w="12240" w:h="15840"/>
      <w:pgMar w:top="1445" w:right="1443" w:bottom="1452"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F14"/>
    <w:multiLevelType w:val="hybridMultilevel"/>
    <w:tmpl w:val="B12EDFBE"/>
    <w:lvl w:ilvl="0" w:tplc="359AA9D0">
      <w:start w:val="1"/>
      <w:numFmt w:val="bullet"/>
      <w:lvlText w:val="•"/>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2EC5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2FD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06F9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20E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A03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44E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AB1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61C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216E4"/>
    <w:multiLevelType w:val="hybridMultilevel"/>
    <w:tmpl w:val="95E85E3E"/>
    <w:lvl w:ilvl="0" w:tplc="D336616A">
      <w:start w:val="1"/>
      <w:numFmt w:val="bullet"/>
      <w:lvlText w:val="•"/>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ADD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AB3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CD2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0E8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844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CDE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035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869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818AB"/>
    <w:multiLevelType w:val="hybridMultilevel"/>
    <w:tmpl w:val="0C9E60B2"/>
    <w:lvl w:ilvl="0" w:tplc="16622EB6">
      <w:start w:val="1"/>
      <w:numFmt w:val="bullet"/>
      <w:lvlText w:val="•"/>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C26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424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ED2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079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E7B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43F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AC3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8F2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8410DE"/>
    <w:multiLevelType w:val="hybridMultilevel"/>
    <w:tmpl w:val="9ECC791E"/>
    <w:lvl w:ilvl="0" w:tplc="EB42034C">
      <w:start w:val="1"/>
      <w:numFmt w:val="bullet"/>
      <w:lvlText w:val="•"/>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9A63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602A6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840A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1A9F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CCDF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1C3E1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6C1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2400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B42AE1"/>
    <w:multiLevelType w:val="hybridMultilevel"/>
    <w:tmpl w:val="4BF8CF82"/>
    <w:lvl w:ilvl="0" w:tplc="665414CC">
      <w:start w:val="1"/>
      <w:numFmt w:val="bullet"/>
      <w:lvlText w:val="•"/>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4C5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85A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636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78FB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8CF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0A8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20B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687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8579EE"/>
    <w:multiLevelType w:val="hybridMultilevel"/>
    <w:tmpl w:val="EE1689DE"/>
    <w:lvl w:ilvl="0" w:tplc="A446BAFE">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B4581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6453B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ACD7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D0163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8257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FA462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4A6D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B0D8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6907B7"/>
    <w:multiLevelType w:val="hybridMultilevel"/>
    <w:tmpl w:val="3C4ED396"/>
    <w:lvl w:ilvl="0" w:tplc="CD0AB0F8">
      <w:start w:val="1"/>
      <w:numFmt w:val="bullet"/>
      <w:lvlText w:val="•"/>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606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241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699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A9F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EBC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C54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484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27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A8235C"/>
    <w:multiLevelType w:val="hybridMultilevel"/>
    <w:tmpl w:val="4CCC8016"/>
    <w:lvl w:ilvl="0" w:tplc="322E95BA">
      <w:start w:val="1"/>
      <w:numFmt w:val="decimal"/>
      <w:lvlText w:val="%1."/>
      <w:lvlJc w:val="left"/>
      <w:pPr>
        <w:ind w:left="120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1" w:tplc="99BE874C">
      <w:start w:val="1"/>
      <w:numFmt w:val="lowerLetter"/>
      <w:lvlText w:val="%2"/>
      <w:lvlJc w:val="left"/>
      <w:pPr>
        <w:ind w:left="144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2" w:tplc="182EE87C">
      <w:start w:val="1"/>
      <w:numFmt w:val="lowerRoman"/>
      <w:lvlText w:val="%3"/>
      <w:lvlJc w:val="left"/>
      <w:pPr>
        <w:ind w:left="216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3" w:tplc="7FA8F072">
      <w:start w:val="1"/>
      <w:numFmt w:val="decimal"/>
      <w:lvlText w:val="%4"/>
      <w:lvlJc w:val="left"/>
      <w:pPr>
        <w:ind w:left="288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4" w:tplc="D1A2BCE6">
      <w:start w:val="1"/>
      <w:numFmt w:val="lowerLetter"/>
      <w:lvlText w:val="%5"/>
      <w:lvlJc w:val="left"/>
      <w:pPr>
        <w:ind w:left="360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5" w:tplc="6ADA9704">
      <w:start w:val="1"/>
      <w:numFmt w:val="lowerRoman"/>
      <w:lvlText w:val="%6"/>
      <w:lvlJc w:val="left"/>
      <w:pPr>
        <w:ind w:left="432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6" w:tplc="DABE62C2">
      <w:start w:val="1"/>
      <w:numFmt w:val="decimal"/>
      <w:lvlText w:val="%7"/>
      <w:lvlJc w:val="left"/>
      <w:pPr>
        <w:ind w:left="504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7" w:tplc="131C557E">
      <w:start w:val="1"/>
      <w:numFmt w:val="lowerLetter"/>
      <w:lvlText w:val="%8"/>
      <w:lvlJc w:val="left"/>
      <w:pPr>
        <w:ind w:left="576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lvl w:ilvl="8" w:tplc="4C7EFDDC">
      <w:start w:val="1"/>
      <w:numFmt w:val="lowerRoman"/>
      <w:lvlText w:val="%9"/>
      <w:lvlJc w:val="left"/>
      <w:pPr>
        <w:ind w:left="6480"/>
      </w:pPr>
      <w:rPr>
        <w:rFonts w:ascii="Times New Roman" w:eastAsia="Times New Roman" w:hAnsi="Times New Roman" w:cs="Times New Roman"/>
        <w:b w:val="0"/>
        <w:i w:val="0"/>
        <w:strike w:val="0"/>
        <w:dstrike w:val="0"/>
        <w:color w:val="1A1A1A"/>
        <w:sz w:val="25"/>
        <w:szCs w:val="25"/>
        <w:u w:val="none" w:color="000000"/>
        <w:bdr w:val="none" w:sz="0" w:space="0" w:color="auto"/>
        <w:shd w:val="clear" w:color="auto" w:fill="auto"/>
        <w:vertAlign w:val="baseline"/>
      </w:rPr>
    </w:lvl>
  </w:abstractNum>
  <w:abstractNum w:abstractNumId="8" w15:restartNumberingAfterBreak="0">
    <w:nsid w:val="586B3A83"/>
    <w:multiLevelType w:val="hybridMultilevel"/>
    <w:tmpl w:val="D6B43E2E"/>
    <w:lvl w:ilvl="0" w:tplc="BC34CCE4">
      <w:start w:val="1"/>
      <w:numFmt w:val="bullet"/>
      <w:lvlText w:val="•"/>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499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2A0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047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EBB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A2D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0ED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C1F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E85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8230F2"/>
    <w:multiLevelType w:val="hybridMultilevel"/>
    <w:tmpl w:val="E396AB5C"/>
    <w:lvl w:ilvl="0" w:tplc="8BCC8BB0">
      <w:start w:val="1"/>
      <w:numFmt w:val="bullet"/>
      <w:lvlText w:val="•"/>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4F7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89A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C9A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CE3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E9F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E22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49E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04E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2923E7"/>
    <w:multiLevelType w:val="hybridMultilevel"/>
    <w:tmpl w:val="0AA253CE"/>
    <w:lvl w:ilvl="0" w:tplc="7DDE4EDE">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D8F12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9A513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B0A5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8D7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5E1FD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4680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AEB3F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849E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0"/>
  </w:num>
  <w:num w:numId="3">
    <w:abstractNumId w:val="9"/>
  </w:num>
  <w:num w:numId="4">
    <w:abstractNumId w:val="4"/>
  </w:num>
  <w:num w:numId="5">
    <w:abstractNumId w:val="1"/>
  </w:num>
  <w:num w:numId="6">
    <w:abstractNumId w:val="8"/>
  </w:num>
  <w:num w:numId="7">
    <w:abstractNumId w:val="2"/>
  </w:num>
  <w:num w:numId="8">
    <w:abstractNumId w:val="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F8"/>
    <w:rsid w:val="004375F8"/>
    <w:rsid w:val="00D6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45322-C2AE-483A-ACA1-AC31080F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9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hd w:val="clear" w:color="auto" w:fill="F4F4EE"/>
      <w:spacing w:after="185"/>
      <w:ind w:left="480"/>
      <w:outlineLvl w:val="1"/>
    </w:pPr>
    <w:rPr>
      <w:rFonts w:ascii="Arial" w:eastAsia="Arial" w:hAnsi="Arial" w:cs="Arial"/>
      <w:b/>
      <w:color w:val="575757"/>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Arial" w:eastAsia="Arial" w:hAnsi="Arial" w:cs="Arial"/>
      <w:b/>
      <w:color w:val="575757"/>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iblia.com/bible/esv/Matt%203.13-17" TargetMode="External"/><Relationship Id="rId3" Type="http://schemas.openxmlformats.org/officeDocument/2006/relationships/settings" Target="settings.xml"/><Relationship Id="rId7" Type="http://schemas.openxmlformats.org/officeDocument/2006/relationships/hyperlink" Target="https://biblia.com/bible/esv/Matt%203.1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esv/Matt%203.13-17" TargetMode="External"/><Relationship Id="rId11" Type="http://schemas.openxmlformats.org/officeDocument/2006/relationships/theme" Target="theme/theme1.xml"/><Relationship Id="rId5" Type="http://schemas.openxmlformats.org/officeDocument/2006/relationships/hyperlink" Target="https://biblia.com/bible/esv/Matt%203.13-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a.com/bible/esv/Matt%203.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6065</Words>
  <Characters>34573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Student</cp:lastModifiedBy>
  <cp:revision>2</cp:revision>
  <dcterms:created xsi:type="dcterms:W3CDTF">2023-03-01T01:40:00Z</dcterms:created>
  <dcterms:modified xsi:type="dcterms:W3CDTF">2023-03-01T01:40:00Z</dcterms:modified>
</cp:coreProperties>
</file>