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E517" w14:textId="1BC2EFC7" w:rsidR="00B73F26" w:rsidRDefault="00B73F26" w:rsidP="7B3A8BFC">
      <w:pPr>
        <w:rPr>
          <w:rFonts w:eastAsiaTheme="minorEastAsia"/>
          <w:color w:val="1A1A1A"/>
        </w:rPr>
      </w:pPr>
    </w:p>
    <w:p w14:paraId="7D1FC0B3" w14:textId="76C3369C" w:rsidR="00B73F26" w:rsidRDefault="00B73F26" w:rsidP="7B3A8BFC">
      <w:pPr>
        <w:rPr>
          <w:rFonts w:eastAsiaTheme="minorEastAsia"/>
          <w:color w:val="1A1A1A"/>
        </w:rPr>
      </w:pPr>
    </w:p>
    <w:p w14:paraId="351053F6" w14:textId="1FE6CDDD" w:rsidR="00B73F26" w:rsidRDefault="7B3A8BFC" w:rsidP="7B3A8BFC">
      <w:pPr>
        <w:rPr>
          <w:rFonts w:eastAsiaTheme="minorEastAsia"/>
          <w:color w:val="1A1A1A"/>
        </w:rPr>
      </w:pPr>
      <w:r w:rsidRPr="7B3A8BFC">
        <w:rPr>
          <w:rFonts w:eastAsiaTheme="minorEastAsia"/>
          <w:color w:val="1A1A1A"/>
        </w:rPr>
        <w:t xml:space="preserve">                                                                            Omega Graduate School</w:t>
      </w:r>
    </w:p>
    <w:p w14:paraId="4B3EB8EF" w14:textId="1163B2EF" w:rsidR="00B73F26" w:rsidRDefault="7B3A8BFC" w:rsidP="7B3A8BFC">
      <w:pPr>
        <w:rPr>
          <w:rFonts w:eastAsiaTheme="minorEastAsia"/>
          <w:color w:val="1A1A1A"/>
        </w:rPr>
      </w:pPr>
      <w:r w:rsidRPr="7B3A8BFC">
        <w:rPr>
          <w:rFonts w:eastAsiaTheme="minorEastAsia"/>
          <w:color w:val="1A1A1A"/>
        </w:rPr>
        <w:t xml:space="preserve">                                                             </w:t>
      </w:r>
    </w:p>
    <w:p w14:paraId="5505F63E" w14:textId="5884E52A" w:rsidR="00B73F26" w:rsidRDefault="00B73F26" w:rsidP="7B3A8BFC">
      <w:pPr>
        <w:rPr>
          <w:rFonts w:eastAsiaTheme="minorEastAsia"/>
          <w:color w:val="1A1A1A"/>
        </w:rPr>
      </w:pPr>
    </w:p>
    <w:p w14:paraId="660D8FB7" w14:textId="7D5114AD" w:rsidR="00B73F26" w:rsidRDefault="7B3A8BFC" w:rsidP="7B3A8BFC">
      <w:pPr>
        <w:pStyle w:val="Heading2"/>
        <w:rPr>
          <w:rFonts w:asciiTheme="minorHAnsi" w:eastAsiaTheme="minorEastAsia" w:hAnsiTheme="minorHAnsi" w:cstheme="minorBidi"/>
          <w:b/>
          <w:bCs/>
          <w:color w:val="000000" w:themeColor="text1"/>
          <w:sz w:val="22"/>
          <w:szCs w:val="22"/>
        </w:rPr>
      </w:pPr>
      <w:r w:rsidRPr="7B3A8BFC">
        <w:rPr>
          <w:rFonts w:asciiTheme="minorHAnsi" w:eastAsiaTheme="minorEastAsia" w:hAnsiTheme="minorHAnsi" w:cstheme="minorBidi"/>
          <w:color w:val="1A1A1A"/>
          <w:sz w:val="22"/>
          <w:szCs w:val="22"/>
        </w:rPr>
        <w:t xml:space="preserve">                                                        </w:t>
      </w:r>
      <w:r w:rsidRPr="7B3A8BFC">
        <w:rPr>
          <w:rFonts w:ascii="Verdana" w:eastAsia="Verdana" w:hAnsi="Verdana" w:cs="Verdana"/>
          <w:color w:val="000000" w:themeColor="text1"/>
          <w:sz w:val="22"/>
          <w:szCs w:val="22"/>
        </w:rPr>
        <w:t>Practice Developmental Reading</w:t>
      </w:r>
    </w:p>
    <w:p w14:paraId="329A9817" w14:textId="44A86B32" w:rsidR="00B73F26" w:rsidRDefault="00B73F26" w:rsidP="7B3A8BFC">
      <w:pPr>
        <w:rPr>
          <w:rFonts w:eastAsiaTheme="minorEastAsia"/>
          <w:color w:val="1A1A1A"/>
        </w:rPr>
      </w:pPr>
    </w:p>
    <w:p w14:paraId="04BF1441" w14:textId="1BCACAC1" w:rsidR="00B73F26" w:rsidRDefault="00B73F26" w:rsidP="7B3A8BFC">
      <w:pPr>
        <w:rPr>
          <w:rFonts w:eastAsiaTheme="minorEastAsia"/>
          <w:color w:val="1A1A1A"/>
        </w:rPr>
      </w:pPr>
    </w:p>
    <w:p w14:paraId="2855DB02" w14:textId="2CE1C5CF" w:rsidR="00B73F26" w:rsidRDefault="7B3A8BFC" w:rsidP="7B3A8BFC">
      <w:pPr>
        <w:rPr>
          <w:rFonts w:eastAsiaTheme="minorEastAsia"/>
          <w:color w:val="1A1A1A"/>
        </w:rPr>
      </w:pPr>
      <w:r w:rsidRPr="7B3A8BFC">
        <w:rPr>
          <w:rFonts w:eastAsiaTheme="minorEastAsia"/>
          <w:color w:val="1A1A1A"/>
        </w:rPr>
        <w:t xml:space="preserve">                                                                                      Grace Godfrey </w:t>
      </w:r>
    </w:p>
    <w:p w14:paraId="0C1A9D22" w14:textId="73074411" w:rsidR="00B73F26" w:rsidRDefault="00B73F26" w:rsidP="7B3A8BFC">
      <w:pPr>
        <w:rPr>
          <w:rFonts w:eastAsiaTheme="minorEastAsia"/>
          <w:color w:val="1A1A1A"/>
        </w:rPr>
      </w:pPr>
    </w:p>
    <w:p w14:paraId="25B2BBCC" w14:textId="5E28257F" w:rsidR="00B73F26" w:rsidRDefault="00B73F26" w:rsidP="7B3A8BFC">
      <w:pPr>
        <w:rPr>
          <w:rFonts w:eastAsiaTheme="minorEastAsia"/>
          <w:color w:val="1A1A1A"/>
        </w:rPr>
      </w:pPr>
    </w:p>
    <w:p w14:paraId="49698112" w14:textId="762605F3" w:rsidR="00B73F26" w:rsidRDefault="00B73F26" w:rsidP="7B3A8BFC">
      <w:pPr>
        <w:rPr>
          <w:rFonts w:eastAsiaTheme="minorEastAsia"/>
          <w:color w:val="1A1A1A"/>
        </w:rPr>
      </w:pPr>
    </w:p>
    <w:p w14:paraId="5AF161C5" w14:textId="7B539ADC" w:rsidR="00B73F26" w:rsidRDefault="7B3A8BFC" w:rsidP="7B3A8BFC">
      <w:pPr>
        <w:rPr>
          <w:rFonts w:eastAsiaTheme="minorEastAsia"/>
          <w:color w:val="1A1A1A"/>
        </w:rPr>
      </w:pPr>
      <w:r w:rsidRPr="7B3A8BFC">
        <w:rPr>
          <w:rFonts w:eastAsiaTheme="minorEastAsia"/>
          <w:color w:val="1A1A1A"/>
        </w:rPr>
        <w:t xml:space="preserve">                                                                                Professor: Dr. Ken Schmidt </w:t>
      </w:r>
    </w:p>
    <w:p w14:paraId="54215BA1" w14:textId="7EDB1F5C" w:rsidR="00B73F26" w:rsidRDefault="00B73F26" w:rsidP="7B3A8BFC">
      <w:pPr>
        <w:rPr>
          <w:rFonts w:eastAsiaTheme="minorEastAsia"/>
          <w:color w:val="1A1A1A"/>
        </w:rPr>
      </w:pPr>
    </w:p>
    <w:p w14:paraId="62D10038" w14:textId="24DC067C" w:rsidR="00B73F26" w:rsidRDefault="00B73F26" w:rsidP="7B3A8BFC">
      <w:pPr>
        <w:rPr>
          <w:rFonts w:eastAsiaTheme="minorEastAsia"/>
          <w:color w:val="1A1A1A"/>
        </w:rPr>
      </w:pPr>
    </w:p>
    <w:p w14:paraId="787A41BF" w14:textId="0A066DB5" w:rsidR="00B73F26" w:rsidRDefault="7B3A8BFC" w:rsidP="7B3A8BFC">
      <w:pPr>
        <w:rPr>
          <w:rFonts w:eastAsiaTheme="minorEastAsia"/>
          <w:color w:val="1A1A1A"/>
        </w:rPr>
      </w:pPr>
      <w:r w:rsidRPr="7B3A8BFC">
        <w:rPr>
          <w:rFonts w:eastAsiaTheme="minorEastAsia"/>
          <w:color w:val="1A1A1A"/>
        </w:rPr>
        <w:t xml:space="preserve">                                                                              Summer: 07/4/2023</w:t>
      </w:r>
    </w:p>
    <w:p w14:paraId="2C078E63" w14:textId="1A7E11D8" w:rsidR="00B73F26" w:rsidRDefault="00B73F26" w:rsidP="7B3A8BFC">
      <w:pPr>
        <w:rPr>
          <w:rFonts w:eastAsiaTheme="minorEastAsia"/>
        </w:rPr>
      </w:pPr>
    </w:p>
    <w:p w14:paraId="79EE4EDF" w14:textId="44BF6DE9" w:rsidR="7B3A8BFC" w:rsidRDefault="7B3A8BFC" w:rsidP="7B3A8BFC">
      <w:pPr>
        <w:rPr>
          <w:rFonts w:eastAsiaTheme="minorEastAsia"/>
        </w:rPr>
      </w:pPr>
    </w:p>
    <w:p w14:paraId="7A917AA4" w14:textId="5B925EC3" w:rsidR="7B3A8BFC" w:rsidRDefault="7B3A8BFC" w:rsidP="7B3A8BFC">
      <w:pPr>
        <w:rPr>
          <w:rFonts w:eastAsiaTheme="minorEastAsia"/>
        </w:rPr>
      </w:pPr>
    </w:p>
    <w:p w14:paraId="7DADF5DA" w14:textId="3219B803" w:rsidR="7B3A8BFC" w:rsidRDefault="7B3A8BFC" w:rsidP="7B3A8BFC">
      <w:pPr>
        <w:rPr>
          <w:rFonts w:eastAsiaTheme="minorEastAsia"/>
        </w:rPr>
      </w:pPr>
    </w:p>
    <w:p w14:paraId="5C1C843B" w14:textId="2190E56F" w:rsidR="7B3A8BFC" w:rsidRDefault="7B3A8BFC" w:rsidP="7B3A8BFC">
      <w:pPr>
        <w:rPr>
          <w:rFonts w:eastAsiaTheme="minorEastAsia"/>
        </w:rPr>
      </w:pPr>
    </w:p>
    <w:p w14:paraId="324C7976" w14:textId="72E81090" w:rsidR="7B3A8BFC" w:rsidRDefault="7B3A8BFC" w:rsidP="7B3A8BFC">
      <w:pPr>
        <w:rPr>
          <w:rFonts w:eastAsiaTheme="minorEastAsia"/>
        </w:rPr>
      </w:pPr>
    </w:p>
    <w:p w14:paraId="64E0D80F" w14:textId="13C6F963" w:rsidR="7B3A8BFC" w:rsidRDefault="7B3A8BFC" w:rsidP="7B3A8BFC">
      <w:pPr>
        <w:rPr>
          <w:rFonts w:eastAsiaTheme="minorEastAsia"/>
        </w:rPr>
      </w:pPr>
    </w:p>
    <w:p w14:paraId="60893EEF" w14:textId="618CCC76" w:rsidR="7B3A8BFC" w:rsidRDefault="7B3A8BFC" w:rsidP="7B3A8BFC">
      <w:pPr>
        <w:rPr>
          <w:rFonts w:eastAsiaTheme="minorEastAsia"/>
        </w:rPr>
      </w:pPr>
    </w:p>
    <w:p w14:paraId="54EB2D0A" w14:textId="04E7B25F" w:rsidR="7B3A8BFC" w:rsidRDefault="7B3A8BFC" w:rsidP="7B3A8BFC">
      <w:pPr>
        <w:rPr>
          <w:rFonts w:eastAsiaTheme="minorEastAsia"/>
        </w:rPr>
      </w:pPr>
    </w:p>
    <w:p w14:paraId="5D9146D7" w14:textId="18361CF2" w:rsidR="7B3A8BFC" w:rsidRDefault="7B3A8BFC" w:rsidP="7B3A8BFC">
      <w:pPr>
        <w:rPr>
          <w:rFonts w:eastAsiaTheme="minorEastAsia"/>
        </w:rPr>
      </w:pPr>
    </w:p>
    <w:p w14:paraId="2A876EFE" w14:textId="7C533D01" w:rsidR="7B3A8BFC" w:rsidRDefault="7B3A8BFC" w:rsidP="7B3A8BFC">
      <w:pPr>
        <w:rPr>
          <w:rFonts w:eastAsiaTheme="minorEastAsia"/>
        </w:rPr>
      </w:pPr>
    </w:p>
    <w:p w14:paraId="05268C06" w14:textId="23347619" w:rsidR="7B3A8BFC" w:rsidRDefault="7B3A8BFC" w:rsidP="7B3A8BFC">
      <w:pPr>
        <w:rPr>
          <w:rFonts w:eastAsiaTheme="minorEastAsia"/>
        </w:rPr>
      </w:pPr>
    </w:p>
    <w:p w14:paraId="7F274C56" w14:textId="33F69E51" w:rsidR="7B3A8BFC" w:rsidRDefault="7B3A8BFC" w:rsidP="7B3A8BFC">
      <w:pPr>
        <w:rPr>
          <w:rFonts w:eastAsiaTheme="minorEastAsia"/>
        </w:rPr>
      </w:pPr>
    </w:p>
    <w:p w14:paraId="1A082C58" w14:textId="3B403524" w:rsidR="7B3A8BFC" w:rsidRDefault="7B3A8BFC" w:rsidP="7B3A8BFC">
      <w:pPr>
        <w:rPr>
          <w:rFonts w:eastAsiaTheme="minorEastAsia"/>
        </w:rPr>
      </w:pPr>
    </w:p>
    <w:p w14:paraId="3DD11727" w14:textId="0324EDD9" w:rsidR="7B3A8BFC" w:rsidRDefault="7B3A8BFC" w:rsidP="7B3A8BFC">
      <w:pPr>
        <w:rPr>
          <w:rFonts w:eastAsiaTheme="minorEastAsia"/>
        </w:rPr>
      </w:pPr>
    </w:p>
    <w:p w14:paraId="58834773" w14:textId="75C025CD" w:rsidR="7B3A8BFC" w:rsidRDefault="7B3A8BFC" w:rsidP="7B3A8BFC">
      <w:pPr>
        <w:rPr>
          <w:rFonts w:eastAsiaTheme="minorEastAsia"/>
        </w:rPr>
      </w:pPr>
      <w:r w:rsidRPr="7B3A8BFC">
        <w:rPr>
          <w:rFonts w:eastAsiaTheme="minorEastAsia"/>
        </w:rPr>
        <w:t>S</w:t>
      </w:r>
      <w:r w:rsidRPr="7B3A8BFC">
        <w:rPr>
          <w:rFonts w:eastAsiaTheme="minorEastAsia"/>
          <w:b/>
          <w:bCs/>
        </w:rPr>
        <w:t>ource 1</w:t>
      </w:r>
      <w:r w:rsidRPr="7B3A8BFC">
        <w:rPr>
          <w:rFonts w:eastAsiaTheme="minorEastAsia"/>
        </w:rPr>
        <w:t>: Sproul, R.C. (n.d.). Hermeneutical principles. Monergism. [Biblical Hermeneutics]</w:t>
      </w:r>
    </w:p>
    <w:p w14:paraId="0D6C82EF" w14:textId="4FEAC610" w:rsidR="7B3A8BFC" w:rsidRDefault="00000000" w:rsidP="7B3A8BFC">
      <w:pPr>
        <w:rPr>
          <w:rFonts w:eastAsiaTheme="minorEastAsia"/>
        </w:rPr>
      </w:pPr>
      <w:hyperlink r:id="rId4">
        <w:r w:rsidR="7B3A8BFC" w:rsidRPr="7B3A8BFC">
          <w:rPr>
            <w:rStyle w:val="Hyperlink"/>
            <w:rFonts w:eastAsiaTheme="minorEastAsia"/>
          </w:rPr>
          <w:t>https://www.monergism.com/hermeneutical-principles</w:t>
        </w:r>
      </w:hyperlink>
    </w:p>
    <w:p w14:paraId="63A70E9F" w14:textId="51C8588D" w:rsidR="7B3A8BFC" w:rsidRDefault="7B3A8BFC" w:rsidP="7B3A8BFC">
      <w:pPr>
        <w:spacing w:line="480" w:lineRule="auto"/>
        <w:rPr>
          <w:rFonts w:eastAsiaTheme="minorEastAsia"/>
          <w:b/>
          <w:bCs/>
        </w:rPr>
      </w:pPr>
      <w:r w:rsidRPr="7B3A8BFC">
        <w:rPr>
          <w:rFonts w:eastAsiaTheme="minorEastAsia"/>
          <w:b/>
          <w:bCs/>
        </w:rPr>
        <w:t>Comment 1</w:t>
      </w:r>
    </w:p>
    <w:p w14:paraId="7A15EE96" w14:textId="16CEFEAA" w:rsidR="7B3A8BFC" w:rsidRDefault="7B3A8BFC" w:rsidP="7B3A8BFC">
      <w:pPr>
        <w:spacing w:line="480" w:lineRule="auto"/>
        <w:rPr>
          <w:rFonts w:eastAsiaTheme="minorEastAsia"/>
          <w:color w:val="40464B"/>
        </w:rPr>
      </w:pPr>
      <w:r w:rsidRPr="7B3A8BFC">
        <w:rPr>
          <w:rFonts w:eastAsiaTheme="minorEastAsia"/>
          <w:b/>
          <w:bCs/>
        </w:rPr>
        <w:t>Quote/Paraphras</w:t>
      </w:r>
      <w:r w:rsidRPr="7B3A8BFC">
        <w:rPr>
          <w:rFonts w:eastAsiaTheme="minorEastAsia"/>
        </w:rPr>
        <w:t>e: “</w:t>
      </w:r>
      <w:r w:rsidRPr="7B3A8BFC">
        <w:rPr>
          <w:rFonts w:eastAsiaTheme="minorEastAsia"/>
          <w:color w:val="40464B"/>
        </w:rPr>
        <w:t xml:space="preserve">Since it is assumed that God would never contradict Himself, it is thought slanderous to the Holy Spirit to choose an alternate interpretation that would unnecessarily bring the Bible in conflict with itself. The analogy of faith keeps the whole Bible in view lest we suffer from the effects of exaggerating one part of Scripture to the exclusion of </w:t>
      </w:r>
      <w:proofErr w:type="gramStart"/>
      <w:r w:rsidRPr="7B3A8BFC">
        <w:rPr>
          <w:rFonts w:eastAsiaTheme="minorEastAsia"/>
          <w:color w:val="40464B"/>
        </w:rPr>
        <w:t>others</w:t>
      </w:r>
      <w:proofErr w:type="gramEnd"/>
      <w:r w:rsidRPr="7B3A8BFC">
        <w:rPr>
          <w:rFonts w:eastAsiaTheme="minorEastAsia"/>
          <w:color w:val="40464B"/>
        </w:rPr>
        <w:t>”</w:t>
      </w:r>
    </w:p>
    <w:p w14:paraId="2E08B64F" w14:textId="65DD7EEB" w:rsidR="7B3A8BFC" w:rsidRDefault="7B3A8BFC" w:rsidP="7B3A8BFC">
      <w:pPr>
        <w:spacing w:line="480" w:lineRule="auto"/>
        <w:rPr>
          <w:rFonts w:ascii="Helvetica" w:eastAsia="Helvetica" w:hAnsi="Helvetica" w:cs="Helvetica"/>
          <w:color w:val="272727"/>
          <w:sz w:val="30"/>
          <w:szCs w:val="30"/>
        </w:rPr>
      </w:pPr>
      <w:commentRangeStart w:id="0"/>
      <w:r w:rsidRPr="7B3A8BFC">
        <w:rPr>
          <w:rFonts w:eastAsiaTheme="minorEastAsia"/>
          <w:b/>
          <w:bCs/>
          <w:color w:val="40464B"/>
        </w:rPr>
        <w:t>Essential Element</w:t>
      </w:r>
      <w:r w:rsidRPr="7B3A8BFC">
        <w:rPr>
          <w:rFonts w:eastAsiaTheme="minorEastAsia"/>
          <w:color w:val="40464B"/>
        </w:rPr>
        <w:t xml:space="preserve">: </w:t>
      </w:r>
      <w:commentRangeEnd w:id="0"/>
      <w:r w:rsidR="00515846">
        <w:rPr>
          <w:rStyle w:val="CommentReference"/>
        </w:rPr>
        <w:commentReference w:id="0"/>
      </w:r>
      <w:r w:rsidRPr="7B3A8BFC">
        <w:rPr>
          <w:rFonts w:eastAsiaTheme="minorEastAsia"/>
          <w:color w:val="272727"/>
        </w:rPr>
        <w:t xml:space="preserve">God </w:t>
      </w:r>
      <w:r w:rsidRPr="7B3A8BFC">
        <w:rPr>
          <w:rFonts w:eastAsiaTheme="minorEastAsia"/>
          <w:i/>
          <w:iCs/>
          <w:color w:val="272727"/>
        </w:rPr>
        <w:t>never</w:t>
      </w:r>
      <w:r w:rsidRPr="7B3A8BFC">
        <w:rPr>
          <w:rFonts w:eastAsiaTheme="minorEastAsia"/>
          <w:color w:val="272727"/>
        </w:rPr>
        <w:t xml:space="preserve"> contradicts Himself. He’s omniscient! He knows the end from the beginning;  He possibly can not contradict Himself; I believe that when we’re confronted with an alleged contradiction, the problem isn’t with the Word of God; rather, it’s with our understanding of the Scriptures. Most times there is a simple solution to the problem when we use the necessary tool and the Holy Spirit too.</w:t>
      </w:r>
    </w:p>
    <w:p w14:paraId="63F4DB85" w14:textId="00D37F9A" w:rsidR="7B3A8BFC" w:rsidRDefault="7B3A8BFC" w:rsidP="7B3A8BFC">
      <w:pPr>
        <w:spacing w:line="480" w:lineRule="auto"/>
        <w:rPr>
          <w:rFonts w:eastAsiaTheme="minorEastAsia"/>
        </w:rPr>
      </w:pPr>
      <w:commentRangeStart w:id="1"/>
      <w:r w:rsidRPr="7B3A8BFC">
        <w:rPr>
          <w:rFonts w:eastAsiaTheme="minorEastAsia"/>
          <w:b/>
          <w:bCs/>
          <w:color w:val="272727"/>
        </w:rPr>
        <w:t xml:space="preserve">Additive/Variant Analysis: </w:t>
      </w:r>
      <w:commentRangeEnd w:id="1"/>
      <w:r w:rsidR="00515846">
        <w:rPr>
          <w:rStyle w:val="CommentReference"/>
        </w:rPr>
        <w:commentReference w:id="1"/>
      </w:r>
      <w:r w:rsidRPr="7B3A8BFC">
        <w:rPr>
          <w:rFonts w:eastAsiaTheme="minorEastAsia"/>
          <w:b/>
          <w:bCs/>
          <w:color w:val="272727"/>
        </w:rPr>
        <w:t>U</w:t>
      </w:r>
      <w:r w:rsidRPr="7B3A8BFC">
        <w:rPr>
          <w:rFonts w:eastAsiaTheme="minorEastAsia"/>
          <w:color w:val="272727"/>
        </w:rPr>
        <w:t xml:space="preserve">sing different tools to interpret the Bible give us a better clear understanding of the text. </w:t>
      </w:r>
      <w:r w:rsidRPr="7B3A8BFC">
        <w:rPr>
          <w:rFonts w:eastAsiaTheme="minorEastAsia"/>
          <w:color w:val="111111"/>
        </w:rPr>
        <w:t>Meaning that the idea of interpretation</w:t>
      </w:r>
      <w:r w:rsidRPr="7B3A8BFC">
        <w:rPr>
          <w:rFonts w:eastAsiaTheme="minorEastAsia"/>
          <w:b/>
          <w:bCs/>
          <w:color w:val="111111"/>
        </w:rPr>
        <w:t xml:space="preserve"> </w:t>
      </w:r>
      <w:r w:rsidRPr="7B3A8BFC">
        <w:rPr>
          <w:rFonts w:eastAsiaTheme="minorEastAsia"/>
          <w:color w:val="111111"/>
        </w:rPr>
        <w:t xml:space="preserve">its basic nature, </w:t>
      </w:r>
      <w:proofErr w:type="gramStart"/>
      <w:r w:rsidRPr="7B3A8BFC">
        <w:rPr>
          <w:rFonts w:eastAsiaTheme="minorEastAsia"/>
          <w:color w:val="111111"/>
        </w:rPr>
        <w:t>scope</w:t>
      </w:r>
      <w:proofErr w:type="gramEnd"/>
      <w:r w:rsidRPr="7B3A8BFC">
        <w:rPr>
          <w:rFonts w:eastAsiaTheme="minorEastAsia"/>
          <w:color w:val="111111"/>
        </w:rPr>
        <w:t xml:space="preserve"> and validity, as well as its place within and implications for human existence; and using different tool treats interpretation in the context of fundamental philosophical questions about being and knowing, language and history, art and aesthetic experience, and practical life.</w:t>
      </w:r>
    </w:p>
    <w:p w14:paraId="78349CE7" w14:textId="07CE6AFC" w:rsidR="7B3A8BFC" w:rsidRDefault="7B3A8BFC" w:rsidP="7B3A8BFC">
      <w:pPr>
        <w:spacing w:line="480" w:lineRule="auto"/>
        <w:rPr>
          <w:rFonts w:eastAsiaTheme="minorEastAsia"/>
          <w:color w:val="111111"/>
        </w:rPr>
      </w:pPr>
      <w:commentRangeStart w:id="2"/>
      <w:r w:rsidRPr="7B3A8BFC">
        <w:rPr>
          <w:rFonts w:eastAsiaTheme="minorEastAsia"/>
          <w:b/>
          <w:bCs/>
          <w:color w:val="111111"/>
        </w:rPr>
        <w:t>Contextualization</w:t>
      </w:r>
      <w:commentRangeEnd w:id="2"/>
      <w:r w:rsidR="00515846">
        <w:rPr>
          <w:rStyle w:val="CommentReference"/>
        </w:rPr>
        <w:commentReference w:id="2"/>
      </w:r>
      <w:r w:rsidRPr="7B3A8BFC">
        <w:rPr>
          <w:rFonts w:eastAsiaTheme="minorEastAsia"/>
          <w:b/>
          <w:bCs/>
          <w:color w:val="111111"/>
        </w:rPr>
        <w:t xml:space="preserve">: </w:t>
      </w:r>
      <w:r w:rsidRPr="7B3A8BFC">
        <w:rPr>
          <w:rFonts w:eastAsiaTheme="minorEastAsia"/>
          <w:color w:val="111111"/>
        </w:rPr>
        <w:t xml:space="preserve">I would use different versions of the Bible, Bible concordance, Bible dictionaries and any other available tool as I also listen and ask the Holy Spirit to guide me in my Bible reading. Personally, I use the KJV; NKJV; NIV, RSV and am not limited to </w:t>
      </w:r>
      <w:proofErr w:type="gramStart"/>
      <w:r w:rsidRPr="7B3A8BFC">
        <w:rPr>
          <w:rFonts w:eastAsiaTheme="minorEastAsia"/>
          <w:color w:val="111111"/>
        </w:rPr>
        <w:t>try</w:t>
      </w:r>
      <w:proofErr w:type="gramEnd"/>
      <w:r w:rsidRPr="7B3A8BFC">
        <w:rPr>
          <w:rFonts w:eastAsiaTheme="minorEastAsia"/>
          <w:color w:val="111111"/>
        </w:rPr>
        <w:t xml:space="preserve"> other versions as well. I keep a Bible in my car, in my living room, and in my bedroom that wherever am ready to hear God. </w:t>
      </w:r>
    </w:p>
    <w:p w14:paraId="6EE8AE44" w14:textId="3C5725B1" w:rsidR="7B3A8BFC" w:rsidRDefault="7B3A8BFC" w:rsidP="7B3A8BFC">
      <w:pPr>
        <w:spacing w:line="480" w:lineRule="auto"/>
        <w:rPr>
          <w:rFonts w:eastAsiaTheme="minorEastAsia"/>
          <w:color w:val="111111"/>
        </w:rPr>
      </w:pPr>
      <w:r w:rsidRPr="7B3A8BFC">
        <w:rPr>
          <w:rFonts w:eastAsiaTheme="minorEastAsia"/>
          <w:color w:val="111111"/>
        </w:rPr>
        <w:lastRenderedPageBreak/>
        <w:t>Comment 2:</w:t>
      </w:r>
    </w:p>
    <w:p w14:paraId="090F3973" w14:textId="1F66F730" w:rsidR="7B3A8BFC" w:rsidRDefault="7B3A8BFC" w:rsidP="7B3A8BFC">
      <w:pPr>
        <w:spacing w:line="480" w:lineRule="auto"/>
        <w:rPr>
          <w:rFonts w:ascii="Arial" w:eastAsia="Arial" w:hAnsi="Arial" w:cs="Arial"/>
          <w:color w:val="222222"/>
          <w:sz w:val="19"/>
          <w:szCs w:val="19"/>
        </w:rPr>
      </w:pPr>
      <w:r w:rsidRPr="7B3A8BFC">
        <w:rPr>
          <w:rFonts w:eastAsiaTheme="minorEastAsia"/>
          <w:color w:val="111111"/>
        </w:rPr>
        <w:t xml:space="preserve">Source: </w:t>
      </w:r>
      <w:r w:rsidRPr="7B3A8BFC">
        <w:rPr>
          <w:rFonts w:ascii="Arial" w:eastAsia="Arial" w:hAnsi="Arial" w:cs="Arial"/>
          <w:color w:val="222222"/>
          <w:sz w:val="19"/>
          <w:szCs w:val="19"/>
        </w:rPr>
        <w:t xml:space="preserve">Diop G. </w:t>
      </w:r>
      <w:proofErr w:type="spellStart"/>
      <w:r w:rsidRPr="7B3A8BFC">
        <w:rPr>
          <w:rFonts w:ascii="Arial" w:eastAsia="Arial" w:hAnsi="Arial" w:cs="Arial"/>
          <w:color w:val="222222"/>
          <w:sz w:val="19"/>
          <w:szCs w:val="19"/>
        </w:rPr>
        <w:t>Innerbiblical</w:t>
      </w:r>
      <w:proofErr w:type="spellEnd"/>
      <w:r w:rsidRPr="7B3A8BFC">
        <w:rPr>
          <w:rFonts w:ascii="Arial" w:eastAsia="Arial" w:hAnsi="Arial" w:cs="Arial"/>
          <w:color w:val="222222"/>
          <w:sz w:val="19"/>
          <w:szCs w:val="19"/>
        </w:rPr>
        <w:t xml:space="preserve"> Interpretation: Reading the Scriptures Intertextually. </w:t>
      </w:r>
      <w:proofErr w:type="spellStart"/>
      <w:r w:rsidRPr="7B3A8BFC">
        <w:rPr>
          <w:rFonts w:ascii="Arial" w:eastAsia="Arial" w:hAnsi="Arial" w:cs="Arial"/>
          <w:color w:val="222222"/>
          <w:sz w:val="19"/>
          <w:szCs w:val="19"/>
        </w:rPr>
        <w:t>Biblijski</w:t>
      </w:r>
      <w:proofErr w:type="spellEnd"/>
      <w:r w:rsidRPr="7B3A8BFC">
        <w:rPr>
          <w:rFonts w:ascii="Arial" w:eastAsia="Arial" w:hAnsi="Arial" w:cs="Arial"/>
          <w:color w:val="222222"/>
          <w:sz w:val="19"/>
          <w:szCs w:val="19"/>
        </w:rPr>
        <w:t xml:space="preserve"> </w:t>
      </w:r>
      <w:proofErr w:type="spellStart"/>
      <w:r w:rsidRPr="7B3A8BFC">
        <w:rPr>
          <w:rFonts w:ascii="Arial" w:eastAsia="Arial" w:hAnsi="Arial" w:cs="Arial"/>
          <w:color w:val="222222"/>
          <w:sz w:val="19"/>
          <w:szCs w:val="19"/>
        </w:rPr>
        <w:t>pogledi</w:t>
      </w:r>
      <w:proofErr w:type="spellEnd"/>
      <w:r w:rsidRPr="7B3A8BFC">
        <w:rPr>
          <w:rFonts w:ascii="Arial" w:eastAsia="Arial" w:hAnsi="Arial" w:cs="Arial"/>
          <w:color w:val="222222"/>
          <w:sz w:val="19"/>
          <w:szCs w:val="19"/>
        </w:rPr>
        <w:t>. 2022 Aug 31;30(2):3-17. o</w:t>
      </w:r>
    </w:p>
    <w:p w14:paraId="72E8245D" w14:textId="5E5F43BD" w:rsidR="7B3A8BFC" w:rsidRDefault="7B3A8BFC" w:rsidP="7B3A8BFC">
      <w:pPr>
        <w:spacing w:line="480" w:lineRule="auto"/>
        <w:rPr>
          <w:rFonts w:ascii="Calibri" w:eastAsia="Calibri" w:hAnsi="Calibri" w:cs="Calibri"/>
          <w:color w:val="40464B"/>
        </w:rPr>
      </w:pPr>
      <w:r w:rsidRPr="7B3A8BFC">
        <w:rPr>
          <w:rFonts w:eastAsiaTheme="minorEastAsia"/>
          <w:b/>
          <w:bCs/>
        </w:rPr>
        <w:t>Quote/Paraphras</w:t>
      </w:r>
      <w:r w:rsidRPr="7B3A8BFC">
        <w:rPr>
          <w:rFonts w:eastAsiaTheme="minorEastAsia"/>
        </w:rPr>
        <w:t>e: “</w:t>
      </w:r>
      <w:r w:rsidRPr="7B3A8BFC">
        <w:rPr>
          <w:rFonts w:ascii="Calibri" w:eastAsia="Calibri" w:hAnsi="Calibri" w:cs="Calibri"/>
          <w:color w:val="40464B"/>
        </w:rPr>
        <w:t xml:space="preserve">Scripture is to interpret Scripture. This simply means that no part of Scripture can be interpreted in such a way to render it in conflict with what is clearly taught elsewhere in Scripture. For example, if a given verse is capable of two renditions or variant interpretations and one of those interpretations goes against the rest of Scripture while the other is in harmony with it, then the latter interpretation must be </w:t>
      </w:r>
      <w:proofErr w:type="gramStart"/>
      <w:r w:rsidRPr="7B3A8BFC">
        <w:rPr>
          <w:rFonts w:ascii="Calibri" w:eastAsia="Calibri" w:hAnsi="Calibri" w:cs="Calibri"/>
          <w:color w:val="40464B"/>
        </w:rPr>
        <w:t>used</w:t>
      </w:r>
      <w:proofErr w:type="gramEnd"/>
      <w:r w:rsidRPr="7B3A8BFC">
        <w:rPr>
          <w:rFonts w:ascii="Calibri" w:eastAsia="Calibri" w:hAnsi="Calibri" w:cs="Calibri"/>
          <w:color w:val="40464B"/>
        </w:rPr>
        <w:t>”</w:t>
      </w:r>
    </w:p>
    <w:p w14:paraId="711C0A5F" w14:textId="51243707" w:rsidR="7B3A8BFC" w:rsidRDefault="7B3A8BFC" w:rsidP="7B3A8BFC">
      <w:pPr>
        <w:spacing w:line="480" w:lineRule="auto"/>
        <w:rPr>
          <w:rFonts w:ascii="Calibri" w:eastAsia="Calibri" w:hAnsi="Calibri" w:cs="Calibri"/>
        </w:rPr>
      </w:pPr>
      <w:r w:rsidRPr="7B3A8BFC">
        <w:rPr>
          <w:rFonts w:ascii="Calibri" w:eastAsia="Calibri" w:hAnsi="Calibri" w:cs="Calibri"/>
          <w:b/>
          <w:bCs/>
          <w:color w:val="40464B"/>
          <w:sz w:val="21"/>
          <w:szCs w:val="21"/>
        </w:rPr>
        <w:t xml:space="preserve">Essential Element: </w:t>
      </w:r>
    </w:p>
    <w:p w14:paraId="21A3A07D" w14:textId="23B0230E" w:rsidR="7B3A8BFC" w:rsidRDefault="7B3A8BFC" w:rsidP="7B3A8BFC">
      <w:pPr>
        <w:spacing w:line="480" w:lineRule="auto"/>
        <w:rPr>
          <w:rFonts w:ascii="Calibri" w:eastAsia="Calibri" w:hAnsi="Calibri" w:cs="Calibri"/>
        </w:rPr>
      </w:pPr>
      <w:r w:rsidRPr="7B3A8BFC">
        <w:rPr>
          <w:rFonts w:eastAsiaTheme="minorEastAsia"/>
          <w:b/>
          <w:bCs/>
          <w:color w:val="40464B"/>
        </w:rPr>
        <w:t>T</w:t>
      </w:r>
      <w:r w:rsidRPr="7B3A8BFC">
        <w:rPr>
          <w:rFonts w:eastAsiaTheme="minorEastAsia"/>
          <w:color w:val="232629"/>
        </w:rPr>
        <w:t xml:space="preserve">he scriptures must harmonize. The Bible is a testimony book, that it is not in error and does not contradict itself. Therefore, when are we trying to examine one passage, we must approach it with an eye to what the whole Bible says about that topic. </w:t>
      </w:r>
      <w:r w:rsidRPr="7B3A8BFC">
        <w:rPr>
          <w:rFonts w:eastAsiaTheme="minorEastAsia"/>
          <w:color w:val="001320"/>
        </w:rPr>
        <w:t xml:space="preserve"> “In the mouth of two or three witnesses every word may be established, referring to </w:t>
      </w:r>
      <w:hyperlink r:id="rId9">
        <w:r w:rsidRPr="7B3A8BFC">
          <w:rPr>
            <w:rStyle w:val="Hyperlink"/>
            <w:rFonts w:eastAsiaTheme="minorEastAsia"/>
          </w:rPr>
          <w:t>Deuteronomy 19:15</w:t>
        </w:r>
      </w:hyperlink>
      <w:r w:rsidRPr="7B3A8BFC">
        <w:rPr>
          <w:rFonts w:eastAsiaTheme="minorEastAsia"/>
          <w:color w:val="001320"/>
        </w:rPr>
        <w:t xml:space="preserve">. So that should the matter be brought before the whole church, these witnesses would be able to testify the truth of the case, and report the steps that had been taken, and what effect they had had; so that things being thus prepared, the case would appear plain and easy, and without difficulty” the same applies to the harmony of the whole Bible. </w:t>
      </w:r>
    </w:p>
    <w:p w14:paraId="1753F4D9" w14:textId="01BA9761" w:rsidR="7B3A8BFC" w:rsidRDefault="7B3A8BFC" w:rsidP="7B3A8BFC">
      <w:pPr>
        <w:spacing w:line="480" w:lineRule="auto"/>
        <w:ind w:left="720" w:hanging="720"/>
        <w:rPr>
          <w:rFonts w:eastAsiaTheme="minorEastAsia"/>
          <w:b/>
          <w:bCs/>
          <w:color w:val="001320"/>
        </w:rPr>
      </w:pPr>
      <w:r w:rsidRPr="7B3A8BFC">
        <w:rPr>
          <w:rFonts w:eastAsiaTheme="minorEastAsia"/>
          <w:b/>
          <w:bCs/>
          <w:color w:val="001320"/>
        </w:rPr>
        <w:t>Source 2:</w:t>
      </w:r>
    </w:p>
    <w:p w14:paraId="2C108091" w14:textId="08C15D92" w:rsidR="7B3A8BFC" w:rsidRDefault="7B3A8BFC" w:rsidP="7B3A8BFC">
      <w:pPr>
        <w:spacing w:line="480" w:lineRule="auto"/>
        <w:ind w:left="720" w:hanging="720"/>
        <w:rPr>
          <w:rFonts w:ascii="Calibri" w:eastAsia="Calibri" w:hAnsi="Calibri" w:cs="Calibri"/>
        </w:rPr>
      </w:pPr>
      <w:r w:rsidRPr="7B3A8BFC">
        <w:rPr>
          <w:rFonts w:eastAsiaTheme="minorEastAsia"/>
          <w:color w:val="001320"/>
        </w:rPr>
        <w:t xml:space="preserve">Again, By Parkers he says: It is </w:t>
      </w:r>
      <w:r w:rsidRPr="7B3A8BFC">
        <w:rPr>
          <w:rFonts w:ascii="Calibri" w:eastAsia="Calibri" w:hAnsi="Calibri" w:cs="Calibri"/>
          <w:color w:val="222222"/>
        </w:rPr>
        <w:t xml:space="preserve">hardly possible to deny that what God says is true, any more than it is: possible to deny that what </w:t>
      </w:r>
      <w:bookmarkStart w:id="3" w:name="_Int_Yf9T9Vuk"/>
      <w:proofErr w:type="gramStart"/>
      <w:r w:rsidRPr="7B3A8BFC">
        <w:rPr>
          <w:rFonts w:ascii="Calibri" w:eastAsia="Calibri" w:hAnsi="Calibri" w:cs="Calibri"/>
          <w:color w:val="222222"/>
        </w:rPr>
        <w:t>He</w:t>
      </w:r>
      <w:bookmarkEnd w:id="3"/>
      <w:proofErr w:type="gramEnd"/>
      <w:r w:rsidRPr="7B3A8BFC">
        <w:rPr>
          <w:rFonts w:ascii="Calibri" w:eastAsia="Calibri" w:hAnsi="Calibri" w:cs="Calibri"/>
          <w:color w:val="222222"/>
        </w:rPr>
        <w:t xml:space="preserve"> commands is binding. Scripture is thus authoritative as a standard of belief no less than of behavior, and its authority in both realms, that of fact as well as that of obligation, is </w:t>
      </w:r>
      <w:proofErr w:type="gramStart"/>
      <w:r w:rsidRPr="7B3A8BFC">
        <w:rPr>
          <w:rFonts w:ascii="Calibri" w:eastAsia="Calibri" w:hAnsi="Calibri" w:cs="Calibri"/>
          <w:color w:val="222222"/>
        </w:rPr>
        <w:t>divine</w:t>
      </w:r>
      <w:proofErr w:type="gramEnd"/>
    </w:p>
    <w:p w14:paraId="69B02600" w14:textId="37EA1F54" w:rsidR="7B3A8BFC" w:rsidRDefault="7B3A8BFC" w:rsidP="7B3A8BFC">
      <w:pPr>
        <w:spacing w:line="480" w:lineRule="auto"/>
        <w:rPr>
          <w:rFonts w:eastAsiaTheme="minorEastAsia"/>
        </w:rPr>
      </w:pPr>
      <w:r w:rsidRPr="7B3A8BFC">
        <w:rPr>
          <w:rFonts w:eastAsiaTheme="minorEastAsia"/>
          <w:b/>
          <w:bCs/>
          <w:color w:val="272727"/>
        </w:rPr>
        <w:lastRenderedPageBreak/>
        <w:t xml:space="preserve">Additive/Variant Analysis: </w:t>
      </w:r>
      <w:r w:rsidRPr="7B3A8BFC">
        <w:rPr>
          <w:rFonts w:eastAsiaTheme="minorEastAsia"/>
          <w:color w:val="272727"/>
        </w:rPr>
        <w:t>I look at this as in my personal way of with others that its importance to check out every information I would receive before spreading it out especial that the social media is rapidly getting the attention of all in the 21</w:t>
      </w:r>
      <w:r w:rsidRPr="7B3A8BFC">
        <w:rPr>
          <w:rFonts w:eastAsiaTheme="minorEastAsia"/>
          <w:color w:val="272727"/>
          <w:vertAlign w:val="superscript"/>
        </w:rPr>
        <w:t>st</w:t>
      </w:r>
      <w:r w:rsidRPr="7B3A8BFC">
        <w:rPr>
          <w:rFonts w:eastAsiaTheme="minorEastAsia"/>
          <w:color w:val="272727"/>
        </w:rPr>
        <w:t xml:space="preserve"> century. There's too m</w:t>
      </w:r>
      <w:r w:rsidRPr="7B3A8BFC">
        <w:rPr>
          <w:rFonts w:eastAsiaTheme="minorEastAsia"/>
          <w:color w:val="000000" w:themeColor="text1"/>
        </w:rPr>
        <w:t>uch disinformation intentionally misleading and misinformation some of it unintentionally misleading is spread via social media, so how can we spot these fake stories when they appear in our eyes and ears? Its only carefully being engaged in searching for the truth otherwise we are part of the fake news, the same as the fake preachers who never search the scriptures thoroughly.</w:t>
      </w:r>
    </w:p>
    <w:p w14:paraId="6C2ABA84" w14:textId="4F66A2E4" w:rsidR="7B3A8BFC" w:rsidRDefault="7B3A8BFC" w:rsidP="7B3A8BFC">
      <w:pPr>
        <w:spacing w:line="480" w:lineRule="auto"/>
        <w:rPr>
          <w:rFonts w:ascii="Calibri" w:eastAsia="Calibri" w:hAnsi="Calibri" w:cs="Calibri"/>
        </w:rPr>
      </w:pPr>
      <w:r w:rsidRPr="7B3A8BFC">
        <w:rPr>
          <w:rFonts w:eastAsiaTheme="minorEastAsia"/>
          <w:b/>
          <w:bCs/>
          <w:color w:val="000000" w:themeColor="text1"/>
        </w:rPr>
        <w:t xml:space="preserve">Contextualization: </w:t>
      </w:r>
      <w:r w:rsidRPr="7B3A8BFC">
        <w:rPr>
          <w:rFonts w:eastAsiaTheme="minorEastAsia"/>
          <w:color w:val="000000" w:themeColor="text1"/>
        </w:rPr>
        <w:t>Biblical encouragement can never happen when believers does not understand the word. The world needs answers as it is getting evil and evil. I believe God has put me in this world to bring about the change that will transform humanity. It is my duty today to learn and to listen attentively by reading and understanding His will so I can pass it on to save the dying world.</w:t>
      </w:r>
      <w:r w:rsidRPr="7B3A8BFC">
        <w:rPr>
          <w:rFonts w:eastAsiaTheme="minorEastAsia"/>
          <w:b/>
          <w:bCs/>
          <w:color w:val="000000" w:themeColor="text1"/>
        </w:rPr>
        <w:t xml:space="preserve"> “</w:t>
      </w:r>
      <w:r w:rsidRPr="7B3A8BFC">
        <w:rPr>
          <w:rFonts w:ascii="Calibri" w:eastAsia="Calibri" w:hAnsi="Calibri" w:cs="Calibri"/>
        </w:rPr>
        <w:t xml:space="preserve">While America rapidly moves from post-Christian to anti-Christian, we need to give courage rather than remove it. When gossip goes unchecked, assuming the worst becomes common, and using our thumbs and fingers to type what we would never say with our mouths is the “new </w:t>
      </w:r>
      <w:proofErr w:type="gramStart"/>
      <w:r w:rsidRPr="7B3A8BFC">
        <w:rPr>
          <w:rFonts w:ascii="Calibri" w:eastAsia="Calibri" w:hAnsi="Calibri" w:cs="Calibri"/>
        </w:rPr>
        <w:t>normal”’</w:t>
      </w:r>
      <w:proofErr w:type="gramEnd"/>
    </w:p>
    <w:p w14:paraId="38F0BA82" w14:textId="06CCA61C" w:rsidR="7B3A8BFC" w:rsidRDefault="7B3A8BFC" w:rsidP="7B3A8BFC">
      <w:pPr>
        <w:spacing w:line="480" w:lineRule="auto"/>
        <w:rPr>
          <w:rFonts w:eastAsiaTheme="minorEastAsia"/>
          <w:color w:val="272727"/>
        </w:rPr>
      </w:pPr>
    </w:p>
    <w:p w14:paraId="1B584487" w14:textId="4430AE51" w:rsidR="7B3A8BFC" w:rsidRDefault="7B3A8BFC" w:rsidP="7B3A8BFC">
      <w:pPr>
        <w:spacing w:line="480" w:lineRule="auto"/>
        <w:rPr>
          <w:rFonts w:eastAsiaTheme="minorEastAsia"/>
          <w:color w:val="272727"/>
        </w:rPr>
      </w:pPr>
    </w:p>
    <w:p w14:paraId="5A627141" w14:textId="02A14338" w:rsidR="7B3A8BFC" w:rsidRDefault="7B3A8BFC" w:rsidP="7B3A8BFC">
      <w:pPr>
        <w:spacing w:line="480" w:lineRule="auto"/>
        <w:rPr>
          <w:rFonts w:eastAsiaTheme="minorEastAsia"/>
          <w:color w:val="272727"/>
        </w:rPr>
      </w:pPr>
    </w:p>
    <w:p w14:paraId="48D7DB42" w14:textId="39ED1AFB" w:rsidR="7B3A8BFC" w:rsidRDefault="7B3A8BFC" w:rsidP="7B3A8BFC">
      <w:pPr>
        <w:spacing w:line="480" w:lineRule="auto"/>
        <w:rPr>
          <w:rFonts w:eastAsiaTheme="minorEastAsia"/>
          <w:color w:val="272727"/>
        </w:rPr>
      </w:pPr>
    </w:p>
    <w:p w14:paraId="7DBA7473" w14:textId="1B8B3894" w:rsidR="7B3A8BFC" w:rsidRDefault="7B3A8BFC" w:rsidP="7B3A8BFC">
      <w:pPr>
        <w:spacing w:line="480" w:lineRule="auto"/>
        <w:rPr>
          <w:rFonts w:eastAsiaTheme="minorEastAsia"/>
          <w:color w:val="272727"/>
        </w:rPr>
      </w:pPr>
    </w:p>
    <w:p w14:paraId="7D953BE2" w14:textId="658C20F0" w:rsidR="7B3A8BFC" w:rsidRDefault="7B3A8BFC" w:rsidP="7B3A8BFC">
      <w:pPr>
        <w:spacing w:line="480" w:lineRule="auto"/>
        <w:rPr>
          <w:rFonts w:eastAsiaTheme="minorEastAsia"/>
          <w:color w:val="272727"/>
        </w:rPr>
      </w:pPr>
    </w:p>
    <w:p w14:paraId="70A30B5B" w14:textId="774D2131" w:rsidR="7B3A8BFC" w:rsidRDefault="7B3A8BFC" w:rsidP="7B3A8BFC">
      <w:pPr>
        <w:spacing w:line="480" w:lineRule="auto"/>
        <w:rPr>
          <w:rFonts w:eastAsiaTheme="minorEastAsia"/>
          <w:color w:val="272727"/>
        </w:rPr>
      </w:pPr>
    </w:p>
    <w:p w14:paraId="683DFD70" w14:textId="3BD8A970" w:rsidR="7B3A8BFC" w:rsidRPr="00515846" w:rsidRDefault="00515846" w:rsidP="00515846">
      <w:pPr>
        <w:spacing w:line="480" w:lineRule="auto"/>
        <w:jc w:val="center"/>
        <w:rPr>
          <w:rFonts w:eastAsiaTheme="minorEastAsia"/>
          <w:b/>
          <w:bCs/>
          <w:color w:val="272727"/>
        </w:rPr>
      </w:pPr>
      <w:commentRangeStart w:id="4"/>
      <w:r>
        <w:rPr>
          <w:rFonts w:eastAsiaTheme="minorEastAsia"/>
          <w:b/>
          <w:bCs/>
          <w:color w:val="272727"/>
        </w:rPr>
        <w:lastRenderedPageBreak/>
        <w:t>Works Cited</w:t>
      </w:r>
      <w:commentRangeEnd w:id="4"/>
      <w:r>
        <w:rPr>
          <w:rStyle w:val="CommentReference"/>
        </w:rPr>
        <w:commentReference w:id="4"/>
      </w:r>
    </w:p>
    <w:p w14:paraId="55B0DC4E" w14:textId="224EAF6A" w:rsidR="7B3A8BFC" w:rsidRDefault="7B3A8BFC" w:rsidP="7B3A8BFC">
      <w:pPr>
        <w:spacing w:line="480" w:lineRule="auto"/>
        <w:rPr>
          <w:rFonts w:eastAsiaTheme="minorEastAsia"/>
          <w:color w:val="272727"/>
        </w:rPr>
      </w:pPr>
    </w:p>
    <w:p w14:paraId="5E92C328" w14:textId="697B7A23" w:rsidR="7B3A8BFC" w:rsidRDefault="7B3A8BFC" w:rsidP="7B3A8BFC">
      <w:pPr>
        <w:spacing w:line="480" w:lineRule="auto"/>
        <w:rPr>
          <w:rFonts w:eastAsiaTheme="minorEastAsia"/>
          <w:color w:val="272727"/>
        </w:rPr>
      </w:pPr>
    </w:p>
    <w:p w14:paraId="5FBF40FF" w14:textId="762C13E9" w:rsidR="7B3A8BFC" w:rsidRDefault="7B3A8BFC" w:rsidP="7B3A8BFC">
      <w:pPr>
        <w:spacing w:line="480" w:lineRule="auto"/>
        <w:rPr>
          <w:rFonts w:eastAsiaTheme="minorEastAsia"/>
          <w:color w:val="272727"/>
        </w:rPr>
      </w:pPr>
    </w:p>
    <w:p w14:paraId="2D2B0639" w14:textId="6E887C01" w:rsidR="7B3A8BFC" w:rsidRDefault="7B3A8BFC" w:rsidP="7B3A8BFC">
      <w:pPr>
        <w:spacing w:line="480" w:lineRule="auto"/>
        <w:rPr>
          <w:rFonts w:eastAsiaTheme="minorEastAsia"/>
          <w:color w:val="272727"/>
        </w:rPr>
      </w:pPr>
    </w:p>
    <w:p w14:paraId="542B110F" w14:textId="750C2225" w:rsidR="7B3A8BFC" w:rsidRDefault="7B3A8BFC" w:rsidP="7B3A8BFC">
      <w:pPr>
        <w:spacing w:line="480" w:lineRule="auto"/>
        <w:rPr>
          <w:rFonts w:eastAsiaTheme="minorEastAsia"/>
          <w:color w:val="272727"/>
        </w:rPr>
      </w:pPr>
    </w:p>
    <w:p w14:paraId="254C68D3" w14:textId="3E01B13B" w:rsidR="7B3A8BFC" w:rsidRDefault="7B3A8BFC" w:rsidP="7B3A8BFC">
      <w:pPr>
        <w:rPr>
          <w:rFonts w:eastAsiaTheme="minorEastAsia"/>
        </w:rPr>
      </w:pPr>
      <w:r w:rsidRPr="7B3A8BFC">
        <w:rPr>
          <w:rFonts w:eastAsiaTheme="minorEastAsia"/>
        </w:rPr>
        <w:t>Sproul, R.C. (n.d.). Hermeneutical principles. Monergism. [Biblical Hermeneutics]</w:t>
      </w:r>
    </w:p>
    <w:p w14:paraId="54CCEDA1" w14:textId="4C547078" w:rsidR="7B3A8BFC" w:rsidRDefault="00000000" w:rsidP="7B3A8BFC">
      <w:pPr>
        <w:rPr>
          <w:rFonts w:eastAsiaTheme="minorEastAsia"/>
        </w:rPr>
      </w:pPr>
      <w:hyperlink r:id="rId10">
        <w:r w:rsidR="7B3A8BFC" w:rsidRPr="7B3A8BFC">
          <w:rPr>
            <w:rStyle w:val="Hyperlink"/>
            <w:rFonts w:eastAsiaTheme="minorEastAsia"/>
          </w:rPr>
          <w:t>https://www.monergism.com/hermeneutical-principles</w:t>
        </w:r>
      </w:hyperlink>
    </w:p>
    <w:p w14:paraId="1E6183E6" w14:textId="7D2339AB" w:rsidR="7B3A8BFC" w:rsidRDefault="7B3A8BFC" w:rsidP="7B3A8BFC">
      <w:pPr>
        <w:rPr>
          <w:rFonts w:eastAsiaTheme="minorEastAsia"/>
        </w:rPr>
      </w:pPr>
    </w:p>
    <w:p w14:paraId="2F407237" w14:textId="5CA02C8E" w:rsidR="7B3A8BFC" w:rsidRDefault="7B3A8BFC" w:rsidP="7B3A8BFC">
      <w:r w:rsidRPr="7B3A8BFC">
        <w:t xml:space="preserve">Packer, J. (1975). Hermeneutics and biblical authority. </w:t>
      </w:r>
      <w:proofErr w:type="spellStart"/>
      <w:r w:rsidRPr="7B3A8BFC">
        <w:t>Themelios</w:t>
      </w:r>
      <w:proofErr w:type="spellEnd"/>
      <w:r w:rsidRPr="7B3A8BFC">
        <w:t>, 1(1), 3–12. [</w:t>
      </w:r>
      <w:proofErr w:type="gramStart"/>
      <w:r w:rsidRPr="7B3A8BFC">
        <w:t>Seminal;</w:t>
      </w:r>
      <w:proofErr w:type="gramEnd"/>
    </w:p>
    <w:p w14:paraId="1D085B0F" w14:textId="1E02A52F" w:rsidR="7B3A8BFC" w:rsidRDefault="7B3A8BFC" w:rsidP="7B3A8BFC">
      <w:r w:rsidRPr="7B3A8BFC">
        <w:t xml:space="preserve">Biblical Hermeneutics] </w:t>
      </w:r>
      <w:hyperlink r:id="rId11">
        <w:r w:rsidRPr="7B3A8BFC">
          <w:rPr>
            <w:rStyle w:val="Hyperlink"/>
          </w:rPr>
          <w:t>https://www.biblicalstudies.org.uk/article_herm_packer.html</w:t>
        </w:r>
      </w:hyperlink>
    </w:p>
    <w:p w14:paraId="39001A8A" w14:textId="3FCE2E83" w:rsidR="7B3A8BFC" w:rsidRDefault="7B3A8BFC" w:rsidP="7B3A8BFC"/>
    <w:p w14:paraId="46F14A4C" w14:textId="1DFCC38B" w:rsidR="7B3A8BFC" w:rsidRDefault="7B3A8BFC" w:rsidP="7B3A8BFC">
      <w:pPr>
        <w:rPr>
          <w:rFonts w:ascii="Calibri" w:eastAsia="Calibri" w:hAnsi="Calibri" w:cs="Calibri"/>
        </w:rPr>
      </w:pPr>
      <w:r w:rsidRPr="7B3A8BFC">
        <w:rPr>
          <w:rFonts w:ascii="Arial" w:eastAsia="Arial" w:hAnsi="Arial" w:cs="Arial"/>
          <w:color w:val="222222"/>
          <w:sz w:val="19"/>
          <w:szCs w:val="19"/>
        </w:rPr>
        <w:t xml:space="preserve">Diop G. </w:t>
      </w:r>
      <w:proofErr w:type="spellStart"/>
      <w:r w:rsidRPr="7B3A8BFC">
        <w:rPr>
          <w:rFonts w:ascii="Arial" w:eastAsia="Arial" w:hAnsi="Arial" w:cs="Arial"/>
          <w:color w:val="222222"/>
          <w:sz w:val="19"/>
          <w:szCs w:val="19"/>
        </w:rPr>
        <w:t>Innerbiblical</w:t>
      </w:r>
      <w:proofErr w:type="spellEnd"/>
      <w:r w:rsidRPr="7B3A8BFC">
        <w:rPr>
          <w:rFonts w:ascii="Arial" w:eastAsia="Arial" w:hAnsi="Arial" w:cs="Arial"/>
          <w:color w:val="222222"/>
          <w:sz w:val="19"/>
          <w:szCs w:val="19"/>
        </w:rPr>
        <w:t xml:space="preserve"> Interpretation: Reading the Scriptures Intertextually. </w:t>
      </w:r>
      <w:proofErr w:type="spellStart"/>
      <w:r w:rsidRPr="7B3A8BFC">
        <w:rPr>
          <w:rFonts w:ascii="Arial" w:eastAsia="Arial" w:hAnsi="Arial" w:cs="Arial"/>
          <w:color w:val="222222"/>
          <w:sz w:val="19"/>
          <w:szCs w:val="19"/>
        </w:rPr>
        <w:t>Biblijski</w:t>
      </w:r>
      <w:proofErr w:type="spellEnd"/>
      <w:r w:rsidRPr="7B3A8BFC">
        <w:rPr>
          <w:rFonts w:ascii="Arial" w:eastAsia="Arial" w:hAnsi="Arial" w:cs="Arial"/>
          <w:color w:val="222222"/>
          <w:sz w:val="19"/>
          <w:szCs w:val="19"/>
        </w:rPr>
        <w:t xml:space="preserve"> </w:t>
      </w:r>
      <w:proofErr w:type="spellStart"/>
      <w:r w:rsidRPr="7B3A8BFC">
        <w:rPr>
          <w:rFonts w:ascii="Arial" w:eastAsia="Arial" w:hAnsi="Arial" w:cs="Arial"/>
          <w:color w:val="222222"/>
          <w:sz w:val="19"/>
          <w:szCs w:val="19"/>
        </w:rPr>
        <w:t>pogledi</w:t>
      </w:r>
      <w:proofErr w:type="spellEnd"/>
      <w:r w:rsidRPr="7B3A8BFC">
        <w:rPr>
          <w:rFonts w:ascii="Arial" w:eastAsia="Arial" w:hAnsi="Arial" w:cs="Arial"/>
          <w:color w:val="222222"/>
          <w:sz w:val="19"/>
          <w:szCs w:val="19"/>
        </w:rPr>
        <w:t>. 2022 Aug 31;30(2):3-17.</w:t>
      </w:r>
    </w:p>
    <w:p w14:paraId="085E2672" w14:textId="3C329477" w:rsidR="7B3A8BFC" w:rsidRDefault="7B3A8BFC" w:rsidP="7B3A8BFC">
      <w:pPr>
        <w:rPr>
          <w:rFonts w:ascii="Arial" w:eastAsia="Arial" w:hAnsi="Arial" w:cs="Arial"/>
          <w:color w:val="222222"/>
          <w:sz w:val="19"/>
          <w:szCs w:val="19"/>
        </w:rPr>
      </w:pPr>
    </w:p>
    <w:p w14:paraId="6862ED78" w14:textId="5CC728DD" w:rsidR="7B3A8BFC" w:rsidRDefault="7B3A8BFC" w:rsidP="7B3A8BFC">
      <w:pPr>
        <w:pStyle w:val="Heading1"/>
        <w:rPr>
          <w:rFonts w:asciiTheme="minorHAnsi" w:eastAsiaTheme="minorEastAsia" w:hAnsiTheme="minorHAnsi" w:cstheme="minorBidi"/>
          <w:color w:val="757575"/>
          <w:sz w:val="22"/>
          <w:szCs w:val="22"/>
        </w:rPr>
      </w:pPr>
      <w:r w:rsidRPr="7B3A8BFC">
        <w:rPr>
          <w:rFonts w:asciiTheme="minorHAnsi" w:eastAsiaTheme="minorEastAsia" w:hAnsiTheme="minorHAnsi" w:cstheme="minorBidi"/>
          <w:color w:val="757575"/>
          <w:sz w:val="22"/>
          <w:szCs w:val="22"/>
        </w:rPr>
        <w:t>Biblical Encouragement: A Manual for Life and Ministry</w:t>
      </w:r>
    </w:p>
    <w:p w14:paraId="2E96ECE2" w14:textId="53C00E50" w:rsidR="7B3A8BFC" w:rsidRDefault="00000000" w:rsidP="7B3A8BFC">
      <w:pPr>
        <w:rPr>
          <w:rFonts w:eastAsiaTheme="minorEastAsia"/>
        </w:rPr>
      </w:pPr>
      <w:hyperlink r:id="rId12">
        <w:r w:rsidR="7B3A8BFC" w:rsidRPr="7B3A8BFC">
          <w:rPr>
            <w:rStyle w:val="Hyperlink"/>
            <w:rFonts w:eastAsiaTheme="minorEastAsia"/>
          </w:rPr>
          <w:t>Nichols, Daniel Hiram</w:t>
        </w:r>
      </w:hyperlink>
    </w:p>
    <w:p w14:paraId="54532673" w14:textId="60F1E98D" w:rsidR="7B3A8BFC" w:rsidRDefault="7B3A8BFC" w:rsidP="7B3A8BFC">
      <w:r w:rsidRPr="7B3A8BFC">
        <w:rPr>
          <w:rFonts w:ascii="Roboto" w:eastAsia="Roboto" w:hAnsi="Roboto" w:cs="Roboto"/>
          <w:color w:val="555555"/>
          <w:sz w:val="21"/>
          <w:szCs w:val="21"/>
        </w:rPr>
        <w:t xml:space="preserve">.   Clarks Summit University and Baptist Bible Seminary ProQuest Dissertations Publishing, 2021. 28416396. </w:t>
      </w:r>
    </w:p>
    <w:p w14:paraId="720BA0AF" w14:textId="36E71C2F" w:rsidR="7B3A8BFC" w:rsidRDefault="7B3A8BFC" w:rsidP="7B3A8BFC">
      <w:pPr>
        <w:spacing w:line="480" w:lineRule="auto"/>
        <w:rPr>
          <w:rFonts w:ascii="Calibri" w:eastAsia="Calibri" w:hAnsi="Calibri" w:cs="Calibri"/>
        </w:rPr>
      </w:pPr>
      <w:r w:rsidRPr="7B3A8BFC">
        <w:rPr>
          <w:rFonts w:ascii="Arial" w:eastAsia="Arial" w:hAnsi="Arial" w:cs="Arial"/>
          <w:color w:val="222222"/>
          <w:sz w:val="19"/>
          <w:szCs w:val="19"/>
        </w:rPr>
        <w:t xml:space="preserve">Nichols, D. H. (2021). </w:t>
      </w:r>
      <w:r w:rsidRPr="7B3A8BFC">
        <w:rPr>
          <w:rFonts w:ascii="Arial" w:eastAsia="Arial" w:hAnsi="Arial" w:cs="Arial"/>
          <w:i/>
          <w:iCs/>
          <w:color w:val="222222"/>
          <w:sz w:val="19"/>
          <w:szCs w:val="19"/>
        </w:rPr>
        <w:t>Biblical encouragement: A manual for life and ministry</w:t>
      </w:r>
      <w:r w:rsidRPr="7B3A8BFC">
        <w:rPr>
          <w:rFonts w:ascii="Arial" w:eastAsia="Arial" w:hAnsi="Arial" w:cs="Arial"/>
          <w:color w:val="222222"/>
          <w:sz w:val="19"/>
          <w:szCs w:val="19"/>
        </w:rPr>
        <w:t xml:space="preserve"> (Doctoral dissertation, Clarks Summit University and Baptist Bible Seminary).</w:t>
      </w:r>
    </w:p>
    <w:sectPr w:rsidR="7B3A8B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Moser" w:date="2023-07-19T14:30:00Z" w:initials="DM">
    <w:p w14:paraId="704D8CC5" w14:textId="77777777" w:rsidR="00515846" w:rsidRDefault="00515846" w:rsidP="00231B24">
      <w:pPr>
        <w:pStyle w:val="CommentText"/>
      </w:pPr>
      <w:r>
        <w:rPr>
          <w:rStyle w:val="CommentReference"/>
        </w:rPr>
        <w:annotationRef/>
      </w:r>
      <w:r>
        <w:t>The essential element is a one-sentence statement indicating which course essential element your quote aligns best with. Each course will have different essential elements. Your task in research is to determine which essential element your source aligns to.</w:t>
      </w:r>
    </w:p>
  </w:comment>
  <w:comment w:id="1" w:author="David Moser" w:date="2023-07-19T14:33:00Z" w:initials="DM">
    <w:p w14:paraId="523F6034" w14:textId="77777777" w:rsidR="00515846" w:rsidRDefault="00515846" w:rsidP="00FF5B1F">
      <w:pPr>
        <w:pStyle w:val="CommentText"/>
      </w:pPr>
      <w:r>
        <w:rPr>
          <w:rStyle w:val="CommentReference"/>
        </w:rPr>
        <w:annotationRef/>
      </w:r>
      <w:r>
        <w:t>Great work on your analysis. Just add a statement here whether this quote adds to (additive) or varies (variant) from your understanding/perspective.</w:t>
      </w:r>
    </w:p>
  </w:comment>
  <w:comment w:id="2" w:author="David Moser" w:date="2023-07-19T14:34:00Z" w:initials="DM">
    <w:p w14:paraId="3E557F65" w14:textId="77777777" w:rsidR="00515846" w:rsidRDefault="00515846" w:rsidP="00687660">
      <w:pPr>
        <w:pStyle w:val="CommentText"/>
      </w:pPr>
      <w:r>
        <w:rPr>
          <w:rStyle w:val="CommentReference"/>
        </w:rPr>
        <w:annotationRef/>
      </w:r>
      <w:r>
        <w:t>Wonderful contextualization! Excellent job applying this quote to your practice. Keep up the great work!</w:t>
      </w:r>
    </w:p>
  </w:comment>
  <w:comment w:id="4" w:author="David Moser" w:date="2023-07-19T14:32:00Z" w:initials="DM">
    <w:p w14:paraId="26E3655D" w14:textId="169A7FC4" w:rsidR="00515846" w:rsidRDefault="00515846">
      <w:pPr>
        <w:pStyle w:val="CommentText"/>
      </w:pPr>
      <w:r>
        <w:rPr>
          <w:rStyle w:val="CommentReference"/>
        </w:rPr>
        <w:annotationRef/>
      </w:r>
      <w:r>
        <w:t xml:space="preserve">Be sure to start your reference page with the title "Works Cited" centered and boldface type. Then place your cited references in alphabetical order based on author's last name. </w:t>
      </w:r>
    </w:p>
    <w:p w14:paraId="7CB46C4F" w14:textId="77777777" w:rsidR="00515846" w:rsidRDefault="00515846">
      <w:pPr>
        <w:pStyle w:val="CommentText"/>
      </w:pPr>
    </w:p>
    <w:p w14:paraId="01E90B6E" w14:textId="77777777" w:rsidR="00515846" w:rsidRDefault="00515846" w:rsidP="009C0E79">
      <w:pPr>
        <w:pStyle w:val="CommentText"/>
      </w:pPr>
      <w:r>
        <w:t xml:space="preserve">Refer to APA materials to help your format this page properly. For example, </w:t>
      </w:r>
      <w:hyperlink r:id="rId1" w:history="1">
        <w:r w:rsidRPr="009C0E79">
          <w:rPr>
            <w:rStyle w:val="Hyperlink"/>
          </w:rPr>
          <w:t>https://owl.purdue.edu/owl/research_and_citation/apa_style/apa_formatting_and_style_guide/reference_list_basic_rules.html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4D8CC5" w15:done="0"/>
  <w15:commentEx w15:paraId="523F6034" w15:done="0"/>
  <w15:commentEx w15:paraId="3E557F65" w15:done="0"/>
  <w15:commentEx w15:paraId="01E90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7201" w16cex:dateUtc="2023-07-19T18:30:00Z"/>
  <w16cex:commentExtensible w16cex:durableId="286272C6" w16cex:dateUtc="2023-07-19T18:33:00Z"/>
  <w16cex:commentExtensible w16cex:durableId="286272E3" w16cex:dateUtc="2023-07-19T18:34:00Z"/>
  <w16cex:commentExtensible w16cex:durableId="2862728F" w16cex:dateUtc="2023-07-19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D8CC5" w16cid:durableId="28627201"/>
  <w16cid:commentId w16cid:paraId="523F6034" w16cid:durableId="286272C6"/>
  <w16cid:commentId w16cid:paraId="3E557F65" w16cid:durableId="286272E3"/>
  <w16cid:commentId w16cid:paraId="01E90B6E" w16cid:durableId="286272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0AkZgoesg01VFK" int2:id="NTkmpAxt">
      <int2:state int2:value="Rejected" int2:type="AugLoop_Text_Critique"/>
    </int2:textHash>
    <int2:textHash int2:hashCode="51ywQC6eRQ0axc" int2:id="ClFLMV2P">
      <int2:state int2:value="Rejected" int2:type="AugLoop_Text_Critique"/>
    </int2:textHash>
    <int2:textHash int2:hashCode="SaA+l04o2mUB/l" int2:id="Oh3i4OJU">
      <int2:state int2:value="Rejected" int2:type="AugLoop_Text_Critique"/>
    </int2:textHash>
    <int2:bookmark int2:bookmarkName="_Int_Yf9T9Vuk" int2:invalidationBookmarkName="" int2:hashCode="U6QXeWx3eFEAOz" int2:id="37AIua2x">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99C83"/>
    <w:rsid w:val="00515846"/>
    <w:rsid w:val="00B73F26"/>
    <w:rsid w:val="54A99C83"/>
    <w:rsid w:val="7B3A8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9C83"/>
  <w15:chartTrackingRefBased/>
  <w15:docId w15:val="{F6D7EABB-29EC-47F0-ABA7-ED82F76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15846"/>
    <w:rPr>
      <w:sz w:val="16"/>
      <w:szCs w:val="16"/>
    </w:rPr>
  </w:style>
  <w:style w:type="paragraph" w:styleId="CommentText">
    <w:name w:val="annotation text"/>
    <w:basedOn w:val="Normal"/>
    <w:link w:val="CommentTextChar"/>
    <w:uiPriority w:val="99"/>
    <w:unhideWhenUsed/>
    <w:rsid w:val="00515846"/>
    <w:pPr>
      <w:spacing w:line="240" w:lineRule="auto"/>
    </w:pPr>
    <w:rPr>
      <w:sz w:val="20"/>
      <w:szCs w:val="20"/>
    </w:rPr>
  </w:style>
  <w:style w:type="character" w:customStyle="1" w:styleId="CommentTextChar">
    <w:name w:val="Comment Text Char"/>
    <w:basedOn w:val="DefaultParagraphFont"/>
    <w:link w:val="CommentText"/>
    <w:uiPriority w:val="99"/>
    <w:rsid w:val="00515846"/>
    <w:rPr>
      <w:sz w:val="20"/>
      <w:szCs w:val="20"/>
    </w:rPr>
  </w:style>
  <w:style w:type="paragraph" w:styleId="CommentSubject">
    <w:name w:val="annotation subject"/>
    <w:basedOn w:val="CommentText"/>
    <w:next w:val="CommentText"/>
    <w:link w:val="CommentSubjectChar"/>
    <w:uiPriority w:val="99"/>
    <w:semiHidden/>
    <w:unhideWhenUsed/>
    <w:rsid w:val="00515846"/>
    <w:rPr>
      <w:b/>
      <w:bCs/>
    </w:rPr>
  </w:style>
  <w:style w:type="character" w:customStyle="1" w:styleId="CommentSubjectChar">
    <w:name w:val="Comment Subject Char"/>
    <w:basedOn w:val="CommentTextChar"/>
    <w:link w:val="CommentSubject"/>
    <w:uiPriority w:val="99"/>
    <w:semiHidden/>
    <w:rsid w:val="00515846"/>
    <w:rPr>
      <w:b/>
      <w:bCs/>
      <w:sz w:val="20"/>
      <w:szCs w:val="20"/>
    </w:rPr>
  </w:style>
  <w:style w:type="character" w:styleId="UnresolvedMention">
    <w:name w:val="Unresolved Mention"/>
    <w:basedOn w:val="DefaultParagraphFont"/>
    <w:uiPriority w:val="99"/>
    <w:semiHidden/>
    <w:unhideWhenUsed/>
    <w:rsid w:val="0051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owl.purdue.edu/owl/research_and_citation/apa_style/apa_formatting_and_style_guide/reference_list_basic_rules.htm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hyperlink" Target="https://www.proquest.com/openview/e382cced6d14d908cb93658f9206e95e/1?cbl=18750&amp;diss=y&amp;pq-origsite=gscholar" TargetMode="External"/><Relationship Id="rId2" Type="http://schemas.openxmlformats.org/officeDocument/2006/relationships/settings" Target="settings.xml"/><Relationship Id="rId16" Type="http://schemas.microsoft.com/office/2020/10/relationships/intelligence" Target="intelligence2.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www.biblicalstudies.org.uk/article_herm_packer.html"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monergism.com/hermeneutical-principles" TargetMode="External"/><Relationship Id="rId4" Type="http://schemas.openxmlformats.org/officeDocument/2006/relationships/hyperlink" Target="https://www.monergism.com/hermeneutical-principles" TargetMode="External"/><Relationship Id="rId9" Type="http://schemas.openxmlformats.org/officeDocument/2006/relationships/hyperlink" Target="https://biblehub.com/deuteronomy/19-15.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GODFREY</dc:creator>
  <cp:keywords/>
  <dc:description/>
  <cp:lastModifiedBy>David Moser</cp:lastModifiedBy>
  <cp:revision>2</cp:revision>
  <dcterms:created xsi:type="dcterms:W3CDTF">2023-07-04T14:33:00Z</dcterms:created>
  <dcterms:modified xsi:type="dcterms:W3CDTF">2023-07-19T18:34:00Z</dcterms:modified>
</cp:coreProperties>
</file>